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20" w:space="720"/>
            <w:col w:w="2860" w:space="720"/>
            <w:col w:w="1920"/>
          </w:cols>
          <w:pgMar w:left="440" w:top="368" w:right="719" w:bottom="1440" w:gutter="0" w:footer="0" w:header="0"/>
          <w:type w:val="continuous"/>
        </w:sectPr>
      </w:pPr>
    </w:p>
    <w:p>
      <w:pPr>
        <w:spacing w:after="0" w:line="12"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(State or other jurisdiction of</w:t>
      </w:r>
    </w:p>
    <w:p>
      <w:pPr>
        <w:ind w:left="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040"/>
          </w:cols>
          <w:pgMar w:left="440" w:top="368" w:right="719" w:bottom="1440" w:gutter="0" w:footer="0" w:header="0"/>
          <w:type w:val="continuous"/>
        </w:sectPr>
      </w:pPr>
    </w:p>
    <w:p>
      <w:pPr>
        <w:spacing w:after="0" w:line="1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0740"/>
          </w:cols>
          <w:pgMar w:left="440" w:top="368" w:right="719" w:bottom="1440" w:gutter="0" w:footer="0" w:header="0"/>
          <w:type w:val="continuous"/>
        </w:sectPr>
      </w:pPr>
    </w:p>
    <w:p>
      <w:pPr>
        <w:spacing w:after="0" w:line="19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Theodore S. Kim</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Chief Compliance Officer, Executive Vice President, General Counsel and Secretary</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 MagnaChip Semiconductor, Inc.</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60 South Market Street, Suite 750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San Jose, CA 95113</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Telephone: (408) 625-5999</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Fax: (408) 625-5990</w:t>
      </w:r>
    </w:p>
    <w:p>
      <w:pPr>
        <w:spacing w:after="0" w:line="2"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bookmarkStart w:id="1" w:name="page2"/>
    <w:bookmarkEnd w:id="1"/>
    <w:p>
      <w:pPr>
        <w:ind w:left="4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MagnaChip Semiconductor Corporation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for the reporting period from January 1, 2018 to December 31, 2018.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http://www.magnachip.com/aboutus/aboutus_sub10.html. The content on, or accessible through, any web site referred to in this Form SD is not incorporated by reference into this Form SD unless expressly noted.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As specified in Section 2 of Form SD, the Company is hereby filing its Conflict Minerals Report required by Items 1.01 and 1.02 as Exhibit 1.01 to this Form SD.</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2. Exhibits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 is filed as part of this Form SD.</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Conflict Minerals Report of MagnaChip Semiconductor Corporation for the reporting period from January 1, 2018 to December 31, 2018</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CORPORATION</w:t>
            </w: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rPr>
              <w:t>By:  /s/ Theodore S. Kim</w:t>
            </w:r>
          </w:p>
        </w:tc>
        <w:tc>
          <w:tcPr>
            <w:tcW w:w="64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09"/>
        </w:trPr>
        <w:tc>
          <w:tcPr>
            <w:tcW w:w="380" w:type="dxa"/>
            <w:vAlign w:val="bottom"/>
          </w:tcPr>
          <w:p>
            <w:pPr>
              <w:spacing w:after="0"/>
              <w:rPr>
                <w:sz w:val="18"/>
                <w:szCs w:val="18"/>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Theodore S. Kim</w:t>
            </w:r>
          </w:p>
        </w:tc>
        <w:tc>
          <w:tcPr>
            <w:tcW w:w="640" w:type="dxa"/>
            <w:vAlign w:val="bottom"/>
          </w:tcPr>
          <w:p>
            <w:pPr>
              <w:spacing w:after="0"/>
              <w:rPr>
                <w:sz w:val="18"/>
                <w:szCs w:val="18"/>
                <w:color w:val="auto"/>
              </w:rPr>
            </w:pPr>
          </w:p>
        </w:tc>
        <w:tc>
          <w:tcPr>
            <w:tcW w:w="4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16"/>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Chief Compliance Officer, Executive</w:t>
            </w: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Vice President, General Counsel and</w:t>
            </w: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0"/>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Secretary</w:t>
            </w: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2018 to December 31, 2018</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MagnaChip Semiconductor Corporation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2018 to December 31, 2018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w:t>
      </w:r>
    </w:p>
    <w:p>
      <w:pPr>
        <w:spacing w:after="0" w:line="167"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(or coltan, the metal ore from which tantalum is extracted), (b) cassiterite (the metal ore from which tin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78"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Company’s business is conducted through its Standard Products Group, which consists of the Display Solutions and Power Solutions business lines, and the Company’s Foundry Services Group.</w:t>
      </w:r>
    </w:p>
    <w:p>
      <w:pPr>
        <w:spacing w:after="0" w:line="76" w:lineRule="exact"/>
        <w:rPr>
          <w:sz w:val="20"/>
          <w:szCs w:val="20"/>
          <w:color w:val="auto"/>
        </w:rPr>
      </w:pPr>
    </w:p>
    <w:p>
      <w:pPr>
        <w:ind w:left="860" w:right="180" w:hanging="316"/>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Display Solutions products include source and gate drivers and timing controllers that cover a wide range of flat panel displays used in high definition (HD), full high definition (FHD), ultra high definition (UHD), light emitting diode (LED), 3D and organic light emitting diodes (OLED) televisions and displays, notebooks and mobile communications and entertainment devices.</w:t>
      </w:r>
    </w:p>
    <w:p>
      <w:pPr>
        <w:spacing w:after="0" w:line="70" w:lineRule="exact"/>
        <w:rPr>
          <w:rFonts w:ascii="Arial" w:cs="Arial" w:eastAsia="Arial" w:hAnsi="Arial"/>
          <w:sz w:val="17"/>
          <w:szCs w:val="17"/>
          <w:color w:val="auto"/>
        </w:rPr>
      </w:pPr>
    </w:p>
    <w:p>
      <w:pPr>
        <w:ind w:left="860" w:right="160" w:hanging="316"/>
        <w:spacing w:after="0" w:line="279"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Power Solutions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e-bike, photovoltaic inverter, LED lighting, motor drive and home appliances.</w:t>
      </w:r>
    </w:p>
    <w:p>
      <w:pPr>
        <w:spacing w:after="0" w:line="76" w:lineRule="exact"/>
        <w:rPr>
          <w:rFonts w:ascii="Arial" w:cs="Arial" w:eastAsia="Arial" w:hAnsi="Arial"/>
          <w:sz w:val="17"/>
          <w:szCs w:val="17"/>
          <w:color w:val="auto"/>
        </w:rPr>
      </w:pPr>
    </w:p>
    <w:p>
      <w:pPr>
        <w:ind w:left="860" w:right="36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Foundry Services Group provides specialty analog and mixed-signal foundry services mainly for fabless and Integrated Device Manufacturer semiconductor companies that primarily serve communications, Internet of Things, consumer, industrial and automotive applications.</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Company’s operations may at times manufacture, or contract to manufacture, products, including the products listed above,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such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Arial" w:cs="Arial" w:eastAsia="Arial" w:hAnsi="Arial"/>
          <w:sz w:val="18"/>
          <w:szCs w:val="18"/>
          <w:i w:val="1"/>
          <w:iCs w:val="1"/>
          <w:color w:val="auto"/>
        </w:rPr>
        <w:t>http://www.magnachip.com/aboutus/aboutus_sub10.html</w:t>
      </w:r>
      <w:r>
        <w:rPr>
          <w:rFonts w:ascii="Arial" w:cs="Arial" w:eastAsia="Arial" w:hAnsi="Arial"/>
          <w:sz w:val="18"/>
          <w:szCs w:val="18"/>
          <w:color w:val="auto"/>
        </w:rPr>
        <w:t>. The content on, or accessible through, any web site referred to in this Report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Report unless expressly noted.</w:t>
      </w:r>
    </w:p>
    <w:p>
      <w:pPr>
        <w:spacing w:after="0" w:line="292" w:lineRule="exact"/>
        <w:rPr>
          <w:sz w:val="20"/>
          <w:szCs w:val="20"/>
          <w:color w:val="auto"/>
        </w:rPr>
      </w:pPr>
    </w:p>
    <w:p>
      <w:pPr>
        <w:ind w:left="180" w:hanging="176"/>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RCOI and Due Diligence Process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41"/>
        <w:spacing w:after="0" w:line="293" w:lineRule="auto"/>
        <w:rPr>
          <w:sz w:val="20"/>
          <w:szCs w:val="20"/>
          <w:color w:val="auto"/>
        </w:rPr>
      </w:pPr>
      <w:r>
        <w:rPr>
          <w:rFonts w:ascii="Arial" w:cs="Arial" w:eastAsia="Arial" w:hAnsi="Arial"/>
          <w:sz w:val="16"/>
          <w:szCs w:val="16"/>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Arial" w:cs="Arial" w:eastAsia="Arial" w:hAnsi="Arial"/>
          <w:sz w:val="16"/>
          <w:szCs w:val="16"/>
          <w:b w:val="1"/>
          <w:bCs w:val="1"/>
          <w:i w:val="1"/>
          <w:iCs w:val="1"/>
          <w:color w:val="auto"/>
        </w:rPr>
        <w:t>OECD Guidelines</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w:t>
      </w:r>
    </w:p>
    <w:p>
      <w:pPr>
        <w:spacing w:after="0" w:line="189"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During the Reporting Period, the Company worked to identify its Tier 1 suppliers and outsourcing manufacturers that it believed could potentially provide materials or components containing Subject Minerals (collectively, the “ </w:t>
      </w:r>
      <w:r>
        <w:rPr>
          <w:rFonts w:ascii="Arial" w:cs="Arial" w:eastAsia="Arial" w:hAnsi="Arial"/>
          <w:sz w:val="16"/>
          <w:szCs w:val="16"/>
          <w:b w:val="1"/>
          <w:bCs w:val="1"/>
          <w:i w:val="1"/>
          <w:iCs w:val="1"/>
          <w:color w:val="auto"/>
        </w:rPr>
        <w:t>Covered Suppliers</w:t>
      </w:r>
      <w:r>
        <w:rPr>
          <w:rFonts w:ascii="Arial" w:cs="Arial" w:eastAsia="Arial" w:hAnsi="Arial"/>
          <w:sz w:val="16"/>
          <w:szCs w:val="16"/>
          <w:color w:val="auto"/>
        </w:rPr>
        <w:t xml:space="preserve"> ”)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Arial" w:cs="Arial" w:eastAsia="Arial" w:hAnsi="Arial"/>
          <w:sz w:val="16"/>
          <w:szCs w:val="16"/>
          <w:b w:val="1"/>
          <w:bCs w:val="1"/>
          <w:i w:val="1"/>
          <w:iCs w:val="1"/>
          <w:color w:val="auto"/>
        </w:rPr>
        <w:t>CMRT</w:t>
      </w:r>
      <w:r>
        <w:rPr>
          <w:rFonts w:ascii="Arial" w:cs="Arial" w:eastAsia="Arial" w:hAnsi="Arial"/>
          <w:sz w:val="16"/>
          <w:szCs w:val="16"/>
          <w:color w:val="auto"/>
        </w:rPr>
        <w:t xml:space="preserve"> ”) that was developed by the Responsible Minerals Initiative (formerly the Conflict-Free Sourcing Initiative) (the “ </w:t>
      </w:r>
      <w:r>
        <w:rPr>
          <w:rFonts w:ascii="Arial" w:cs="Arial" w:eastAsia="Arial" w:hAnsi="Arial"/>
          <w:sz w:val="16"/>
          <w:szCs w:val="16"/>
          <w:b w:val="1"/>
          <w:bCs w:val="1"/>
          <w:i w:val="1"/>
          <w:iCs w:val="1"/>
          <w:color w:val="auto"/>
        </w:rPr>
        <w:t>RMI</w:t>
      </w:r>
      <w:r>
        <w:rPr>
          <w:rFonts w:ascii="Arial" w:cs="Arial" w:eastAsia="Arial" w:hAnsi="Arial"/>
          <w:sz w:val="16"/>
          <w:szCs w:val="16"/>
          <w:color w:val="auto"/>
        </w:rPr>
        <w:t xml:space="preserve"> ”). The RMI was founded by the Responsible Business Alliance (RBA) (formerly the Electronic Industry Citizenship Coalition) and the Global e-Sustainability Initiative (GeSI)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 Conflict-Free Smelter Program) (the “ </w:t>
      </w:r>
      <w:r>
        <w:rPr>
          <w:rFonts w:ascii="Arial" w:cs="Arial" w:eastAsia="Arial" w:hAnsi="Arial"/>
          <w:sz w:val="16"/>
          <w:szCs w:val="16"/>
          <w:b w:val="1"/>
          <w:bCs w:val="1"/>
          <w:i w:val="1"/>
          <w:iCs w:val="1"/>
          <w:color w:val="auto"/>
        </w:rPr>
        <w:t>RMAP</w:t>
      </w:r>
      <w:r>
        <w:rPr>
          <w:rFonts w:ascii="Arial" w:cs="Arial" w:eastAsia="Arial" w:hAnsi="Arial"/>
          <w:sz w:val="16"/>
          <w:szCs w:val="16"/>
          <w:color w:val="auto"/>
        </w:rPr>
        <w:t xml:space="preserve"> ”) sponsors independent third-party audits of smelters and refiners of conflict minerals which determine the country of origin of minerals processed through those smelters and refiners.</w:t>
      </w:r>
    </w:p>
    <w:p>
      <w:pPr>
        <w:spacing w:after="0" w:line="169"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Using a risk-based approach, the Company evaluated responses from the Covered Suppliers for plausibility, consistency, and gaps both in terms of which materials or components were stated to contain or not contain Subject Minerals, as well as the origin of those Subject Minerals.</w:t>
      </w:r>
    </w:p>
    <w:p>
      <w:pPr>
        <w:spacing w:after="0" w:line="14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“Additional Due Diligence and Risk Mitigation” below for additional detail.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Diligence</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Company’s due diligence process is designed to follow the OECD Guidelines. Due diligence measures undertaken by the Company during the Reporting Period included the following: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11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Company has an internal team, consisting of members from its supply management and legal departments, to manage conflict minerals engagement with its suppliers and outsourcing manufacturers. This team is charged with overseeing and driving conflict minerals compliance. This team also works with the Company’s other employees to provide training and guidance, receive and track responses and facilitate communication between departments with respect to compliance with the SEC’s reporting requirements regarding conflict minerals.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Policy Developed to Establish Expectations of Suppliers.</w:t>
      </w:r>
    </w:p>
    <w:p>
      <w:pPr>
        <w:spacing w:after="0" w:line="11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Arial" w:cs="Arial" w:eastAsia="Arial" w:hAnsi="Arial"/>
          <w:sz w:val="18"/>
          <w:szCs w:val="18"/>
          <w:i w:val="1"/>
          <w:iCs w:val="1"/>
          <w:color w:val="auto"/>
        </w:rPr>
        <w:t>http://www.magnachip.com/aboutus/aboutus_sub10.html</w:t>
      </w:r>
      <w:r>
        <w:rPr>
          <w:rFonts w:ascii="Arial" w:cs="Arial" w:eastAsia="Arial" w:hAnsi="Arial"/>
          <w:sz w:val="18"/>
          <w:szCs w:val="18"/>
          <w:color w:val="auto"/>
        </w:rPr>
        <w:t>. The Company’s position statement will be periodically reviewed and updated as needed.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conflict minerals team also continually evaluates its supply agreements and purchasing procedures to determine whether additional contractual or other means of implementing the Company’s policy should be adopted as described below under “</w:t>
      </w:r>
      <w:r>
        <w:rPr>
          <w:rFonts w:ascii="Arial" w:cs="Arial" w:eastAsia="Arial" w:hAnsi="Arial"/>
          <w:sz w:val="18"/>
          <w:szCs w:val="18"/>
          <w:i w:val="1"/>
          <w:iCs w:val="1"/>
          <w:color w:val="auto"/>
        </w:rPr>
        <w:t>Additional Due Diligence and Risk</w:t>
      </w:r>
      <w:r>
        <w:rPr>
          <w:rFonts w:ascii="Arial" w:cs="Arial" w:eastAsia="Arial" w:hAnsi="Arial"/>
          <w:sz w:val="18"/>
          <w:szCs w:val="18"/>
          <w:color w:val="auto"/>
        </w:rPr>
        <w:t xml:space="preserve">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11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Company continues to assess its supply chain risks and work with its suppliers and outsourcing manufacturers in developing greater supply chain transparency.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and outsourcing manufacturers also works to address any significant due diligence findings as they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11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Where possible, the Company has relied on third party assurances and certifications. For example, the Company accepts as reliable any smelter that is a member of the RMAP (in this Report, we refer to RMAP-compliant smelters as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11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This Report is publicly available at </w:t>
      </w:r>
      <w:r>
        <w:rPr>
          <w:rFonts w:ascii="Arial" w:cs="Arial" w:eastAsia="Arial" w:hAnsi="Arial"/>
          <w:sz w:val="18"/>
          <w:szCs w:val="18"/>
          <w:i w:val="1"/>
          <w:iCs w:val="1"/>
          <w:color w:val="auto"/>
        </w:rPr>
        <w:t>http://www.magnachip.com/aboutus/aboutus_sub10.html</w:t>
      </w:r>
      <w:r>
        <w:rPr>
          <w:rFonts w:ascii="Arial" w:cs="Arial" w:eastAsia="Arial" w:hAnsi="Arial"/>
          <w:sz w:val="18"/>
          <w:szCs w:val="18"/>
          <w:color w:val="auto"/>
        </w:rPr>
        <w:t xml:space="preserve"> and meets the OECD recommendation to report annually on supply chain due diligence.</w:t>
      </w:r>
    </w:p>
    <w:p>
      <w:pPr>
        <w:spacing w:after="0" w:line="275" w:lineRule="exact"/>
        <w:rPr>
          <w:sz w:val="20"/>
          <w:szCs w:val="20"/>
          <w:color w:val="auto"/>
        </w:rPr>
      </w:pPr>
    </w:p>
    <w:p>
      <w:pPr>
        <w:ind w:left="180" w:hanging="176"/>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Due Diligence Results</w:t>
      </w:r>
      <w:r>
        <w:rPr>
          <w:rFonts w:ascii="Arial" w:cs="Arial" w:eastAsia="Arial" w:hAnsi="Arial"/>
          <w:sz w:val="18"/>
          <w:szCs w:val="18"/>
          <w:b w:val="1"/>
          <w:bCs w:val="1"/>
          <w:color w:val="auto"/>
        </w:rPr>
        <w:t>.</w:t>
      </w:r>
    </w:p>
    <w:p>
      <w:pPr>
        <w:spacing w:after="0" w:line="22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Based solely on the information obtained pursuant to the RCOI and due diligence process described above, including review of CMRTs completed by the Covered Suppliers in 2018, our Covered Suppliers reported that they solely used Members for the Company’s products. (Two smelters that were reported by a Covered Supplier have now ceased operations and, as a result, are not currently considered Members; however, those smelters were Members prior to ceasing their operations.)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Arial" w:cs="Arial" w:eastAsia="Arial" w:hAnsi="Arial"/>
          <w:sz w:val="18"/>
          <w:szCs w:val="18"/>
          <w:i w:val="1"/>
          <w:iCs w:val="1"/>
          <w:color w:val="auto"/>
        </w:rPr>
        <w:t>Facilities Used to Process Subject Minerals and Country of Origin</w:t>
      </w:r>
      <w:r>
        <w:rPr>
          <w:rFonts w:ascii="Arial" w:cs="Arial" w:eastAsia="Arial" w:hAnsi="Arial"/>
          <w:sz w:val="18"/>
          <w:szCs w:val="18"/>
          <w:color w:val="auto"/>
        </w:rPr>
        <w:t>” below.</w:t>
      </w:r>
    </w:p>
    <w:p>
      <w:pPr>
        <w:spacing w:after="0" w:line="188"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The Company expects to continue to implement and refine its conflict minerals program to improve its supply chain transparency by obtaining more accurate and more complete information from its suppliers and outsourcing manufacturers.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285" w:lineRule="exact"/>
        <w:rPr>
          <w:sz w:val="20"/>
          <w:szCs w:val="20"/>
          <w:color w:val="auto"/>
        </w:rPr>
      </w:pPr>
    </w:p>
    <w:p>
      <w:pPr>
        <w:ind w:left="180" w:hanging="176"/>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Due Diligence and Risk Mitigation</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Within the Company’s supplier relationships, the Company seeks to manage its sourcing processes ethically, and to hold the Company, its suppliers, and its outsourcing manufacturers to high standards of behavior. This means that the Company is committed to working with its suppliers and outsourcing manufacturers to encourage responsible practices throughout the supply network. The Company is working to strengthen its commitment to the responsible sourcing of conflict minerals, including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has also required certifications from its suppliers and outsourcing manufacturers that they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expects to continue to improve its supply chain due diligence efforts. Such measures may include, but are not limited to:</w:t>
      </w:r>
    </w:p>
    <w:p>
      <w:pPr>
        <w:spacing w:after="0" w:line="142" w:lineRule="exact"/>
        <w:rPr>
          <w:sz w:val="20"/>
          <w:szCs w:val="20"/>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30" w:lineRule="exact"/>
        <w:rPr>
          <w:rFonts w:ascii="Arial" w:cs="Arial" w:eastAsia="Arial" w:hAnsi="Arial"/>
          <w:sz w:val="18"/>
          <w:szCs w:val="18"/>
          <w:color w:val="auto"/>
        </w:rPr>
      </w:pPr>
    </w:p>
    <w:p>
      <w:pPr>
        <w:ind w:left="860" w:right="80" w:hanging="316"/>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detail and transparency of responses received in the RCOI and due diligence process, including by continuing to request that suppliers provide CMRTs twice a year.</w:t>
      </w:r>
    </w:p>
    <w:p>
      <w:pPr>
        <w:spacing w:after="0" w:line="75" w:lineRule="exact"/>
        <w:rPr>
          <w:rFonts w:ascii="Arial" w:cs="Arial" w:eastAsia="Arial" w:hAnsi="Arial"/>
          <w:sz w:val="18"/>
          <w:szCs w:val="18"/>
          <w:color w:val="auto"/>
        </w:rPr>
      </w:pPr>
    </w:p>
    <w:p>
      <w:pPr>
        <w:ind w:left="860" w:right="220" w:hanging="316"/>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compare RCOI and due diligence results to information collected via independent conflict free smelter validation programs such as the RMAP; and</w:t>
      </w:r>
    </w:p>
    <w:p>
      <w:pPr>
        <w:spacing w:after="0" w:line="75" w:lineRule="exact"/>
        <w:rPr>
          <w:rFonts w:ascii="Arial" w:cs="Arial" w:eastAsia="Arial" w:hAnsi="Arial"/>
          <w:sz w:val="18"/>
          <w:szCs w:val="18"/>
          <w:color w:val="auto"/>
        </w:rPr>
      </w:pPr>
    </w:p>
    <w:p>
      <w:pPr>
        <w:ind w:left="860" w:right="360" w:hanging="316"/>
        <w:spacing w:after="0" w:line="308"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contacting suppliers and outsourcing manufacturers regarding smelters identified as a result of the RCOI and due diligence process and request their participation in obtaining a “conflict free” designation from an industry program such as the RMAP.</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7" w:name="page8"/>
    <w:bookmarkEnd w:id="7"/>
    <w:p>
      <w:pPr>
        <w:ind w:left="180" w:hanging="176"/>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Facilities Used to Process Subject Minerals and Country of Origin</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Based on the information obtained pursuant to the RCOI and due diligence process described above, the Company does not have sufficient information, with respect to the Reporting Period, to determine the known country of origin of the Subject Minerals, or whether the Subject Minerals in its products are from recycled or scrap sources, for the reasons described above under “</w:t>
      </w:r>
      <w:r>
        <w:rPr>
          <w:rFonts w:ascii="Arial" w:cs="Arial" w:eastAsia="Arial" w:hAnsi="Arial"/>
          <w:sz w:val="18"/>
          <w:szCs w:val="18"/>
          <w:i w:val="1"/>
          <w:iCs w:val="1"/>
          <w:color w:val="auto"/>
        </w:rPr>
        <w:t>Due Diligence Results</w:t>
      </w:r>
      <w:r>
        <w:rPr>
          <w:rFonts w:ascii="Arial" w:cs="Arial" w:eastAsia="Arial" w:hAnsi="Arial"/>
          <w:sz w:val="18"/>
          <w:szCs w:val="18"/>
          <w:color w:val="auto"/>
        </w:rPr>
        <w:t>.” Based on the information provided by the Covered Suppliers in their completed CMRTs, however, the Company believes that facilities that may have been used to process the Subject Minerals in the Company’s products include the following smelters and refiners.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6"/>
              </w:rPr>
              <w:t>Subject Mineral</w:t>
            </w:r>
          </w:p>
        </w:tc>
        <w:tc>
          <w:tcPr>
            <w:tcW w:w="320" w:type="dxa"/>
            <w:vAlign w:val="bottom"/>
          </w:tcPr>
          <w:p>
            <w:pPr>
              <w:spacing w:after="0"/>
              <w:rPr>
                <w:sz w:val="14"/>
                <w:szCs w:val="14"/>
                <w:color w:val="auto"/>
              </w:rPr>
            </w:pPr>
          </w:p>
        </w:tc>
        <w:tc>
          <w:tcPr>
            <w:tcW w:w="474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Smelter or Refiner Name</w:t>
            </w:r>
          </w:p>
        </w:tc>
        <w:tc>
          <w:tcPr>
            <w:tcW w:w="2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3"/>
              </w:rPr>
              <w:t>Country Location of</w:t>
            </w:r>
          </w:p>
        </w:tc>
        <w:tc>
          <w:tcPr>
            <w:tcW w:w="0" w:type="dxa"/>
            <w:vAlign w:val="bottom"/>
          </w:tcPr>
          <w:p>
            <w:pPr>
              <w:spacing w:after="0"/>
              <w:rPr>
                <w:sz w:val="1"/>
                <w:szCs w:val="1"/>
                <w:color w:val="auto"/>
              </w:rPr>
            </w:pPr>
          </w:p>
        </w:tc>
      </w:tr>
      <w:tr>
        <w:trPr>
          <w:trHeight w:val="191"/>
        </w:trPr>
        <w:tc>
          <w:tcPr>
            <w:tcW w:w="10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Smelter or Refiner</w:t>
            </w: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Gold</w:t>
            </w:r>
          </w:p>
        </w:tc>
        <w:tc>
          <w:tcPr>
            <w:tcW w:w="32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8"/>
                <w:szCs w:val="18"/>
                <w:color w:val="auto"/>
              </w:rPr>
              <w:t>Advanced Chemical Company</w:t>
            </w:r>
          </w:p>
        </w:tc>
        <w:tc>
          <w:tcPr>
            <w:tcW w:w="22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Aida Chemical Industries Co.,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Al Etihad Gold LLC</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Allgemeine Gold-und Silberscheideanstalt A.G.</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Almalyk Mining and Metallurgical Complex (AMMC)</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AngloGold Ashanti Corrego do Sitio Mineracao</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Argor-Heraeus S.A.</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Asahi Pretec Corp.</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Asahi Refining Canada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Asahi Refining USA Inc.</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Asaka Riken Co.,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AU Traders and Refiners</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Aurubis AG</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w w:val="97"/>
              </w:rPr>
              <w:t>Bangko Sentral ng Pilipinas (Central Bank of the Philippines)</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Boliden AB</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C. Hafner GmbH + Co. KG</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CCR Refinery—Glencore Canada Corporation</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Cendres + Metaux S.A.</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Chimet S.p.A.</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Daejin Indus Co.,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DODUCO Contacts and Refining GmbH</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Dowa</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DSC (Do Sung Corporation)</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Eco-System Recycling Co.,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Emirates Gold DMCC</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Geib Refining Corporation</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Gold Refinery of Zijin Mining Group Co.,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HeeSung Metal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Heimerle + Meule GmbH</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Heraeus Metals Hong Kong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Heraeus Precious Metals GmbH &amp; Co. KG</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w w:val="97"/>
              </w:rPr>
              <w:t>Inner Mongolia Qiankun Gold and Silver Refinery Share Co.,</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Ltd.</w:t>
            </w:r>
          </w:p>
        </w:tc>
        <w:tc>
          <w:tcPr>
            <w:tcW w:w="2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Ishifuku Metal Industry Co., Ltd.</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Istanbul Gold Refinery</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Gold</w:t>
            </w: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rPr>
              <w:t>Italpreziosi</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5060" w:type="dxa"/>
            <w:vAlign w:val="bottom"/>
            <w:gridSpan w:val="2"/>
          </w:tcPr>
          <w:p>
            <w:pPr>
              <w:jc w:val="right"/>
              <w:ind w:right="439"/>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Japan Mint</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Jiangxi Copper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JSC Uralelectromed</w:t>
            </w:r>
          </w:p>
        </w:tc>
        <w:tc>
          <w:tcPr>
            <w:tcW w:w="202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JX Nippon Mining &amp; Metals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Kazzinc</w:t>
            </w:r>
          </w:p>
        </w:tc>
        <w:tc>
          <w:tcPr>
            <w:tcW w:w="2020" w:type="dxa"/>
            <w:vAlign w:val="bottom"/>
          </w:tcPr>
          <w:p>
            <w:pPr>
              <w:ind w:left="200"/>
              <w:spacing w:after="0"/>
              <w:rPr>
                <w:sz w:val="20"/>
                <w:szCs w:val="20"/>
                <w:color w:val="auto"/>
              </w:rPr>
            </w:pPr>
            <w:r>
              <w:rPr>
                <w:rFonts w:ascii="Arial" w:cs="Arial" w:eastAsia="Arial" w:hAnsi="Arial"/>
                <w:sz w:val="18"/>
                <w:szCs w:val="18"/>
                <w:color w:val="auto"/>
              </w:rPr>
              <w:t>Kazakhstan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Kennecott Utah Copper LLC</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Kojima Chemicals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Korea Zinc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Korea, Republic of</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Kyrgyzaltyn JSC</w:t>
            </w:r>
          </w:p>
        </w:tc>
        <w:tc>
          <w:tcPr>
            <w:tcW w:w="2020" w:type="dxa"/>
            <w:vAlign w:val="bottom"/>
          </w:tcPr>
          <w:p>
            <w:pPr>
              <w:ind w:left="200"/>
              <w:spacing w:after="0"/>
              <w:rPr>
                <w:sz w:val="20"/>
                <w:szCs w:val="20"/>
                <w:color w:val="auto"/>
              </w:rPr>
            </w:pPr>
            <w:r>
              <w:rPr>
                <w:rFonts w:ascii="Arial" w:cs="Arial" w:eastAsia="Arial" w:hAnsi="Arial"/>
                <w:sz w:val="18"/>
                <w:szCs w:val="18"/>
                <w:color w:val="auto"/>
              </w:rPr>
              <w:t>Kyrgyzstan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L’Orfebre S.A.</w:t>
            </w:r>
          </w:p>
        </w:tc>
        <w:tc>
          <w:tcPr>
            <w:tcW w:w="2020" w:type="dxa"/>
            <w:vAlign w:val="bottom"/>
          </w:tcPr>
          <w:p>
            <w:pPr>
              <w:ind w:left="200"/>
              <w:spacing w:after="0"/>
              <w:rPr>
                <w:sz w:val="20"/>
                <w:szCs w:val="20"/>
                <w:color w:val="auto"/>
              </w:rPr>
            </w:pPr>
            <w:r>
              <w:rPr>
                <w:rFonts w:ascii="Arial" w:cs="Arial" w:eastAsia="Arial" w:hAnsi="Arial"/>
                <w:sz w:val="18"/>
                <w:szCs w:val="18"/>
                <w:color w:val="auto"/>
              </w:rPr>
              <w:t>Andorra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LS-NIKKO Copper Inc.</w:t>
            </w:r>
          </w:p>
        </w:tc>
        <w:tc>
          <w:tcPr>
            <w:tcW w:w="2020" w:type="dxa"/>
            <w:vAlign w:val="bottom"/>
          </w:tcPr>
          <w:p>
            <w:pPr>
              <w:ind w:left="200"/>
              <w:spacing w:after="0"/>
              <w:rPr>
                <w:sz w:val="20"/>
                <w:szCs w:val="20"/>
                <w:color w:val="auto"/>
              </w:rPr>
            </w:pPr>
            <w:r>
              <w:rPr>
                <w:rFonts w:ascii="Arial" w:cs="Arial" w:eastAsia="Arial" w:hAnsi="Arial"/>
                <w:sz w:val="18"/>
                <w:szCs w:val="18"/>
                <w:color w:val="auto"/>
              </w:rPr>
              <w:t>Korea, Republic of</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Marsam Metals</w:t>
            </w:r>
          </w:p>
        </w:tc>
        <w:tc>
          <w:tcPr>
            <w:tcW w:w="2020" w:type="dxa"/>
            <w:vAlign w:val="bottom"/>
          </w:tcPr>
          <w:p>
            <w:pPr>
              <w:ind w:left="200"/>
              <w:spacing w:after="0"/>
              <w:rPr>
                <w:sz w:val="20"/>
                <w:szCs w:val="20"/>
                <w:color w:val="auto"/>
              </w:rPr>
            </w:pPr>
            <w:r>
              <w:rPr>
                <w:rFonts w:ascii="Arial" w:cs="Arial" w:eastAsia="Arial" w:hAnsi="Arial"/>
                <w:sz w:val="18"/>
                <w:szCs w:val="18"/>
                <w:color w:val="auto"/>
              </w:rPr>
              <w:t>Brazil</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Materion</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Matsuda Sangyo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Metalor Technologies (Hong Kong)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Metalor Technologies (Singapore) Pte., Ltd.</w:t>
            </w:r>
          </w:p>
        </w:tc>
        <w:tc>
          <w:tcPr>
            <w:tcW w:w="202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Metalor Technologies (Suzhou)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Metalor Technologies S.A.</w:t>
            </w:r>
          </w:p>
        </w:tc>
        <w:tc>
          <w:tcPr>
            <w:tcW w:w="2020" w:type="dxa"/>
            <w:vAlign w:val="bottom"/>
          </w:tcPr>
          <w:p>
            <w:pPr>
              <w:ind w:left="200"/>
              <w:spacing w:after="0"/>
              <w:rPr>
                <w:sz w:val="20"/>
                <w:szCs w:val="20"/>
                <w:color w:val="auto"/>
              </w:rPr>
            </w:pPr>
            <w:r>
              <w:rPr>
                <w:rFonts w:ascii="Arial" w:cs="Arial" w:eastAsia="Arial" w:hAnsi="Arial"/>
                <w:sz w:val="18"/>
                <w:szCs w:val="18"/>
                <w:color w:val="auto"/>
              </w:rPr>
              <w:t>Switzerland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Metalor USA Refining Corporation</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Metalurgica Met-Mex Penoles S.A. De C.V.</w:t>
            </w:r>
          </w:p>
        </w:tc>
        <w:tc>
          <w:tcPr>
            <w:tcW w:w="2020" w:type="dxa"/>
            <w:vAlign w:val="bottom"/>
          </w:tcPr>
          <w:p>
            <w:pPr>
              <w:ind w:left="200"/>
              <w:spacing w:after="0"/>
              <w:rPr>
                <w:sz w:val="20"/>
                <w:szCs w:val="20"/>
                <w:color w:val="auto"/>
              </w:rPr>
            </w:pPr>
            <w:r>
              <w:rPr>
                <w:rFonts w:ascii="Arial" w:cs="Arial" w:eastAsia="Arial" w:hAnsi="Arial"/>
                <w:sz w:val="18"/>
                <w:szCs w:val="18"/>
                <w:color w:val="auto"/>
              </w:rPr>
              <w:t>Mexico</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Mitsubishi Materials Corporation</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Mitsui Mining and Smelting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MMTC-PAMP India Pvt., Ltd.</w:t>
            </w:r>
          </w:p>
        </w:tc>
        <w:tc>
          <w:tcPr>
            <w:tcW w:w="2020" w:type="dxa"/>
            <w:vAlign w:val="bottom"/>
          </w:tcPr>
          <w:p>
            <w:pPr>
              <w:ind w:left="200"/>
              <w:spacing w:after="0"/>
              <w:rPr>
                <w:sz w:val="20"/>
                <w:szCs w:val="20"/>
                <w:color w:val="auto"/>
              </w:rPr>
            </w:pPr>
            <w:r>
              <w:rPr>
                <w:rFonts w:ascii="Arial" w:cs="Arial" w:eastAsia="Arial" w:hAnsi="Arial"/>
                <w:sz w:val="18"/>
                <w:szCs w:val="18"/>
                <w:color w:val="auto"/>
              </w:rPr>
              <w:t>India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Moscow Special Alloys Processing Plant</w:t>
            </w:r>
          </w:p>
        </w:tc>
        <w:tc>
          <w:tcPr>
            <w:tcW w:w="202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Nadir Metal Rafineri San. Ve Tic. A.S.</w:t>
            </w:r>
          </w:p>
        </w:tc>
        <w:tc>
          <w:tcPr>
            <w:tcW w:w="2020" w:type="dxa"/>
            <w:vAlign w:val="bottom"/>
          </w:tcPr>
          <w:p>
            <w:pPr>
              <w:ind w:left="200"/>
              <w:spacing w:after="0"/>
              <w:rPr>
                <w:sz w:val="20"/>
                <w:szCs w:val="20"/>
                <w:color w:val="auto"/>
              </w:rPr>
            </w:pPr>
            <w:r>
              <w:rPr>
                <w:rFonts w:ascii="Arial" w:cs="Arial" w:eastAsia="Arial" w:hAnsi="Arial"/>
                <w:sz w:val="18"/>
                <w:szCs w:val="18"/>
                <w:color w:val="auto"/>
              </w:rPr>
              <w:t>Turkey</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Nihon Material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Ogussa Osterreichische Gold- und Silber-Scheideanstalt GmbH</w:t>
            </w:r>
          </w:p>
        </w:tc>
        <w:tc>
          <w:tcPr>
            <w:tcW w:w="2020" w:type="dxa"/>
            <w:vAlign w:val="bottom"/>
          </w:tcPr>
          <w:p>
            <w:pPr>
              <w:ind w:left="200"/>
              <w:spacing w:after="0"/>
              <w:rPr>
                <w:sz w:val="20"/>
                <w:szCs w:val="20"/>
                <w:color w:val="auto"/>
              </w:rPr>
            </w:pPr>
            <w:r>
              <w:rPr>
                <w:rFonts w:ascii="Arial" w:cs="Arial" w:eastAsia="Arial" w:hAnsi="Arial"/>
                <w:sz w:val="18"/>
                <w:szCs w:val="18"/>
                <w:color w:val="auto"/>
              </w:rPr>
              <w:t>Austria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Ohura Precious Metal Industry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w w:val="96"/>
              </w:rPr>
              <w:t>OJSC “The Gulidov Krasnoyarsk Non-Ferrous Metals Plant” (OJSC</w:t>
            </w:r>
          </w:p>
        </w:tc>
        <w:tc>
          <w:tcPr>
            <w:tcW w:w="202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216"/>
        </w:trPr>
        <w:tc>
          <w:tcPr>
            <w:tcW w:w="46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Krastsvetmet)</w:t>
            </w:r>
          </w:p>
        </w:tc>
        <w:tc>
          <w:tcPr>
            <w:tcW w:w="202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OJSC Novosibirsk Refinery</w:t>
            </w:r>
          </w:p>
        </w:tc>
        <w:tc>
          <w:tcPr>
            <w:tcW w:w="202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PAMP S.A.</w:t>
            </w:r>
          </w:p>
        </w:tc>
        <w:tc>
          <w:tcPr>
            <w:tcW w:w="2020" w:type="dxa"/>
            <w:vAlign w:val="bottom"/>
          </w:tcPr>
          <w:p>
            <w:pPr>
              <w:ind w:left="200"/>
              <w:spacing w:after="0"/>
              <w:rPr>
                <w:sz w:val="20"/>
                <w:szCs w:val="20"/>
                <w:color w:val="auto"/>
              </w:rPr>
            </w:pPr>
            <w:r>
              <w:rPr>
                <w:rFonts w:ascii="Arial" w:cs="Arial" w:eastAsia="Arial" w:hAnsi="Arial"/>
                <w:sz w:val="18"/>
                <w:szCs w:val="18"/>
                <w:color w:val="auto"/>
              </w:rPr>
              <w:t>Switzerland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Planta Recuperadora de Metales SpA</w:t>
            </w:r>
          </w:p>
        </w:tc>
        <w:tc>
          <w:tcPr>
            <w:tcW w:w="2020" w:type="dxa"/>
            <w:vAlign w:val="bottom"/>
          </w:tcPr>
          <w:p>
            <w:pPr>
              <w:ind w:left="200"/>
              <w:spacing w:after="0"/>
              <w:rPr>
                <w:sz w:val="20"/>
                <w:szCs w:val="20"/>
                <w:color w:val="auto"/>
              </w:rPr>
            </w:pPr>
            <w:r>
              <w:rPr>
                <w:rFonts w:ascii="Arial" w:cs="Arial" w:eastAsia="Arial" w:hAnsi="Arial"/>
                <w:sz w:val="18"/>
                <w:szCs w:val="18"/>
                <w:color w:val="auto"/>
              </w:rPr>
              <w:t>Chile</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Prioksky Plant of Non-Ferrous Metals</w:t>
            </w:r>
          </w:p>
        </w:tc>
        <w:tc>
          <w:tcPr>
            <w:tcW w:w="202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PT Aneka Tambang (Persero) Tbk</w:t>
            </w:r>
          </w:p>
        </w:tc>
        <w:tc>
          <w:tcPr>
            <w:tcW w:w="2020" w:type="dxa"/>
            <w:vAlign w:val="bottom"/>
          </w:tcPr>
          <w:p>
            <w:pPr>
              <w:ind w:left="200"/>
              <w:spacing w:after="0"/>
              <w:rPr>
                <w:sz w:val="20"/>
                <w:szCs w:val="20"/>
                <w:color w:val="auto"/>
              </w:rPr>
            </w:pPr>
            <w:r>
              <w:rPr>
                <w:rFonts w:ascii="Arial" w:cs="Arial" w:eastAsia="Arial" w:hAnsi="Arial"/>
                <w:sz w:val="18"/>
                <w:szCs w:val="18"/>
                <w:color w:val="auto"/>
              </w:rPr>
              <w:t>Indonesia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PX Precinox S.A.</w:t>
            </w:r>
          </w:p>
        </w:tc>
        <w:tc>
          <w:tcPr>
            <w:tcW w:w="2020" w:type="dxa"/>
            <w:vAlign w:val="bottom"/>
          </w:tcPr>
          <w:p>
            <w:pPr>
              <w:ind w:left="200"/>
              <w:spacing w:after="0"/>
              <w:rPr>
                <w:sz w:val="20"/>
                <w:szCs w:val="20"/>
                <w:color w:val="auto"/>
              </w:rPr>
            </w:pPr>
            <w:r>
              <w:rPr>
                <w:rFonts w:ascii="Arial" w:cs="Arial" w:eastAsia="Arial" w:hAnsi="Arial"/>
                <w:sz w:val="18"/>
                <w:szCs w:val="18"/>
                <w:color w:val="auto"/>
              </w:rPr>
              <w:t>Switzerland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Rand Refinery (Pty) Ltd.</w:t>
            </w:r>
          </w:p>
        </w:tc>
        <w:tc>
          <w:tcPr>
            <w:tcW w:w="2020" w:type="dxa"/>
            <w:vAlign w:val="bottom"/>
          </w:tcPr>
          <w:p>
            <w:pPr>
              <w:ind w:left="200"/>
              <w:spacing w:after="0"/>
              <w:rPr>
                <w:sz w:val="20"/>
                <w:szCs w:val="20"/>
                <w:color w:val="auto"/>
              </w:rPr>
            </w:pPr>
            <w:r>
              <w:rPr>
                <w:rFonts w:ascii="Arial" w:cs="Arial" w:eastAsia="Arial" w:hAnsi="Arial"/>
                <w:sz w:val="18"/>
                <w:szCs w:val="18"/>
                <w:color w:val="auto"/>
              </w:rPr>
              <w:t>South Africa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Remondis Argentia B.V.</w:t>
            </w:r>
          </w:p>
        </w:tc>
        <w:tc>
          <w:tcPr>
            <w:tcW w:w="2020" w:type="dxa"/>
            <w:vAlign w:val="bottom"/>
          </w:tcPr>
          <w:p>
            <w:pPr>
              <w:ind w:left="200"/>
              <w:spacing w:after="0"/>
              <w:rPr>
                <w:sz w:val="20"/>
                <w:szCs w:val="20"/>
                <w:color w:val="auto"/>
              </w:rPr>
            </w:pPr>
            <w:r>
              <w:rPr>
                <w:rFonts w:ascii="Arial" w:cs="Arial" w:eastAsia="Arial" w:hAnsi="Arial"/>
                <w:sz w:val="18"/>
                <w:szCs w:val="18"/>
                <w:color w:val="auto"/>
              </w:rPr>
              <w:t>Netherlands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Royal Canadian Mint</w:t>
            </w:r>
          </w:p>
        </w:tc>
        <w:tc>
          <w:tcPr>
            <w:tcW w:w="2020" w:type="dxa"/>
            <w:vAlign w:val="bottom"/>
          </w:tcPr>
          <w:p>
            <w:pPr>
              <w:ind w:left="200"/>
              <w:spacing w:after="0"/>
              <w:rPr>
                <w:sz w:val="20"/>
                <w:szCs w:val="20"/>
                <w:color w:val="auto"/>
              </w:rPr>
            </w:pPr>
            <w:r>
              <w:rPr>
                <w:rFonts w:ascii="Arial" w:cs="Arial" w:eastAsia="Arial" w:hAnsi="Arial"/>
                <w:sz w:val="18"/>
                <w:szCs w:val="18"/>
                <w:color w:val="auto"/>
              </w:rPr>
              <w:t>Canada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SAAMP</w:t>
            </w:r>
          </w:p>
        </w:tc>
        <w:tc>
          <w:tcPr>
            <w:tcW w:w="2020" w:type="dxa"/>
            <w:vAlign w:val="bottom"/>
          </w:tcPr>
          <w:p>
            <w:pPr>
              <w:ind w:left="200"/>
              <w:spacing w:after="0"/>
              <w:rPr>
                <w:sz w:val="20"/>
                <w:szCs w:val="20"/>
                <w:color w:val="auto"/>
              </w:rPr>
            </w:pPr>
            <w:r>
              <w:rPr>
                <w:rFonts w:ascii="Arial" w:cs="Arial" w:eastAsia="Arial" w:hAnsi="Arial"/>
                <w:sz w:val="18"/>
                <w:szCs w:val="18"/>
                <w:color w:val="auto"/>
              </w:rPr>
              <w:t>France</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Safimet S.p.A</w:t>
            </w:r>
          </w:p>
        </w:tc>
        <w:tc>
          <w:tcPr>
            <w:tcW w:w="2020" w:type="dxa"/>
            <w:vAlign w:val="bottom"/>
          </w:tcPr>
          <w:p>
            <w:pPr>
              <w:ind w:left="200"/>
              <w:spacing w:after="0"/>
              <w:rPr>
                <w:sz w:val="20"/>
                <w:szCs w:val="20"/>
                <w:color w:val="auto"/>
              </w:rPr>
            </w:pPr>
            <w:r>
              <w:rPr>
                <w:rFonts w:ascii="Arial" w:cs="Arial" w:eastAsia="Arial" w:hAnsi="Arial"/>
                <w:sz w:val="18"/>
                <w:szCs w:val="18"/>
                <w:color w:val="auto"/>
              </w:rPr>
              <w:t>Italy</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Samduck Precious Metals</w:t>
            </w:r>
          </w:p>
        </w:tc>
        <w:tc>
          <w:tcPr>
            <w:tcW w:w="2020" w:type="dxa"/>
            <w:vAlign w:val="bottom"/>
          </w:tcPr>
          <w:p>
            <w:pPr>
              <w:ind w:left="200"/>
              <w:spacing w:after="0"/>
              <w:rPr>
                <w:sz w:val="20"/>
                <w:szCs w:val="20"/>
                <w:color w:val="auto"/>
              </w:rPr>
            </w:pPr>
            <w:r>
              <w:rPr>
                <w:rFonts w:ascii="Arial" w:cs="Arial" w:eastAsia="Arial" w:hAnsi="Arial"/>
                <w:sz w:val="18"/>
                <w:szCs w:val="18"/>
                <w:color w:val="auto"/>
              </w:rPr>
              <w:t>Korea, Republic of</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SAXONIA Edelmetalle GmbH</w:t>
            </w:r>
          </w:p>
        </w:tc>
        <w:tc>
          <w:tcPr>
            <w:tcW w:w="202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SEMPSA Joyeria Plateria S.A.</w:t>
            </w:r>
          </w:p>
        </w:tc>
        <w:tc>
          <w:tcPr>
            <w:tcW w:w="2020" w:type="dxa"/>
            <w:vAlign w:val="bottom"/>
          </w:tcPr>
          <w:p>
            <w:pPr>
              <w:ind w:left="200"/>
              <w:spacing w:after="0"/>
              <w:rPr>
                <w:sz w:val="20"/>
                <w:szCs w:val="20"/>
                <w:color w:val="auto"/>
              </w:rPr>
            </w:pPr>
            <w:r>
              <w:rPr>
                <w:rFonts w:ascii="Arial" w:cs="Arial" w:eastAsia="Arial" w:hAnsi="Arial"/>
                <w:sz w:val="18"/>
                <w:szCs w:val="18"/>
                <w:color w:val="auto"/>
              </w:rPr>
              <w:t>Spain</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300" w:type="dxa"/>
            <w:vAlign w:val="bottom"/>
          </w:tcPr>
          <w:p>
            <w:pPr>
              <w:ind w:left="120"/>
              <w:spacing w:after="0"/>
              <w:rPr>
                <w:sz w:val="20"/>
                <w:szCs w:val="20"/>
                <w:color w:val="auto"/>
              </w:rPr>
            </w:pPr>
            <w:r>
              <w:rPr>
                <w:rFonts w:ascii="Arial" w:cs="Arial" w:eastAsia="Arial" w:hAnsi="Arial"/>
                <w:sz w:val="18"/>
                <w:szCs w:val="18"/>
                <w:color w:val="auto"/>
              </w:rPr>
              <w:t>Shandong Zhaojin Gold &amp; Silver Refinery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65"/>
        </w:trPr>
        <w:tc>
          <w:tcPr>
            <w:tcW w:w="460" w:type="dxa"/>
            <w:vAlign w:val="bottom"/>
          </w:tcPr>
          <w:p>
            <w:pPr>
              <w:spacing w:after="0"/>
              <w:rPr>
                <w:sz w:val="24"/>
                <w:szCs w:val="24"/>
                <w:color w:val="auto"/>
              </w:rPr>
            </w:pPr>
          </w:p>
        </w:tc>
        <w:tc>
          <w:tcPr>
            <w:tcW w:w="5300" w:type="dxa"/>
            <w:vAlign w:val="bottom"/>
          </w:tcPr>
          <w:p>
            <w:pPr>
              <w:ind w:left="5000"/>
              <w:spacing w:after="0"/>
              <w:rPr>
                <w:sz w:val="20"/>
                <w:szCs w:val="20"/>
                <w:color w:val="auto"/>
              </w:rPr>
            </w:pPr>
            <w:r>
              <w:rPr>
                <w:rFonts w:ascii="Arial" w:cs="Arial" w:eastAsia="Arial" w:hAnsi="Arial"/>
                <w:sz w:val="18"/>
                <w:szCs w:val="18"/>
                <w:color w:val="auto"/>
              </w:rPr>
              <w:t>6</w:t>
            </w:r>
          </w:p>
        </w:tc>
        <w:tc>
          <w:tcPr>
            <w:tcW w:w="2020" w:type="dxa"/>
            <w:vAlign w:val="bottom"/>
          </w:tcPr>
          <w:p>
            <w:pPr>
              <w:spacing w:after="0"/>
              <w:rPr>
                <w:sz w:val="24"/>
                <w:szCs w:val="24"/>
                <w:color w:val="auto"/>
              </w:rPr>
            </w:pPr>
          </w:p>
        </w:tc>
      </w:tr>
    </w:tbl>
    <w:p>
      <w:pPr>
        <w:sectPr>
          <w:pgSz w:w="11900" w:h="16838" w:orient="portrait"/>
          <w:cols w:equalWidth="0" w:num="1">
            <w:col w:w="10019"/>
          </w:cols>
          <w:pgMar w:left="440" w:top="274"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Sichuan Tianze Precious Metals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Singway Technology Co., Ltd.</w:t>
            </w:r>
          </w:p>
        </w:tc>
        <w:tc>
          <w:tcPr>
            <w:tcW w:w="2760" w:type="dxa"/>
            <w:vAlign w:val="bottom"/>
          </w:tcPr>
          <w:p>
            <w:pPr>
              <w:ind w:left="820"/>
              <w:spacing w:after="0"/>
              <w:rPr>
                <w:sz w:val="20"/>
                <w:szCs w:val="20"/>
                <w:color w:val="auto"/>
              </w:rPr>
            </w:pPr>
            <w:r>
              <w:rPr>
                <w:rFonts w:ascii="Arial" w:cs="Arial" w:eastAsia="Arial" w:hAnsi="Arial"/>
                <w:sz w:val="18"/>
                <w:szCs w:val="18"/>
                <w:color w:val="auto"/>
                <w:w w:val="91"/>
              </w:rPr>
              <w:t>Taiwan, Province of 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w w:val="95"/>
              </w:rPr>
              <w:t>SOE Shyolkovsky Factory of Secondary Precious Metals</w:t>
            </w:r>
          </w:p>
        </w:tc>
        <w:tc>
          <w:tcPr>
            <w:tcW w:w="2760" w:type="dxa"/>
            <w:vAlign w:val="bottom"/>
          </w:tcPr>
          <w:p>
            <w:pPr>
              <w:ind w:left="82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Solar Applied Materials Technology Corp.</w:t>
            </w:r>
          </w:p>
        </w:tc>
        <w:tc>
          <w:tcPr>
            <w:tcW w:w="2760" w:type="dxa"/>
            <w:vAlign w:val="bottom"/>
          </w:tcPr>
          <w:p>
            <w:pPr>
              <w:ind w:left="820"/>
              <w:spacing w:after="0"/>
              <w:rPr>
                <w:sz w:val="20"/>
                <w:szCs w:val="20"/>
                <w:color w:val="auto"/>
              </w:rPr>
            </w:pPr>
            <w:r>
              <w:rPr>
                <w:rFonts w:ascii="Arial" w:cs="Arial" w:eastAsia="Arial" w:hAnsi="Arial"/>
                <w:sz w:val="18"/>
                <w:szCs w:val="18"/>
                <w:color w:val="auto"/>
                <w:w w:val="91"/>
              </w:rPr>
              <w:t>Taiwan, Province of 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Sumitomo Metal Mining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SungEel HiMetal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Korea, Republic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T.C.A S.p.A</w:t>
            </w:r>
          </w:p>
        </w:tc>
        <w:tc>
          <w:tcPr>
            <w:tcW w:w="2760" w:type="dxa"/>
            <w:vAlign w:val="bottom"/>
          </w:tcPr>
          <w:p>
            <w:pPr>
              <w:ind w:left="820"/>
              <w:spacing w:after="0"/>
              <w:rPr>
                <w:sz w:val="20"/>
                <w:szCs w:val="20"/>
                <w:color w:val="auto"/>
              </w:rPr>
            </w:pPr>
            <w:r>
              <w:rPr>
                <w:rFonts w:ascii="Arial" w:cs="Arial" w:eastAsia="Arial" w:hAnsi="Arial"/>
                <w:sz w:val="18"/>
                <w:szCs w:val="18"/>
                <w:color w:val="auto"/>
              </w:rPr>
              <w:t>Italy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Tanaka Kikinzoku Kogyo K.K.</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The Refinery of Shandong Gold Mining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Tokuriki Honten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Torecom</w:t>
            </w:r>
          </w:p>
        </w:tc>
        <w:tc>
          <w:tcPr>
            <w:tcW w:w="2760" w:type="dxa"/>
            <w:vAlign w:val="bottom"/>
          </w:tcPr>
          <w:p>
            <w:pPr>
              <w:ind w:left="820"/>
              <w:spacing w:after="0"/>
              <w:rPr>
                <w:sz w:val="20"/>
                <w:szCs w:val="20"/>
                <w:color w:val="auto"/>
              </w:rPr>
            </w:pPr>
            <w:r>
              <w:rPr>
                <w:rFonts w:ascii="Arial" w:cs="Arial" w:eastAsia="Arial" w:hAnsi="Arial"/>
                <w:sz w:val="18"/>
                <w:szCs w:val="18"/>
                <w:color w:val="auto"/>
              </w:rPr>
              <w:t>Korea, Republic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Umicore Brasil Ltda.</w:t>
            </w:r>
          </w:p>
        </w:tc>
        <w:tc>
          <w:tcPr>
            <w:tcW w:w="2760" w:type="dxa"/>
            <w:vAlign w:val="bottom"/>
          </w:tcPr>
          <w:p>
            <w:pPr>
              <w:ind w:left="82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Umicore Precious Metals Thailand</w:t>
            </w:r>
          </w:p>
        </w:tc>
        <w:tc>
          <w:tcPr>
            <w:tcW w:w="2760" w:type="dxa"/>
            <w:vAlign w:val="bottom"/>
          </w:tcPr>
          <w:p>
            <w:pPr>
              <w:ind w:left="820"/>
              <w:spacing w:after="0"/>
              <w:rPr>
                <w:sz w:val="20"/>
                <w:szCs w:val="20"/>
                <w:color w:val="auto"/>
              </w:rPr>
            </w:pPr>
            <w:r>
              <w:rPr>
                <w:rFonts w:ascii="Arial" w:cs="Arial" w:eastAsia="Arial" w:hAnsi="Arial"/>
                <w:sz w:val="18"/>
                <w:szCs w:val="18"/>
                <w:color w:val="auto"/>
              </w:rPr>
              <w:t>Thailand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Umicore S.A. Business Unit Precious Metals Refining</w:t>
            </w:r>
          </w:p>
        </w:tc>
        <w:tc>
          <w:tcPr>
            <w:tcW w:w="2760" w:type="dxa"/>
            <w:vAlign w:val="bottom"/>
          </w:tcPr>
          <w:p>
            <w:pPr>
              <w:ind w:left="820"/>
              <w:spacing w:after="0"/>
              <w:rPr>
                <w:sz w:val="20"/>
                <w:szCs w:val="20"/>
                <w:color w:val="auto"/>
              </w:rPr>
            </w:pPr>
            <w:r>
              <w:rPr>
                <w:rFonts w:ascii="Arial" w:cs="Arial" w:eastAsia="Arial" w:hAnsi="Arial"/>
                <w:sz w:val="18"/>
                <w:szCs w:val="18"/>
                <w:color w:val="auto"/>
              </w:rPr>
              <w:t>Belgium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United Precious Metal Refining, Inc.</w:t>
            </w:r>
          </w:p>
        </w:tc>
        <w:tc>
          <w:tcPr>
            <w:tcW w:w="2760" w:type="dxa"/>
            <w:vAlign w:val="bottom"/>
          </w:tcPr>
          <w:p>
            <w:pPr>
              <w:ind w:left="82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Valcambi S.A.</w:t>
            </w:r>
          </w:p>
        </w:tc>
        <w:tc>
          <w:tcPr>
            <w:tcW w:w="2760" w:type="dxa"/>
            <w:vAlign w:val="bottom"/>
          </w:tcPr>
          <w:p>
            <w:pPr>
              <w:ind w:left="820"/>
              <w:spacing w:after="0"/>
              <w:rPr>
                <w:sz w:val="20"/>
                <w:szCs w:val="20"/>
                <w:color w:val="auto"/>
              </w:rPr>
            </w:pPr>
            <w:r>
              <w:rPr>
                <w:rFonts w:ascii="Arial" w:cs="Arial" w:eastAsia="Arial" w:hAnsi="Arial"/>
                <w:sz w:val="18"/>
                <w:szCs w:val="18"/>
                <w:color w:val="auto"/>
              </w:rPr>
              <w:t>Switzerland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Western Australian Mint (T/a The Perth Mint)</w:t>
            </w:r>
          </w:p>
        </w:tc>
        <w:tc>
          <w:tcPr>
            <w:tcW w:w="2760" w:type="dxa"/>
            <w:vAlign w:val="bottom"/>
          </w:tcPr>
          <w:p>
            <w:pPr>
              <w:ind w:left="820"/>
              <w:spacing w:after="0"/>
              <w:rPr>
                <w:sz w:val="20"/>
                <w:szCs w:val="20"/>
                <w:color w:val="auto"/>
              </w:rPr>
            </w:pPr>
            <w:r>
              <w:rPr>
                <w:rFonts w:ascii="Arial" w:cs="Arial" w:eastAsia="Arial" w:hAnsi="Arial"/>
                <w:sz w:val="18"/>
                <w:szCs w:val="18"/>
                <w:color w:val="auto"/>
              </w:rPr>
              <w:t>Australia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WIELAND Edelmetalle GmbH</w:t>
            </w:r>
          </w:p>
        </w:tc>
        <w:tc>
          <w:tcPr>
            <w:tcW w:w="2760" w:type="dxa"/>
            <w:vAlign w:val="bottom"/>
          </w:tcPr>
          <w:p>
            <w:pPr>
              <w:ind w:left="82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Yamakin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rPr>
              <w:t>Yokohama Metal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20"/>
              <w:spacing w:after="0"/>
              <w:rPr>
                <w:sz w:val="20"/>
                <w:szCs w:val="20"/>
                <w:color w:val="auto"/>
              </w:rPr>
            </w:pPr>
            <w:r>
              <w:rPr>
                <w:rFonts w:ascii="Arial" w:cs="Arial" w:eastAsia="Arial" w:hAnsi="Arial"/>
                <w:sz w:val="18"/>
                <w:szCs w:val="18"/>
                <w:color w:val="auto"/>
                <w:w w:val="99"/>
              </w:rPr>
              <w:t>Zhongyuan Gold Smelter of Zhongjin Gold Corporation</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Asaka Riken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Changsha South Tantalum Niobium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D Block Metals, LLC</w:t>
            </w:r>
          </w:p>
        </w:tc>
        <w:tc>
          <w:tcPr>
            <w:tcW w:w="2760" w:type="dxa"/>
            <w:vAlign w:val="bottom"/>
          </w:tcPr>
          <w:p>
            <w:pPr>
              <w:ind w:left="82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Exotech Inc.</w:t>
            </w:r>
          </w:p>
        </w:tc>
        <w:tc>
          <w:tcPr>
            <w:tcW w:w="2760" w:type="dxa"/>
            <w:vAlign w:val="bottom"/>
          </w:tcPr>
          <w:p>
            <w:pPr>
              <w:ind w:left="82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F&amp;X Electro-Materials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FIR Metals &amp; Resource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Global Advanced Metals Aizu</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Global Advanced Metals Boyertown</w:t>
            </w:r>
          </w:p>
        </w:tc>
        <w:tc>
          <w:tcPr>
            <w:tcW w:w="2760" w:type="dxa"/>
            <w:vAlign w:val="bottom"/>
          </w:tcPr>
          <w:p>
            <w:pPr>
              <w:ind w:left="82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Guangdong Rising Rare Metals-EO Materials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Guangdong Zhiyuan New Material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H.C. Starck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Thailand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H.C. Starck Hermsdorf GmbH</w:t>
            </w:r>
          </w:p>
        </w:tc>
        <w:tc>
          <w:tcPr>
            <w:tcW w:w="2760" w:type="dxa"/>
            <w:vAlign w:val="bottom"/>
          </w:tcPr>
          <w:p>
            <w:pPr>
              <w:ind w:left="82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H.C. Starck Inc.</w:t>
            </w:r>
          </w:p>
        </w:tc>
        <w:tc>
          <w:tcPr>
            <w:tcW w:w="2760" w:type="dxa"/>
            <w:vAlign w:val="bottom"/>
          </w:tcPr>
          <w:p>
            <w:pPr>
              <w:ind w:left="82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H.C. Starck Ltd.</w:t>
            </w:r>
          </w:p>
        </w:tc>
        <w:tc>
          <w:tcPr>
            <w:tcW w:w="2760" w:type="dxa"/>
            <w:vAlign w:val="bottom"/>
          </w:tcPr>
          <w:p>
            <w:pPr>
              <w:ind w:left="8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H.C. Starck Smelting GmbH &amp; Co. KG</w:t>
            </w:r>
          </w:p>
        </w:tc>
        <w:tc>
          <w:tcPr>
            <w:tcW w:w="2760" w:type="dxa"/>
            <w:vAlign w:val="bottom"/>
          </w:tcPr>
          <w:p>
            <w:pPr>
              <w:ind w:left="82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H.C. Starck Tantalum and Niobium GmbH</w:t>
            </w:r>
          </w:p>
        </w:tc>
        <w:tc>
          <w:tcPr>
            <w:tcW w:w="2760" w:type="dxa"/>
            <w:vAlign w:val="bottom"/>
          </w:tcPr>
          <w:p>
            <w:pPr>
              <w:ind w:left="82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Hengyang King Xing Lifeng New Materials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Jiangxi Dinghai Tantalum &amp; Niobium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Jiangxi Tuohong New Raw Material</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Jiujiang Janny New Material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JiuJiang JinXin Nonferrous Metals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Jiujiang Tanbre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Jiujiang Zhongao Tantalum &amp; Niobium Co., Ltd.</w:t>
            </w:r>
          </w:p>
        </w:tc>
        <w:tc>
          <w:tcPr>
            <w:tcW w:w="276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4460" w:type="dxa"/>
            <w:vAlign w:val="bottom"/>
          </w:tcPr>
          <w:p>
            <w:pPr>
              <w:ind w:left="120"/>
              <w:spacing w:after="0"/>
              <w:rPr>
                <w:sz w:val="20"/>
                <w:szCs w:val="20"/>
                <w:color w:val="auto"/>
              </w:rPr>
            </w:pPr>
            <w:r>
              <w:rPr>
                <w:rFonts w:ascii="Arial" w:cs="Arial" w:eastAsia="Arial" w:hAnsi="Arial"/>
                <w:sz w:val="18"/>
                <w:szCs w:val="18"/>
                <w:color w:val="auto"/>
              </w:rPr>
              <w:t>KEMET Blue Metals</w:t>
            </w:r>
          </w:p>
        </w:tc>
        <w:tc>
          <w:tcPr>
            <w:tcW w:w="2760" w:type="dxa"/>
            <w:vAlign w:val="bottom"/>
          </w:tcPr>
          <w:p>
            <w:pPr>
              <w:ind w:left="820"/>
              <w:spacing w:after="0"/>
              <w:rPr>
                <w:sz w:val="20"/>
                <w:szCs w:val="20"/>
                <w:color w:val="auto"/>
              </w:rPr>
            </w:pPr>
            <w:r>
              <w:rPr>
                <w:rFonts w:ascii="Arial" w:cs="Arial" w:eastAsia="Arial" w:hAnsi="Arial"/>
                <w:sz w:val="18"/>
                <w:szCs w:val="18"/>
                <w:color w:val="auto"/>
              </w:rPr>
              <w:t>Mexico</w:t>
            </w:r>
          </w:p>
        </w:tc>
      </w:tr>
      <w:tr>
        <w:trPr>
          <w:trHeight w:val="365"/>
        </w:trPr>
        <w:tc>
          <w:tcPr>
            <w:tcW w:w="7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019"/>
          </w:cols>
          <w:pgMar w:left="440" w:top="274"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KEMET Blue Powder</w:t>
            </w:r>
          </w:p>
        </w:tc>
        <w:tc>
          <w:tcPr>
            <w:tcW w:w="364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LSM Brasil S.A.</w:t>
            </w:r>
          </w:p>
        </w:tc>
        <w:tc>
          <w:tcPr>
            <w:tcW w:w="3640" w:type="dxa"/>
            <w:vAlign w:val="bottom"/>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Metallurgical Products India Pvt., Ltd.</w:t>
            </w:r>
          </w:p>
        </w:tc>
        <w:tc>
          <w:tcPr>
            <w:tcW w:w="3640" w:type="dxa"/>
            <w:vAlign w:val="bottom"/>
          </w:tcPr>
          <w:p>
            <w:pPr>
              <w:ind w:left="240"/>
              <w:spacing w:after="0"/>
              <w:rPr>
                <w:sz w:val="20"/>
                <w:szCs w:val="20"/>
                <w:color w:val="auto"/>
              </w:rPr>
            </w:pPr>
            <w:r>
              <w:rPr>
                <w:rFonts w:ascii="Arial" w:cs="Arial" w:eastAsia="Arial" w:hAnsi="Arial"/>
                <w:sz w:val="18"/>
                <w:szCs w:val="18"/>
                <w:color w:val="auto"/>
              </w:rPr>
              <w:t>India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Mineracao Taboca S.A.</w:t>
            </w:r>
          </w:p>
        </w:tc>
        <w:tc>
          <w:tcPr>
            <w:tcW w:w="3640" w:type="dxa"/>
            <w:vAlign w:val="bottom"/>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Mitsui Mining and Smelting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Ningxia Orient Tantalum Industry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NPM Silmet AS</w:t>
            </w:r>
          </w:p>
        </w:tc>
        <w:tc>
          <w:tcPr>
            <w:tcW w:w="3640" w:type="dxa"/>
            <w:vAlign w:val="bottom"/>
          </w:tcPr>
          <w:p>
            <w:pPr>
              <w:ind w:left="240"/>
              <w:spacing w:after="0"/>
              <w:rPr>
                <w:sz w:val="20"/>
                <w:szCs w:val="20"/>
                <w:color w:val="auto"/>
              </w:rPr>
            </w:pPr>
            <w:r>
              <w:rPr>
                <w:rFonts w:ascii="Arial" w:cs="Arial" w:eastAsia="Arial" w:hAnsi="Arial"/>
                <w:sz w:val="18"/>
                <w:szCs w:val="18"/>
                <w:color w:val="auto"/>
              </w:rPr>
              <w:t>Estonia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Power Resources Ltd.</w:t>
            </w:r>
          </w:p>
        </w:tc>
        <w:tc>
          <w:tcPr>
            <w:tcW w:w="3640" w:type="dxa"/>
            <w:vAlign w:val="bottom"/>
          </w:tcPr>
          <w:p>
            <w:pPr>
              <w:ind w:left="240"/>
              <w:spacing w:after="0"/>
              <w:rPr>
                <w:sz w:val="20"/>
                <w:szCs w:val="20"/>
                <w:color w:val="auto"/>
              </w:rPr>
            </w:pPr>
            <w:r>
              <w:rPr>
                <w:rFonts w:ascii="Arial" w:cs="Arial" w:eastAsia="Arial" w:hAnsi="Arial"/>
                <w:sz w:val="18"/>
                <w:szCs w:val="18"/>
                <w:color w:val="auto"/>
                <w:w w:val="91"/>
              </w:rPr>
              <w:t>Macedonia, The Former Yugoslav, Republic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QuantumClean</w:t>
            </w:r>
          </w:p>
        </w:tc>
        <w:tc>
          <w:tcPr>
            <w:tcW w:w="364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Resind Industria e Comercio Ltda.</w:t>
            </w:r>
          </w:p>
        </w:tc>
        <w:tc>
          <w:tcPr>
            <w:tcW w:w="3640" w:type="dxa"/>
            <w:vAlign w:val="bottom"/>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w w:val="96"/>
              </w:rPr>
              <w:t>RFH Tantalum Smeltery Co., Ltd./Yanling Jincheng Tantalum &amp;</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Niobium Co., Ltd.</w:t>
            </w:r>
          </w:p>
        </w:tc>
        <w:tc>
          <w:tcPr>
            <w:tcW w:w="36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Solikamsk Magnesium Works OAO</w:t>
            </w:r>
          </w:p>
        </w:tc>
        <w:tc>
          <w:tcPr>
            <w:tcW w:w="3640" w:type="dxa"/>
            <w:vAlign w:val="bottom"/>
          </w:tcPr>
          <w:p>
            <w:pPr>
              <w:ind w:left="24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Taki Chemical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Telex Metals</w:t>
            </w:r>
          </w:p>
        </w:tc>
        <w:tc>
          <w:tcPr>
            <w:tcW w:w="364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Ulba Metallurgical Plant JSC</w:t>
            </w:r>
          </w:p>
        </w:tc>
        <w:tc>
          <w:tcPr>
            <w:tcW w:w="3640" w:type="dxa"/>
            <w:vAlign w:val="bottom"/>
          </w:tcPr>
          <w:p>
            <w:pPr>
              <w:ind w:left="240"/>
              <w:spacing w:after="0"/>
              <w:rPr>
                <w:sz w:val="20"/>
                <w:szCs w:val="20"/>
                <w:color w:val="auto"/>
              </w:rPr>
            </w:pPr>
            <w:r>
              <w:rPr>
                <w:rFonts w:ascii="Arial" w:cs="Arial" w:eastAsia="Arial" w:hAnsi="Arial"/>
                <w:sz w:val="18"/>
                <w:szCs w:val="18"/>
                <w:color w:val="auto"/>
              </w:rPr>
              <w:t>Kazakhstan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040" w:type="dxa"/>
            <w:vAlign w:val="bottom"/>
          </w:tcPr>
          <w:p>
            <w:pPr>
              <w:ind w:left="120"/>
              <w:spacing w:after="0"/>
              <w:rPr>
                <w:sz w:val="20"/>
                <w:szCs w:val="20"/>
                <w:color w:val="auto"/>
              </w:rPr>
            </w:pPr>
            <w:r>
              <w:rPr>
                <w:rFonts w:ascii="Arial" w:cs="Arial" w:eastAsia="Arial" w:hAnsi="Arial"/>
                <w:sz w:val="18"/>
                <w:szCs w:val="18"/>
                <w:color w:val="auto"/>
              </w:rPr>
              <w:t>XinXing HaoRong Electronic Material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Alpha</w:t>
            </w:r>
          </w:p>
        </w:tc>
        <w:tc>
          <w:tcPr>
            <w:tcW w:w="364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PT Bukit Timah</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Chenzhou Yunxiang Mining and Metallurgy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Chifeng Dajingzi Tin Industry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China Tin Group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CV Ayi Jaya</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CV Dua Sekawan</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CV Gita Pesona</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CV Tiga Sekawan</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CV United Smelting</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CV Venus Inti Perkasa</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Dowa</w:t>
            </w:r>
          </w:p>
        </w:tc>
        <w:tc>
          <w:tcPr>
            <w:tcW w:w="364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EM Vinto</w:t>
            </w:r>
          </w:p>
        </w:tc>
        <w:tc>
          <w:tcPr>
            <w:tcW w:w="3640" w:type="dxa"/>
            <w:vAlign w:val="bottom"/>
          </w:tcPr>
          <w:p>
            <w:pPr>
              <w:ind w:left="240"/>
              <w:spacing w:after="0"/>
              <w:rPr>
                <w:sz w:val="20"/>
                <w:szCs w:val="20"/>
                <w:color w:val="auto"/>
              </w:rPr>
            </w:pPr>
            <w:r>
              <w:rPr>
                <w:rFonts w:ascii="Arial" w:cs="Arial" w:eastAsia="Arial" w:hAnsi="Arial"/>
                <w:sz w:val="18"/>
                <w:szCs w:val="18"/>
                <w:color w:val="auto"/>
              </w:rPr>
              <w:t>Bolivia (Plurinational State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Fenix Metals</w:t>
            </w:r>
          </w:p>
        </w:tc>
        <w:tc>
          <w:tcPr>
            <w:tcW w:w="3640" w:type="dxa"/>
            <w:vAlign w:val="bottom"/>
          </w:tcPr>
          <w:p>
            <w:pPr>
              <w:ind w:left="240"/>
              <w:spacing w:after="0"/>
              <w:rPr>
                <w:sz w:val="20"/>
                <w:szCs w:val="20"/>
                <w:color w:val="auto"/>
              </w:rPr>
            </w:pPr>
            <w:r>
              <w:rPr>
                <w:rFonts w:ascii="Arial" w:cs="Arial" w:eastAsia="Arial" w:hAnsi="Arial"/>
                <w:sz w:val="18"/>
                <w:szCs w:val="18"/>
                <w:color w:val="auto"/>
              </w:rPr>
              <w:t>Poland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Gejiu Fengming Metallurgy Chemical Plant</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Gejiu Kai Meng Industry and Trade LLC</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Gejiu Non-Ferrous Metal Processing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Guangdong Hanhe Non-Ferrous Metal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Guanyang Guida Nonferrous Metal Smelting Plant</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HuiChang Hill Tin Industry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Huichang Jinshunda Tin Co.,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PT Timah (Persero) Tbk Mentok</w:t>
            </w:r>
          </w:p>
        </w:tc>
        <w:tc>
          <w:tcPr>
            <w:tcW w:w="3640" w:type="dxa"/>
            <w:vAlign w:val="bottom"/>
          </w:tcPr>
          <w:p>
            <w:pPr>
              <w:ind w:left="24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Jiangxi New Nanshan Technology Ltd.</w:t>
            </w:r>
          </w:p>
        </w:tc>
        <w:tc>
          <w:tcPr>
            <w:tcW w:w="364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Magnu’s Minerais Metais e Ligas Ltda.</w:t>
            </w:r>
          </w:p>
        </w:tc>
        <w:tc>
          <w:tcPr>
            <w:tcW w:w="3640" w:type="dxa"/>
            <w:vAlign w:val="bottom"/>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Malaysia Smelting Corporation (MSC)</w:t>
            </w:r>
          </w:p>
        </w:tc>
        <w:tc>
          <w:tcPr>
            <w:tcW w:w="3640" w:type="dxa"/>
            <w:vAlign w:val="bottom"/>
          </w:tcPr>
          <w:p>
            <w:pPr>
              <w:ind w:left="240"/>
              <w:spacing w:after="0"/>
              <w:rPr>
                <w:sz w:val="20"/>
                <w:szCs w:val="20"/>
                <w:color w:val="auto"/>
              </w:rPr>
            </w:pPr>
            <w:r>
              <w:rPr>
                <w:rFonts w:ascii="Arial" w:cs="Arial" w:eastAsia="Arial" w:hAnsi="Arial"/>
                <w:sz w:val="18"/>
                <w:szCs w:val="18"/>
                <w:color w:val="auto"/>
              </w:rPr>
              <w:t>Malaysia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040" w:type="dxa"/>
            <w:vAlign w:val="bottom"/>
          </w:tcPr>
          <w:p>
            <w:pPr>
              <w:ind w:left="120"/>
              <w:spacing w:after="0"/>
              <w:rPr>
                <w:sz w:val="20"/>
                <w:szCs w:val="20"/>
                <w:color w:val="auto"/>
              </w:rPr>
            </w:pPr>
            <w:r>
              <w:rPr>
                <w:rFonts w:ascii="Arial" w:cs="Arial" w:eastAsia="Arial" w:hAnsi="Arial"/>
                <w:sz w:val="18"/>
                <w:szCs w:val="18"/>
                <w:color w:val="auto"/>
              </w:rPr>
              <w:t>Melt Metais e Ligas S.A.</w:t>
            </w:r>
          </w:p>
        </w:tc>
        <w:tc>
          <w:tcPr>
            <w:tcW w:w="3640" w:type="dxa"/>
            <w:vAlign w:val="bottom"/>
          </w:tcPr>
          <w:p>
            <w:pPr>
              <w:ind w:left="240"/>
              <w:spacing w:after="0"/>
              <w:rPr>
                <w:sz w:val="20"/>
                <w:szCs w:val="20"/>
                <w:color w:val="auto"/>
              </w:rPr>
            </w:pPr>
            <w:r>
              <w:rPr>
                <w:rFonts w:ascii="Arial" w:cs="Arial" w:eastAsia="Arial" w:hAnsi="Arial"/>
                <w:sz w:val="18"/>
                <w:szCs w:val="18"/>
                <w:color w:val="auto"/>
              </w:rPr>
              <w:t>Brazil</w:t>
            </w:r>
          </w:p>
        </w:tc>
      </w:tr>
      <w:tr>
        <w:trPr>
          <w:trHeight w:val="365"/>
        </w:trPr>
        <w:tc>
          <w:tcPr>
            <w:tcW w:w="780" w:type="dxa"/>
            <w:vAlign w:val="bottom"/>
          </w:tcPr>
          <w:p>
            <w:pPr>
              <w:spacing w:after="0"/>
              <w:rPr>
                <w:sz w:val="24"/>
                <w:szCs w:val="24"/>
                <w:color w:val="auto"/>
              </w:rPr>
            </w:pPr>
          </w:p>
        </w:tc>
        <w:tc>
          <w:tcPr>
            <w:tcW w:w="5040" w:type="dxa"/>
            <w:vAlign w:val="bottom"/>
          </w:tcPr>
          <w:p>
            <w:pPr>
              <w:ind w:left="4680"/>
              <w:spacing w:after="0"/>
              <w:rPr>
                <w:sz w:val="20"/>
                <w:szCs w:val="20"/>
                <w:color w:val="auto"/>
              </w:rPr>
            </w:pPr>
            <w:r>
              <w:rPr>
                <w:rFonts w:ascii="Arial" w:cs="Arial" w:eastAsia="Arial" w:hAnsi="Arial"/>
                <w:sz w:val="18"/>
                <w:szCs w:val="18"/>
                <w:color w:val="auto"/>
              </w:rPr>
              <w:t>8</w:t>
            </w:r>
          </w:p>
        </w:tc>
        <w:tc>
          <w:tcPr>
            <w:tcW w:w="3640" w:type="dxa"/>
            <w:vAlign w:val="bottom"/>
          </w:tcPr>
          <w:p>
            <w:pPr>
              <w:spacing w:after="0"/>
              <w:rPr>
                <w:sz w:val="24"/>
                <w:szCs w:val="24"/>
                <w:color w:val="auto"/>
              </w:rPr>
            </w:pPr>
          </w:p>
        </w:tc>
      </w:tr>
    </w:tbl>
    <w:p>
      <w:pPr>
        <w:sectPr>
          <w:pgSz w:w="11900" w:h="16838" w:orient="portrait"/>
          <w:cols w:equalWidth="0" w:num="1">
            <w:col w:w="10019"/>
          </w:cols>
          <w:pgMar w:left="440" w:top="274" w:right="1440"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Metallic Resources, Inc.</w:t>
            </w:r>
          </w:p>
        </w:tc>
        <w:tc>
          <w:tcPr>
            <w:tcW w:w="3360" w:type="dxa"/>
            <w:vAlign w:val="bottom"/>
          </w:tcPr>
          <w:p>
            <w:pPr>
              <w:ind w:left="1120"/>
              <w:spacing w:after="0"/>
              <w:rPr>
                <w:sz w:val="20"/>
                <w:szCs w:val="20"/>
                <w:color w:val="auto"/>
              </w:rPr>
            </w:pPr>
            <w:r>
              <w:rPr>
                <w:rFonts w:ascii="Arial" w:cs="Arial" w:eastAsia="Arial" w:hAnsi="Arial"/>
                <w:sz w:val="18"/>
                <w:szCs w:val="18"/>
                <w:color w:val="auto"/>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Metallo Belgium N.V.</w:t>
            </w:r>
          </w:p>
        </w:tc>
        <w:tc>
          <w:tcPr>
            <w:tcW w:w="3360" w:type="dxa"/>
            <w:vAlign w:val="bottom"/>
          </w:tcPr>
          <w:p>
            <w:pPr>
              <w:ind w:left="1120"/>
              <w:spacing w:after="0"/>
              <w:rPr>
                <w:sz w:val="20"/>
                <w:szCs w:val="20"/>
                <w:color w:val="auto"/>
              </w:rPr>
            </w:pPr>
            <w:r>
              <w:rPr>
                <w:rFonts w:ascii="Arial" w:cs="Arial" w:eastAsia="Arial" w:hAnsi="Arial"/>
                <w:sz w:val="18"/>
                <w:szCs w:val="18"/>
                <w:color w:val="auto"/>
              </w:rPr>
              <w:t>Belgium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Metallo Spain S.L.U.</w:t>
            </w:r>
          </w:p>
        </w:tc>
        <w:tc>
          <w:tcPr>
            <w:tcW w:w="3360" w:type="dxa"/>
            <w:vAlign w:val="bottom"/>
          </w:tcPr>
          <w:p>
            <w:pPr>
              <w:ind w:left="1120"/>
              <w:spacing w:after="0"/>
              <w:rPr>
                <w:sz w:val="20"/>
                <w:szCs w:val="20"/>
                <w:color w:val="auto"/>
              </w:rPr>
            </w:pPr>
            <w:r>
              <w:rPr>
                <w:rFonts w:ascii="Arial" w:cs="Arial" w:eastAsia="Arial" w:hAnsi="Arial"/>
                <w:sz w:val="18"/>
                <w:szCs w:val="18"/>
                <w:color w:val="auto"/>
              </w:rPr>
              <w:t>Spain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Mineracao Taboca S.A.</w:t>
            </w:r>
          </w:p>
        </w:tc>
        <w:tc>
          <w:tcPr>
            <w:tcW w:w="336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Minsur</w:t>
            </w:r>
          </w:p>
        </w:tc>
        <w:tc>
          <w:tcPr>
            <w:tcW w:w="3360" w:type="dxa"/>
            <w:vAlign w:val="bottom"/>
          </w:tcPr>
          <w:p>
            <w:pPr>
              <w:ind w:left="1120"/>
              <w:spacing w:after="0"/>
              <w:rPr>
                <w:sz w:val="20"/>
                <w:szCs w:val="20"/>
                <w:color w:val="auto"/>
              </w:rPr>
            </w:pPr>
            <w:r>
              <w:rPr>
                <w:rFonts w:ascii="Arial" w:cs="Arial" w:eastAsia="Arial" w:hAnsi="Arial"/>
                <w:sz w:val="18"/>
                <w:szCs w:val="18"/>
                <w:color w:val="auto"/>
              </w:rPr>
              <w:t>Peru</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Mitsubishi Materials Corporation</w:t>
            </w:r>
          </w:p>
        </w:tc>
        <w:tc>
          <w:tcPr>
            <w:tcW w:w="3360" w:type="dxa"/>
            <w:vAlign w:val="bottom"/>
          </w:tcPr>
          <w:p>
            <w:pPr>
              <w:ind w:left="112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Modeltech Sdn Bhd</w:t>
            </w:r>
          </w:p>
        </w:tc>
        <w:tc>
          <w:tcPr>
            <w:tcW w:w="3360" w:type="dxa"/>
            <w:vAlign w:val="bottom"/>
          </w:tcPr>
          <w:p>
            <w:pPr>
              <w:ind w:left="1120"/>
              <w:spacing w:after="0"/>
              <w:rPr>
                <w:sz w:val="20"/>
                <w:szCs w:val="20"/>
                <w:color w:val="auto"/>
              </w:rPr>
            </w:pPr>
            <w:r>
              <w:rPr>
                <w:rFonts w:ascii="Arial" w:cs="Arial" w:eastAsia="Arial" w:hAnsi="Arial"/>
                <w:sz w:val="18"/>
                <w:szCs w:val="18"/>
                <w:color w:val="auto"/>
              </w:rPr>
              <w:t>Malaysia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O.M. Manufacturing (Thailand) Co., Ltd.</w:t>
            </w:r>
          </w:p>
        </w:tc>
        <w:tc>
          <w:tcPr>
            <w:tcW w:w="3360" w:type="dxa"/>
            <w:vAlign w:val="bottom"/>
          </w:tcPr>
          <w:p>
            <w:pPr>
              <w:ind w:left="1120"/>
              <w:spacing w:after="0"/>
              <w:rPr>
                <w:sz w:val="20"/>
                <w:szCs w:val="20"/>
                <w:color w:val="auto"/>
              </w:rPr>
            </w:pPr>
            <w:r>
              <w:rPr>
                <w:rFonts w:ascii="Arial" w:cs="Arial" w:eastAsia="Arial" w:hAnsi="Arial"/>
                <w:sz w:val="18"/>
                <w:szCs w:val="18"/>
                <w:color w:val="auto"/>
              </w:rPr>
              <w:t>Thailand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O.M. Manufacturing Philippines, Inc.</w:t>
            </w:r>
          </w:p>
        </w:tc>
        <w:tc>
          <w:tcPr>
            <w:tcW w:w="3360" w:type="dxa"/>
            <w:vAlign w:val="bottom"/>
          </w:tcPr>
          <w:p>
            <w:pPr>
              <w:ind w:left="1120"/>
              <w:spacing w:after="0"/>
              <w:rPr>
                <w:sz w:val="20"/>
                <w:szCs w:val="20"/>
                <w:color w:val="auto"/>
              </w:rPr>
            </w:pPr>
            <w:r>
              <w:rPr>
                <w:rFonts w:ascii="Arial" w:cs="Arial" w:eastAsia="Arial" w:hAnsi="Arial"/>
                <w:sz w:val="18"/>
                <w:szCs w:val="18"/>
                <w:color w:val="auto"/>
              </w:rPr>
              <w:t>Philippines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Operaciones Metalurgical S.A.</w:t>
            </w:r>
          </w:p>
        </w:tc>
        <w:tc>
          <w:tcPr>
            <w:tcW w:w="3360" w:type="dxa"/>
            <w:vAlign w:val="bottom"/>
          </w:tcPr>
          <w:p>
            <w:pPr>
              <w:ind w:left="1120"/>
              <w:spacing w:after="0"/>
              <w:rPr>
                <w:sz w:val="20"/>
                <w:szCs w:val="20"/>
                <w:color w:val="auto"/>
              </w:rPr>
            </w:pPr>
            <w:r>
              <w:rPr>
                <w:rFonts w:ascii="Arial" w:cs="Arial" w:eastAsia="Arial" w:hAnsi="Arial"/>
                <w:sz w:val="18"/>
                <w:szCs w:val="18"/>
                <w:color w:val="auto"/>
                <w:w w:val="94"/>
              </w:rPr>
              <w:t>Bolivia (Plurinational State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Aries Kencana Sejahtera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Artha Cipta Langgeng</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ATD Makmur Mandiri Jaya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Babel Inti Perkasa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Bangka Prima Tin</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Bangka Serumpun</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Bangka Tin Industry</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Belitung Industri Sejahtera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DS Jaya Abadi</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Inti Stania Prima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Karimun Mining</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Kijang Jaya Mandiri</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Menara Cipta Mulia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Mitra Stania Prima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Panca Mega Persada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Premium Tin Indonesia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Prima Timah Utama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Refined Bangka Tin</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Sariwiguna Binasentosa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Stanindo Inti Perkasa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Sukses Inti Makmur</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Sumber Jaya Indah</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Timah (Persero) Tbk Kundur</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Tinindo Inter Nusa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PT Tommy Utama</w:t>
            </w:r>
          </w:p>
        </w:tc>
        <w:tc>
          <w:tcPr>
            <w:tcW w:w="336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Resind Industria e Comercio Ltda.</w:t>
            </w:r>
          </w:p>
        </w:tc>
        <w:tc>
          <w:tcPr>
            <w:tcW w:w="336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Rui Da Hung</w:t>
            </w:r>
          </w:p>
        </w:tc>
        <w:tc>
          <w:tcPr>
            <w:tcW w:w="3360" w:type="dxa"/>
            <w:vAlign w:val="bottom"/>
          </w:tcPr>
          <w:p>
            <w:pPr>
              <w:ind w:left="1120"/>
              <w:spacing w:after="0"/>
              <w:rPr>
                <w:sz w:val="20"/>
                <w:szCs w:val="20"/>
                <w:color w:val="auto"/>
              </w:rPr>
            </w:pPr>
            <w:r>
              <w:rPr>
                <w:rFonts w:ascii="Arial" w:cs="Arial" w:eastAsia="Arial" w:hAnsi="Arial"/>
                <w:sz w:val="18"/>
                <w:szCs w:val="18"/>
                <w:color w:val="auto"/>
              </w:rPr>
              <w:t>Taiwan, Province of 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Soft Metais Ltda.</w:t>
            </w:r>
          </w:p>
        </w:tc>
        <w:tc>
          <w:tcPr>
            <w:tcW w:w="336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Thaisarco</w:t>
            </w:r>
          </w:p>
        </w:tc>
        <w:tc>
          <w:tcPr>
            <w:tcW w:w="3360" w:type="dxa"/>
            <w:vAlign w:val="bottom"/>
          </w:tcPr>
          <w:p>
            <w:pPr>
              <w:ind w:left="1120"/>
              <w:spacing w:after="0"/>
              <w:rPr>
                <w:sz w:val="20"/>
                <w:szCs w:val="20"/>
                <w:color w:val="auto"/>
              </w:rPr>
            </w:pPr>
            <w:r>
              <w:rPr>
                <w:rFonts w:ascii="Arial" w:cs="Arial" w:eastAsia="Arial" w:hAnsi="Arial"/>
                <w:sz w:val="18"/>
                <w:szCs w:val="18"/>
                <w:color w:val="auto"/>
              </w:rPr>
              <w:t>Thailand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White Solder Metalurgia e Mineracao Ltda.</w:t>
            </w:r>
          </w:p>
        </w:tc>
        <w:tc>
          <w:tcPr>
            <w:tcW w:w="336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Yunnan Tin Company Limited</w:t>
            </w:r>
          </w:p>
        </w:tc>
        <w:tc>
          <w:tcPr>
            <w:tcW w:w="336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4160" w:type="dxa"/>
            <w:vAlign w:val="bottom"/>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36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4160" w:type="dxa"/>
            <w:vAlign w:val="bottom"/>
          </w:tcPr>
          <w:p>
            <w:pPr>
              <w:ind w:left="120"/>
              <w:spacing w:after="0"/>
              <w:rPr>
                <w:sz w:val="20"/>
                <w:szCs w:val="20"/>
                <w:color w:val="auto"/>
              </w:rPr>
            </w:pPr>
            <w:r>
              <w:rPr>
                <w:rFonts w:ascii="Arial" w:cs="Arial" w:eastAsia="Arial" w:hAnsi="Arial"/>
                <w:sz w:val="18"/>
                <w:szCs w:val="18"/>
                <w:color w:val="auto"/>
              </w:rPr>
              <w:t>A.L.M.T. TUNGSTEN Corp.</w:t>
            </w:r>
          </w:p>
        </w:tc>
        <w:tc>
          <w:tcPr>
            <w:tcW w:w="3360" w:type="dxa"/>
            <w:vAlign w:val="bottom"/>
          </w:tcPr>
          <w:p>
            <w:pPr>
              <w:ind w:left="1120"/>
              <w:spacing w:after="0"/>
              <w:rPr>
                <w:sz w:val="20"/>
                <w:szCs w:val="20"/>
                <w:color w:val="auto"/>
              </w:rPr>
            </w:pPr>
            <w:r>
              <w:rPr>
                <w:rFonts w:ascii="Arial" w:cs="Arial" w:eastAsia="Arial" w:hAnsi="Arial"/>
                <w:sz w:val="18"/>
                <w:szCs w:val="18"/>
                <w:color w:val="auto"/>
              </w:rPr>
              <w:t>Japan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4160" w:type="dxa"/>
            <w:vAlign w:val="bottom"/>
          </w:tcPr>
          <w:p>
            <w:pPr>
              <w:ind w:left="120"/>
              <w:spacing w:after="0"/>
              <w:rPr>
                <w:sz w:val="20"/>
                <w:szCs w:val="20"/>
                <w:color w:val="auto"/>
              </w:rPr>
            </w:pPr>
            <w:r>
              <w:rPr>
                <w:rFonts w:ascii="Arial" w:cs="Arial" w:eastAsia="Arial" w:hAnsi="Arial"/>
                <w:sz w:val="18"/>
                <w:szCs w:val="18"/>
                <w:color w:val="auto"/>
              </w:rPr>
              <w:t>ACL Metais Eireli</w:t>
            </w:r>
          </w:p>
        </w:tc>
        <w:tc>
          <w:tcPr>
            <w:tcW w:w="336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365"/>
        </w:trPr>
        <w:tc>
          <w:tcPr>
            <w:tcW w:w="7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360" w:type="dxa"/>
            <w:vAlign w:val="bottom"/>
          </w:tcPr>
          <w:p>
            <w:pPr>
              <w:ind w:left="5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019"/>
          </w:cols>
          <w:pgMar w:left="440" w:top="274" w:right="1440"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Chenzhou Diamond Tungsten Products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Chongyi Zhangyuan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Fujian Jinxin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Ganzhou Haichuang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Ganzhou Jiangwu Ferrotungsten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Ganzhou Seadragon W &amp; Mo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Global Tungsten &amp; Powders Corp.</w:t>
            </w:r>
          </w:p>
        </w:tc>
        <w:tc>
          <w:tcPr>
            <w:tcW w:w="2020" w:type="dxa"/>
            <w:vAlign w:val="bottom"/>
          </w:tcPr>
          <w:p>
            <w:pPr>
              <w:ind w:left="180"/>
              <w:spacing w:after="0"/>
              <w:rPr>
                <w:sz w:val="20"/>
                <w:szCs w:val="20"/>
                <w:color w:val="auto"/>
              </w:rPr>
            </w:pPr>
            <w:r>
              <w:rPr>
                <w:rFonts w:ascii="Arial" w:cs="Arial" w:eastAsia="Arial" w:hAnsi="Arial"/>
                <w:sz w:val="18"/>
                <w:szCs w:val="18"/>
                <w:color w:val="auto"/>
                <w:w w:val="91"/>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Guangdong Xianglu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H.C. Starck Smelting GmbH &amp; Co. KG</w:t>
            </w:r>
          </w:p>
        </w:tc>
        <w:tc>
          <w:tcPr>
            <w:tcW w:w="2020" w:type="dxa"/>
            <w:vAlign w:val="bottom"/>
          </w:tcPr>
          <w:p>
            <w:pPr>
              <w:ind w:left="18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H.C. Starck Tungsten GmbH</w:t>
            </w:r>
          </w:p>
        </w:tc>
        <w:tc>
          <w:tcPr>
            <w:tcW w:w="2020" w:type="dxa"/>
            <w:vAlign w:val="bottom"/>
          </w:tcPr>
          <w:p>
            <w:pPr>
              <w:ind w:left="180"/>
              <w:spacing w:after="0"/>
              <w:rPr>
                <w:sz w:val="20"/>
                <w:szCs w:val="20"/>
                <w:color w:val="auto"/>
              </w:rPr>
            </w:pPr>
            <w:r>
              <w:rPr>
                <w:rFonts w:ascii="Arial" w:cs="Arial" w:eastAsia="Arial" w:hAnsi="Arial"/>
                <w:sz w:val="18"/>
                <w:szCs w:val="18"/>
                <w:color w:val="auto"/>
              </w:rPr>
              <w:t>Germany</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Hunan Chenzhou Mining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Hunan Chuangda Vanadium Tungsten Co., Ltd. Wuji</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Hunan Chunchang Nonferrous Metals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Hydrometallurg, JSC</w:t>
            </w:r>
          </w:p>
        </w:tc>
        <w:tc>
          <w:tcPr>
            <w:tcW w:w="2020" w:type="dxa"/>
            <w:vAlign w:val="bottom"/>
          </w:tcPr>
          <w:p>
            <w:pPr>
              <w:ind w:left="18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Japan New Metals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Japan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Jiangwu H.C. Starck Tungsten Products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Jiangxi Gan Bei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w w:val="99"/>
              </w:rPr>
              <w:t>Jiangxi Tonggu Non-ferrous Metallurgical &amp; Chemical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Jiangxi Yaosheng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Kennametal Fallon</w:t>
            </w:r>
          </w:p>
        </w:tc>
        <w:tc>
          <w:tcPr>
            <w:tcW w:w="2020" w:type="dxa"/>
            <w:vAlign w:val="bottom"/>
          </w:tcPr>
          <w:p>
            <w:pPr>
              <w:ind w:left="180"/>
              <w:spacing w:after="0"/>
              <w:rPr>
                <w:sz w:val="20"/>
                <w:szCs w:val="20"/>
                <w:color w:val="auto"/>
              </w:rPr>
            </w:pPr>
            <w:r>
              <w:rPr>
                <w:rFonts w:ascii="Arial" w:cs="Arial" w:eastAsia="Arial" w:hAnsi="Arial"/>
                <w:sz w:val="18"/>
                <w:szCs w:val="18"/>
                <w:color w:val="auto"/>
                <w:w w:val="91"/>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Kennametal Huntsville</w:t>
            </w:r>
          </w:p>
        </w:tc>
        <w:tc>
          <w:tcPr>
            <w:tcW w:w="2020" w:type="dxa"/>
            <w:vAlign w:val="bottom"/>
          </w:tcPr>
          <w:p>
            <w:pPr>
              <w:ind w:left="180"/>
              <w:spacing w:after="0"/>
              <w:rPr>
                <w:sz w:val="20"/>
                <w:szCs w:val="20"/>
                <w:color w:val="auto"/>
              </w:rPr>
            </w:pPr>
            <w:r>
              <w:rPr>
                <w:rFonts w:ascii="Arial" w:cs="Arial" w:eastAsia="Arial" w:hAnsi="Arial"/>
                <w:sz w:val="18"/>
                <w:szCs w:val="18"/>
                <w:color w:val="auto"/>
                <w:w w:val="91"/>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Malipo Haiyu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Moliren Ltd.</w:t>
            </w:r>
          </w:p>
        </w:tc>
        <w:tc>
          <w:tcPr>
            <w:tcW w:w="2020" w:type="dxa"/>
            <w:vAlign w:val="bottom"/>
          </w:tcPr>
          <w:p>
            <w:pPr>
              <w:ind w:left="18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Niagara Refining LLC</w:t>
            </w:r>
          </w:p>
        </w:tc>
        <w:tc>
          <w:tcPr>
            <w:tcW w:w="2020" w:type="dxa"/>
            <w:vAlign w:val="bottom"/>
          </w:tcPr>
          <w:p>
            <w:pPr>
              <w:ind w:left="180"/>
              <w:spacing w:after="0"/>
              <w:rPr>
                <w:sz w:val="20"/>
                <w:szCs w:val="20"/>
                <w:color w:val="auto"/>
              </w:rPr>
            </w:pPr>
            <w:r>
              <w:rPr>
                <w:rFonts w:ascii="Arial" w:cs="Arial" w:eastAsia="Arial" w:hAnsi="Arial"/>
                <w:sz w:val="18"/>
                <w:szCs w:val="18"/>
                <w:color w:val="auto"/>
                <w:w w:val="91"/>
              </w:rPr>
              <w:t>United States of America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w w:val="99"/>
              </w:rPr>
              <w:t>Nui Phao H.C. Starck Tungsten Chemicals Manufacturing LLC</w:t>
            </w:r>
          </w:p>
        </w:tc>
        <w:tc>
          <w:tcPr>
            <w:tcW w:w="2020" w:type="dxa"/>
            <w:vAlign w:val="bottom"/>
          </w:tcPr>
          <w:p>
            <w:pPr>
              <w:ind w:left="180"/>
              <w:spacing w:after="0"/>
              <w:rPr>
                <w:sz w:val="20"/>
                <w:szCs w:val="20"/>
                <w:color w:val="auto"/>
              </w:rPr>
            </w:pPr>
            <w:r>
              <w:rPr>
                <w:rFonts w:ascii="Arial" w:cs="Arial" w:eastAsia="Arial" w:hAnsi="Arial"/>
                <w:sz w:val="18"/>
                <w:szCs w:val="18"/>
                <w:color w:val="auto"/>
              </w:rPr>
              <w:t>Vietnam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Philippine Chuangxin Industrial Co., Inc.</w:t>
            </w:r>
          </w:p>
        </w:tc>
        <w:tc>
          <w:tcPr>
            <w:tcW w:w="2020" w:type="dxa"/>
            <w:vAlign w:val="bottom"/>
          </w:tcPr>
          <w:p>
            <w:pPr>
              <w:ind w:left="180"/>
              <w:spacing w:after="0"/>
              <w:rPr>
                <w:sz w:val="20"/>
                <w:szCs w:val="20"/>
                <w:color w:val="auto"/>
              </w:rPr>
            </w:pPr>
            <w:r>
              <w:rPr>
                <w:rFonts w:ascii="Arial" w:cs="Arial" w:eastAsia="Arial" w:hAnsi="Arial"/>
                <w:sz w:val="18"/>
                <w:szCs w:val="18"/>
                <w:color w:val="auto"/>
              </w:rPr>
              <w:t>Philippines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w w:val="95"/>
              </w:rPr>
              <w:t>South-East Nonferrous Metal Company Limited of Hengyang City</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Tejing (Vietnam)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Vietnam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Unecha Refractory metals plant</w:t>
            </w:r>
          </w:p>
        </w:tc>
        <w:tc>
          <w:tcPr>
            <w:tcW w:w="2020" w:type="dxa"/>
            <w:vAlign w:val="bottom"/>
          </w:tcPr>
          <w:p>
            <w:pPr>
              <w:ind w:left="180"/>
              <w:spacing w:after="0"/>
              <w:rPr>
                <w:sz w:val="20"/>
                <w:szCs w:val="20"/>
                <w:color w:val="auto"/>
              </w:rPr>
            </w:pPr>
            <w:r>
              <w:rPr>
                <w:rFonts w:ascii="Arial" w:cs="Arial" w:eastAsia="Arial" w:hAnsi="Arial"/>
                <w:sz w:val="18"/>
                <w:szCs w:val="18"/>
                <w:color w:val="auto"/>
              </w:rPr>
              <w:t>Russian Federation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Wolfram Bergbau und Hutten AG</w:t>
            </w:r>
          </w:p>
        </w:tc>
        <w:tc>
          <w:tcPr>
            <w:tcW w:w="2020" w:type="dxa"/>
            <w:vAlign w:val="bottom"/>
          </w:tcPr>
          <w:p>
            <w:pPr>
              <w:ind w:left="180"/>
              <w:spacing w:after="0"/>
              <w:rPr>
                <w:sz w:val="20"/>
                <w:szCs w:val="20"/>
                <w:color w:val="auto"/>
              </w:rPr>
            </w:pPr>
            <w:r>
              <w:rPr>
                <w:rFonts w:ascii="Arial" w:cs="Arial" w:eastAsia="Arial" w:hAnsi="Arial"/>
                <w:sz w:val="18"/>
                <w:szCs w:val="18"/>
                <w:color w:val="auto"/>
              </w:rPr>
              <w:t>Austria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Woltech Korea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Korea, Republic of</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Xiamen Tungsten (H.C.)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Xiamen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w w:val="97"/>
              </w:rPr>
              <w:t>Xinfeng Huarui Tungsten &amp; Molybdenum New Material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Tungsten</w:t>
            </w:r>
          </w:p>
        </w:tc>
        <w:tc>
          <w:tcPr>
            <w:tcW w:w="5100" w:type="dxa"/>
            <w:vAlign w:val="bottom"/>
          </w:tcPr>
          <w:p>
            <w:pPr>
              <w:ind w:left="120"/>
              <w:spacing w:after="0"/>
              <w:rPr>
                <w:sz w:val="20"/>
                <w:szCs w:val="20"/>
                <w:color w:val="auto"/>
              </w:rPr>
            </w:pPr>
            <w:r>
              <w:rPr>
                <w:rFonts w:ascii="Arial" w:cs="Arial" w:eastAsia="Arial" w:hAnsi="Arial"/>
                <w:sz w:val="18"/>
                <w:szCs w:val="18"/>
                <w:color w:val="auto"/>
              </w:rPr>
              <w:t>Xinhai Rendan Shaoguan Tungsten Co., Ltd.</w:t>
            </w:r>
          </w:p>
        </w:tc>
        <w:tc>
          <w:tcPr>
            <w:tcW w:w="202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365"/>
        </w:trPr>
        <w:tc>
          <w:tcPr>
            <w:tcW w:w="780" w:type="dxa"/>
            <w:vAlign w:val="bottom"/>
          </w:tcPr>
          <w:p>
            <w:pPr>
              <w:spacing w:after="0"/>
              <w:rPr>
                <w:sz w:val="24"/>
                <w:szCs w:val="24"/>
                <w:color w:val="auto"/>
              </w:rPr>
            </w:pPr>
          </w:p>
        </w:tc>
        <w:tc>
          <w:tcPr>
            <w:tcW w:w="5100" w:type="dxa"/>
            <w:vAlign w:val="bottom"/>
          </w:tcPr>
          <w:p>
            <w:pPr>
              <w:ind w:left="4640"/>
              <w:spacing w:after="0"/>
              <w:rPr>
                <w:sz w:val="20"/>
                <w:szCs w:val="20"/>
                <w:color w:val="auto"/>
              </w:rPr>
            </w:pPr>
            <w:r>
              <w:rPr>
                <w:rFonts w:ascii="Arial" w:cs="Arial" w:eastAsia="Arial" w:hAnsi="Arial"/>
                <w:sz w:val="18"/>
                <w:szCs w:val="18"/>
                <w:color w:val="auto"/>
              </w:rPr>
              <w:t>10</w:t>
            </w:r>
          </w:p>
        </w:tc>
        <w:tc>
          <w:tcPr>
            <w:tcW w:w="2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2019-12-02T03:35:03Z</dcterms:created>
  <dcterms:modified xsi:type="dcterms:W3CDTF">2019-12-02T03:35:03Z</dcterms:modified>
</cp:coreProperties>
</file>