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27, 2005</w:t>
      </w:r>
    </w:p>
    <w:p>
      <w:pPr>
        <w:spacing w:after="0" w:line="12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MAGNACHIP SEMICONDUCTOR LLC</w:t>
      </w:r>
    </w:p>
    <w:p>
      <w:pPr>
        <w:spacing w:after="0" w:line="54"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4320" w:type="dxa"/>
            <w:vAlign w:val="bottom"/>
          </w:tcPr>
          <w:p>
            <w:pPr>
              <w:jc w:val="center"/>
              <w:ind w:right="1262"/>
              <w:spacing w:after="0"/>
              <w:rPr>
                <w:sz w:val="20"/>
                <w:szCs w:val="20"/>
                <w:color w:val="auto"/>
              </w:rPr>
            </w:pPr>
            <w:r>
              <w:rPr>
                <w:rFonts w:ascii="Arial" w:cs="Arial" w:eastAsia="Arial" w:hAnsi="Arial"/>
                <w:sz w:val="18"/>
                <w:szCs w:val="18"/>
                <w:b w:val="1"/>
                <w:bCs w:val="1"/>
                <w:color w:val="auto"/>
                <w:w w:val="88"/>
              </w:rPr>
              <w:t>Delaware</w:t>
            </w:r>
          </w:p>
        </w:tc>
        <w:tc>
          <w:tcPr>
            <w:tcW w:w="2600" w:type="dxa"/>
            <w:vAlign w:val="bottom"/>
          </w:tcPr>
          <w:p>
            <w:pPr>
              <w:jc w:val="right"/>
              <w:ind w:right="922"/>
              <w:spacing w:after="0"/>
              <w:rPr>
                <w:sz w:val="20"/>
                <w:szCs w:val="20"/>
                <w:color w:val="auto"/>
              </w:rPr>
            </w:pPr>
            <w:r>
              <w:rPr>
                <w:rFonts w:ascii="Arial" w:cs="Arial" w:eastAsia="Arial" w:hAnsi="Arial"/>
                <w:sz w:val="18"/>
                <w:szCs w:val="18"/>
                <w:b w:val="1"/>
                <w:bCs w:val="1"/>
                <w:color w:val="auto"/>
              </w:rPr>
              <w:t>333-126019-09</w:t>
            </w:r>
          </w:p>
        </w:tc>
        <w:tc>
          <w:tcPr>
            <w:tcW w:w="2740" w:type="dxa"/>
            <w:vAlign w:val="bottom"/>
          </w:tcPr>
          <w:p>
            <w:pPr>
              <w:jc w:val="center"/>
              <w:ind w:left="162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4320" w:type="dxa"/>
            <w:vAlign w:val="bottom"/>
          </w:tcPr>
          <w:p>
            <w:pPr>
              <w:jc w:val="center"/>
              <w:ind w:right="124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600" w:type="dxa"/>
            <w:vAlign w:val="bottom"/>
          </w:tcPr>
          <w:p>
            <w:pPr>
              <w:jc w:val="center"/>
              <w:ind w:right="40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740" w:type="dxa"/>
            <w:vAlign w:val="bottom"/>
          </w:tcPr>
          <w:p>
            <w:pPr>
              <w:jc w:val="center"/>
              <w:ind w:left="16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320" w:type="dxa"/>
            <w:vAlign w:val="bottom"/>
          </w:tcPr>
          <w:p>
            <w:pPr>
              <w:jc w:val="center"/>
              <w:ind w:right="1242"/>
              <w:spacing w:after="0"/>
              <w:rPr>
                <w:sz w:val="20"/>
                <w:szCs w:val="20"/>
                <w:color w:val="auto"/>
              </w:rPr>
            </w:pPr>
            <w:r>
              <w:rPr>
                <w:rFonts w:ascii="Arial" w:cs="Arial" w:eastAsia="Arial" w:hAnsi="Arial"/>
                <w:sz w:val="14"/>
                <w:szCs w:val="14"/>
                <w:b w:val="1"/>
                <w:bCs w:val="1"/>
                <w:color w:val="auto"/>
                <w:w w:val="89"/>
              </w:rPr>
              <w:t>of Incorporation)</w:t>
            </w:r>
          </w:p>
        </w:tc>
        <w:tc>
          <w:tcPr>
            <w:tcW w:w="2600" w:type="dxa"/>
            <w:vAlign w:val="bottom"/>
          </w:tcPr>
          <w:p>
            <w:pPr>
              <w:spacing w:after="0"/>
              <w:rPr>
                <w:sz w:val="15"/>
                <w:szCs w:val="15"/>
                <w:color w:val="auto"/>
              </w:rPr>
            </w:pPr>
          </w:p>
        </w:tc>
        <w:tc>
          <w:tcPr>
            <w:tcW w:w="2740" w:type="dxa"/>
            <w:vAlign w:val="bottom"/>
          </w:tcPr>
          <w:p>
            <w:pPr>
              <w:jc w:val="center"/>
              <w:ind w:left="1604"/>
              <w:spacing w:after="0"/>
              <w:rPr>
                <w:sz w:val="20"/>
                <w:szCs w:val="20"/>
                <w:color w:val="auto"/>
              </w:rPr>
            </w:pPr>
            <w:r>
              <w:rPr>
                <w:rFonts w:ascii="Arial" w:cs="Arial" w:eastAsia="Arial" w:hAnsi="Arial"/>
                <w:sz w:val="14"/>
                <w:szCs w:val="14"/>
                <w:b w:val="1"/>
                <w:bCs w:val="1"/>
                <w:color w:val="auto"/>
                <w:w w:val="89"/>
              </w:rPr>
              <w:t>Identification No.)</w:t>
            </w:r>
          </w:p>
        </w:tc>
      </w:tr>
      <w:tr>
        <w:trPr>
          <w:trHeight w:val="351"/>
        </w:trPr>
        <w:tc>
          <w:tcPr>
            <w:tcW w:w="6920" w:type="dxa"/>
            <w:vAlign w:val="bottom"/>
            <w:gridSpan w:val="2"/>
          </w:tcPr>
          <w:p>
            <w:pPr>
              <w:jc w:val="center"/>
              <w:ind w:right="2042"/>
              <w:spacing w:after="0"/>
              <w:rPr>
                <w:sz w:val="20"/>
                <w:szCs w:val="20"/>
                <w:color w:val="auto"/>
              </w:rPr>
            </w:pPr>
            <w:r>
              <w:rPr>
                <w:rFonts w:ascii="Arial" w:cs="Arial" w:eastAsia="Arial" w:hAnsi="Arial"/>
                <w:sz w:val="18"/>
                <w:szCs w:val="18"/>
                <w:b w:val="1"/>
                <w:bCs w:val="1"/>
                <w:color w:val="auto"/>
                <w:w w:val="88"/>
              </w:rPr>
              <w:t>c/o MagnaChip Semiconductor S.A., 10, rue de Vianden, L-2680</w:t>
            </w:r>
          </w:p>
        </w:tc>
        <w:tc>
          <w:tcPr>
            <w:tcW w:w="2740" w:type="dxa"/>
            <w:vAlign w:val="bottom"/>
          </w:tcPr>
          <w:p>
            <w:pPr>
              <w:spacing w:after="0"/>
              <w:rPr>
                <w:sz w:val="24"/>
                <w:szCs w:val="24"/>
                <w:color w:val="auto"/>
              </w:rPr>
            </w:pPr>
          </w:p>
        </w:tc>
      </w:tr>
      <w:tr>
        <w:trPr>
          <w:trHeight w:val="231"/>
        </w:trPr>
        <w:tc>
          <w:tcPr>
            <w:tcW w:w="4320" w:type="dxa"/>
            <w:vAlign w:val="bottom"/>
          </w:tcPr>
          <w:p>
            <w:pPr>
              <w:jc w:val="center"/>
              <w:ind w:left="422"/>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600" w:type="dxa"/>
            <w:vAlign w:val="bottom"/>
          </w:tcPr>
          <w:p>
            <w:pPr>
              <w:spacing w:after="0"/>
              <w:rPr>
                <w:sz w:val="20"/>
                <w:szCs w:val="20"/>
                <w:color w:val="auto"/>
              </w:rPr>
            </w:pPr>
          </w:p>
        </w:tc>
        <w:tc>
          <w:tcPr>
            <w:tcW w:w="2740" w:type="dxa"/>
            <w:vAlign w:val="bottom"/>
          </w:tcPr>
          <w:p>
            <w:pPr>
              <w:jc w:val="center"/>
              <w:ind w:right="6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4320" w:type="dxa"/>
            <w:vAlign w:val="bottom"/>
          </w:tcPr>
          <w:p>
            <w:pPr>
              <w:jc w:val="center"/>
              <w:ind w:left="42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600" w:type="dxa"/>
            <w:vAlign w:val="bottom"/>
          </w:tcPr>
          <w:p>
            <w:pPr>
              <w:spacing w:after="0"/>
              <w:rPr>
                <w:sz w:val="15"/>
                <w:szCs w:val="15"/>
                <w:color w:val="auto"/>
              </w:rPr>
            </w:pPr>
          </w:p>
        </w:tc>
        <w:tc>
          <w:tcPr>
            <w:tcW w:w="274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ind w:left="2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352) 45-62-62</w:t>
      </w:r>
    </w:p>
    <w:p>
      <w:pPr>
        <w:spacing w:after="0" w:line="8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Attached hereto as Exhibit 99.1 and incorporated by reference herein is financial information for MagnaChip Semiconductor LLC and its consolidated subsidiaries for the quarter ended October 2, 2005, as presented in a press release dated October 27, 2005.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77" w:lineRule="exact"/>
        <w:rPr>
          <w:sz w:val="20"/>
          <w:szCs w:val="20"/>
          <w:color w:val="auto"/>
        </w:rPr>
      </w:pPr>
    </w:p>
    <w:p>
      <w:pPr>
        <w:ind w:left="700" w:hanging="23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Exhibit No.</w:t>
            </w:r>
          </w:p>
        </w:tc>
        <w:tc>
          <w:tcPr>
            <w:tcW w:w="87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860" w:type="dxa"/>
            <w:vAlign w:val="bottom"/>
          </w:tcPr>
          <w:p>
            <w:pPr>
              <w:spacing w:after="0"/>
              <w:rPr>
                <w:sz w:val="8"/>
                <w:szCs w:val="8"/>
                <w:color w:val="auto"/>
              </w:rPr>
            </w:pPr>
          </w:p>
        </w:tc>
      </w:tr>
      <w:tr>
        <w:trPr>
          <w:trHeight w:val="309"/>
        </w:trPr>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99.1</w:t>
            </w:r>
          </w:p>
        </w:tc>
        <w:tc>
          <w:tcPr>
            <w:tcW w:w="8760" w:type="dxa"/>
            <w:vAlign w:val="bottom"/>
            <w:gridSpan w:val="2"/>
          </w:tcPr>
          <w:p>
            <w:pPr>
              <w:spacing w:after="0"/>
              <w:rPr>
                <w:sz w:val="20"/>
                <w:szCs w:val="20"/>
                <w:color w:val="auto"/>
              </w:rPr>
            </w:pPr>
            <w:r>
              <w:rPr>
                <w:rFonts w:ascii="Arial" w:cs="Arial" w:eastAsia="Arial" w:hAnsi="Arial"/>
                <w:sz w:val="18"/>
                <w:szCs w:val="18"/>
                <w:color w:val="auto"/>
                <w:w w:val="87"/>
              </w:rPr>
              <w:t>Press release for MagnaChip Semiconductor LLC dated October 27, 2005, announcing the results for the third quarter ended</w:t>
            </w:r>
          </w:p>
        </w:tc>
      </w:tr>
      <w:tr>
        <w:trPr>
          <w:trHeight w:val="222"/>
        </w:trPr>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October 2, 2005.</w:t>
            </w:r>
          </w:p>
        </w:tc>
      </w:tr>
    </w:tbl>
    <w:p>
      <w:pPr>
        <w:sectPr>
          <w:pgSz w:w="11900" w:h="16838" w:orient="portrait"/>
          <w:cols w:equalWidth="0" w:num="1">
            <w:col w:w="10780"/>
          </w:cols>
          <w:pgMar w:left="240" w:top="274" w:right="8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19"/>
                <w:szCs w:val="19"/>
                <w:color w:val="auto"/>
              </w:rPr>
            </w:pPr>
          </w:p>
        </w:tc>
        <w:tc>
          <w:tcPr>
            <w:tcW w:w="7520" w:type="dxa"/>
            <w:vAlign w:val="bottom"/>
            <w:gridSpan w:val="2"/>
          </w:tcPr>
          <w:p>
            <w:pPr>
              <w:ind w:left="214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3900" w:type="dxa"/>
            <w:vAlign w:val="bottom"/>
          </w:tcPr>
          <w:p>
            <w:pPr>
              <w:spacing w:after="0"/>
              <w:rPr>
                <w:sz w:val="20"/>
                <w:szCs w:val="20"/>
                <w:color w:val="auto"/>
              </w:rPr>
            </w:pPr>
            <w:r>
              <w:rPr>
                <w:rFonts w:ascii="Arial" w:cs="Arial" w:eastAsia="Arial" w:hAnsi="Arial"/>
                <w:sz w:val="18"/>
                <w:szCs w:val="18"/>
                <w:color w:val="auto"/>
              </w:rPr>
              <w:t>Dated: October 27, 2005</w:t>
            </w:r>
          </w:p>
        </w:tc>
        <w:tc>
          <w:tcPr>
            <w:tcW w:w="7520" w:type="dxa"/>
            <w:vAlign w:val="bottom"/>
            <w:gridSpan w:val="2"/>
          </w:tcPr>
          <w:p>
            <w:pPr>
              <w:ind w:left="2140"/>
              <w:spacing w:after="0"/>
              <w:rPr>
                <w:sz w:val="20"/>
                <w:szCs w:val="20"/>
                <w:color w:val="auto"/>
              </w:rPr>
            </w:pPr>
            <w:r>
              <w:rPr>
                <w:rFonts w:ascii="Arial" w:cs="Arial" w:eastAsia="Arial" w:hAnsi="Arial"/>
                <w:sz w:val="18"/>
                <w:szCs w:val="18"/>
                <w:color w:val="auto"/>
              </w:rPr>
              <w:t>By: /s/ Youm Huh</w:t>
            </w:r>
          </w:p>
        </w:tc>
      </w:tr>
      <w:tr>
        <w:trPr>
          <w:trHeight w:val="202"/>
        </w:trPr>
        <w:tc>
          <w:tcPr>
            <w:tcW w:w="39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Youm Huh</w:t>
            </w:r>
          </w:p>
        </w:tc>
      </w:tr>
      <w:tr>
        <w:trPr>
          <w:trHeight w:val="222"/>
        </w:trPr>
        <w:tc>
          <w:tcPr>
            <w:tcW w:w="39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31"/>
        </w:trPr>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 No.</w:t>
            </w:r>
          </w:p>
        </w:tc>
        <w:tc>
          <w:tcPr>
            <w:tcW w:w="3940" w:type="dxa"/>
            <w:vAlign w:val="bottom"/>
            <w:gridSpan w:val="3"/>
          </w:tcPr>
          <w:p>
            <w:pPr>
              <w:ind w:left="36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top w:val="single" w:sz="8" w:color="auto"/>
            </w:tcBorders>
          </w:tcPr>
          <w:p>
            <w:pPr>
              <w:spacing w:after="0"/>
              <w:rPr>
                <w:sz w:val="24"/>
                <w:szCs w:val="24"/>
                <w:color w:val="auto"/>
              </w:rPr>
            </w:pPr>
          </w:p>
        </w:tc>
        <w:tc>
          <w:tcPr>
            <w:tcW w:w="4940" w:type="dxa"/>
            <w:vAlign w:val="bottom"/>
          </w:tcPr>
          <w:p>
            <w:pPr>
              <w:spacing w:after="0"/>
              <w:rPr>
                <w:sz w:val="24"/>
                <w:szCs w:val="24"/>
                <w:color w:val="auto"/>
              </w:rPr>
            </w:pPr>
          </w:p>
        </w:tc>
      </w:tr>
      <w:tr>
        <w:trPr>
          <w:trHeight w:val="95"/>
        </w:trPr>
        <w:tc>
          <w:tcPr>
            <w:tcW w:w="8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940" w:type="dxa"/>
            <w:vAlign w:val="bottom"/>
          </w:tcPr>
          <w:p>
            <w:pPr>
              <w:spacing w:after="0"/>
              <w:rPr>
                <w:sz w:val="8"/>
                <w:szCs w:val="8"/>
                <w:color w:val="auto"/>
              </w:rPr>
            </w:pPr>
          </w:p>
        </w:tc>
      </w:tr>
      <w:tr>
        <w:trPr>
          <w:trHeight w:val="309"/>
        </w:trPr>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99.1</w:t>
            </w:r>
          </w:p>
        </w:tc>
        <w:tc>
          <w:tcPr>
            <w:tcW w:w="9900" w:type="dxa"/>
            <w:vAlign w:val="bottom"/>
            <w:gridSpan w:val="5"/>
          </w:tcPr>
          <w:p>
            <w:pPr>
              <w:ind w:left="360"/>
              <w:spacing w:after="0"/>
              <w:rPr>
                <w:sz w:val="20"/>
                <w:szCs w:val="20"/>
                <w:color w:val="auto"/>
              </w:rPr>
            </w:pPr>
            <w:r>
              <w:rPr>
                <w:rFonts w:ascii="Arial" w:cs="Arial" w:eastAsia="Arial" w:hAnsi="Arial"/>
                <w:sz w:val="18"/>
                <w:szCs w:val="18"/>
                <w:color w:val="auto"/>
                <w:w w:val="87"/>
              </w:rPr>
              <w:t>Press release for MagnaChip Semiconductor LLC dated October 27, 2005, announcing the results for the third quarter ended October 2,</w:t>
            </w:r>
          </w:p>
        </w:tc>
      </w:tr>
      <w:tr>
        <w:trPr>
          <w:trHeight w:val="222"/>
        </w:trPr>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rPr>
              <w:t>2005.</w:t>
            </w:r>
          </w:p>
        </w:tc>
        <w:tc>
          <w:tcPr>
            <w:tcW w:w="2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940" w:type="dxa"/>
            <w:vAlign w:val="bottom"/>
          </w:tcPr>
          <w:p>
            <w:pPr>
              <w:spacing w:after="0"/>
              <w:rPr>
                <w:sz w:val="19"/>
                <w:szCs w:val="19"/>
                <w:color w:val="auto"/>
              </w:rPr>
            </w:pPr>
          </w:p>
        </w:tc>
      </w:tr>
    </w:tbl>
    <w:p>
      <w:pPr>
        <w:sectPr>
          <w:pgSz w:w="11900" w:h="16838" w:orient="portrait"/>
          <w:cols w:equalWidth="0" w:num="1">
            <w:col w:w="11160"/>
          </w:cols>
          <w:pgMar w:left="240" w:top="257" w:right="4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57785</wp:posOffset>
            </wp:positionV>
            <wp:extent cx="2324100" cy="523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2410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MagnaChip Semiconductor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Third Quarter Results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Seoul, South Korea, October 27, 2005 </w:t>
      </w:r>
      <w:r>
        <w:rPr>
          <w:rFonts w:ascii="Arial" w:cs="Arial" w:eastAsia="Arial" w:hAnsi="Arial"/>
          <w:sz w:val="18"/>
          <w:szCs w:val="18"/>
          <w:color w:val="auto"/>
        </w:rPr>
        <w:t>– MagnaChip Semiconductor today announced results for the third quarter ended October 2, 2005.</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Net revenue on a US generally accepted accounting principle (GAAP) basis for the three months ended October 2, 2005 was $243.1 million, compared to $236.0 million in the second quarter of 2005.</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Gross margin was $61.9 million or 25.5% of revenue for the quarter ended October 2, 2005, compared to $60.4 million or 25.6% of revenue for the quarter ended July 3, 2005.</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Operating expenses on a GAAP basis were $55.2 million in the third quarter or 22.7% of net revenue compared to $68.7 million or 29.1% of net revenue during the second quarter of 2005. The decrease of $13.5 million or 19.7% from the prior quarter is due primarily to one time charges of $11.3 million during the second quarter, which included asset impairment of certain manufacturing equipment and amortization of intangible assets specifically related to the acquisition of IC Media Corporation.</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income on a GAAP basis was $6.7 million compared to an operating loss of $8.3 million in the second quarter.</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interest expense for the third quarter was $14.9 million compared to $14.0 million in the second quarter.</w:t>
      </w:r>
    </w:p>
    <w:p>
      <w:pPr>
        <w:spacing w:after="0" w:line="7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Net loss for the three months ended October 2, 2005 was $13.2 million, an improvement of $20.3 million or 60.6% from a net loss of $33.5 million in the preceding quarter.</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Youm Huh, President and CEO of MagnaChip Semiconductor, commented, “We are encouraged by our continued progress during the third quarter. Our revenue came in as expected, due to healthy demand, as well as gains in our core strategic markets. Importantly, this was our first quarter of operating profit on a GAAP basis and our second on a non-GAAP basis. Additionally, during the third quarter we launched some exciting new technologies, which we expect will further differentiate us with customers.”</w:t>
      </w:r>
    </w:p>
    <w:p>
      <w:pPr>
        <w:spacing w:after="0" w:line="130"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Robert Krakauer, Executive Vice President of Strategic Operations and CFO of MagnaChip Semiconductor, said, “A more stable pricing environment positively benefited MagnaChip along with continued operational efficiencies and our cost containment initiatives. Capital spending was $22 million for the quarter, up from prior quarters, but under our plan for the year, as we strategically manage the timing of investments to meet our operational needs. Importantly, despite the higher capital spending, we were able to increase our balance of cash and short-term investments by $26.2 million to $71.0 million at the end of the third quarter.”</w:t>
      </w:r>
    </w:p>
    <w:p>
      <w:pPr>
        <w:spacing w:after="0" w:line="8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Dr. Huh, concluded, “We have accomplished a great deal over the last 12 months to position MagnaChip in the right markets with the right operating structure to maximize profitability. We have put in place strong general managers to lead our Display Solutions, Imaging Solutions and Semiconductor Manufacturing Services strategic business units and have set aggressive goals for each unit. Finally, volumes typically increase going into the holiday season as customers ramp production of small consumer goods. We are working closely with our customers to monitor capacity requirements, and we will continue to optimize our inventory management. Based on our current business level we expect revenue growth to be flat in the fourth quarter verses the third quarter.”</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Investor Conference Call / Webcast Details</w:t>
      </w:r>
    </w:p>
    <w:p>
      <w:pPr>
        <w:spacing w:after="0" w:line="21" w:lineRule="exact"/>
        <w:rPr>
          <w:sz w:val="20"/>
          <w:szCs w:val="20"/>
          <w:color w:val="auto"/>
        </w:rPr>
      </w:pPr>
    </w:p>
    <w:p>
      <w:pPr>
        <w:ind w:right="360"/>
        <w:spacing w:after="0" w:line="320" w:lineRule="auto"/>
        <w:rPr>
          <w:sz w:val="20"/>
          <w:szCs w:val="20"/>
          <w:color w:val="auto"/>
        </w:rPr>
      </w:pPr>
      <w:r>
        <w:rPr>
          <w:rFonts w:ascii="Arial" w:cs="Arial" w:eastAsia="Arial" w:hAnsi="Arial"/>
          <w:sz w:val="15"/>
          <w:szCs w:val="15"/>
          <w:color w:val="auto"/>
        </w:rPr>
        <w:t>MagnaChip will report full results for the third quarter 2005 on Thursday, October 27, 2005 at 10:00 a.m. in New York (11:00 p.m., Thursday, October 27 in South Korea). The conference call will be available at www.magnachip.com and by telephone at (201) 689-8470. A replay of the call will be available immediately following the call on Thursday, October 27, 2005 through midnight in New York (1:59 p.m. Friday, November 4, 2005 in Seoul) by telephone at (201) 612-7415 and via the web www.magnachip.com. The account number and confirmation identification for the replay are 3055 and 172102,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MagnaChip Semiconductor is a leading designer, developer and manufacturer of mixed-signal and digital multimedia semiconductors addressing the convergence of consumer electronics and communications devices. We focus on CMOS image sensors and flat panel display drivers, which are complex, high performance, mixed signal semiconductors that capture images and enable and enhance the features and capabilities of both small and large flat panel displays. MagnaChip also provides wafer foundry services utilizing CMOS high voltage, embedded memory, analog and power process technologies for the manufacture of IC’s for customer-owned designs. MagnaChip has world-class manufacturing capabilities and an extensive portfolio of approximately 12,500 registered and pending patents. As a result, MagnaChip is a valued partner in providing leading technology solutions to its customers worldwide. For more information, visit www.magnachip.com.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statements in this press release including statements regarding expected future financial and industry growth are forward-looking statements that involve a number of risks and uncertainties that could cause actual results to differ materially. In some cases, you can identify forward-looking statements by such terms as “believes,” “expects,” “anticipates,” “intends,” “estimated,” the negative of these terms, or other comparable terminology. Factors that could cause actual results to differ include general business and economic conditions and the state of the semiconductor industry; demand for end-use products by consumers and inventory levels of such products in the supply chain; changes in demand from significant customers; changes in customer order patterns; changes in product mix; capacity utilization; level of competition; pricing pressure and declines in average selling price; delays in new product introduction; continued success in technological innovations and delivery of products with the features customers demand; shortage in supply of materials or capacity requirements; availability of financing; exchange rate fluctuations; litigation and other risks as described in the Company’s SEC filings, including its quarterly report on Form 10-Q for the period ended July 3, 2005.</w:t>
      </w:r>
    </w:p>
    <w:p>
      <w:pPr>
        <w:spacing w:after="0" w:line="10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Although we believe that the expectations reflected in the forward looking statements are reasonable, we cannot guarantee future results, level of activity, performance, or achievements. You should not place undue reliance on these forward-looking statements.</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Korea:</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Robert Krakauer, EVP Strategic Operations, CFO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Tel: 82-2-3459-3682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rkrakauer@magnachip.com</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 the U.S.:</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David Pasquale, EVP at The Ruth Group</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Tel: +646-536-7006</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dpasquale@theruthgroup.com</w:t>
      </w:r>
    </w:p>
    <w:p>
      <w:pPr>
        <w:sectPr>
          <w:pgSz w:w="11900" w:h="16838" w:orient="portrait"/>
          <w:cols w:equalWidth="0" w:num="2">
            <w:col w:w="4820" w:space="720"/>
            <w:col w:w="5880"/>
          </w:cols>
          <w:pgMar w:left="240" w:top="27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 except unit and per unit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9"/>
              </w:rPr>
              <w:t>October 2,</w:t>
            </w:r>
          </w:p>
        </w:tc>
        <w:tc>
          <w:tcPr>
            <w:tcW w:w="10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July 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243,089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236,023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181,177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175,619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27,043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27,488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(8,322)</w:t>
            </w:r>
          </w:p>
        </w:tc>
        <w:tc>
          <w:tcPr>
            <w:tcW w:w="0" w:type="dxa"/>
            <w:vAlign w:val="bottom"/>
          </w:tcPr>
          <w:p>
            <w:pPr>
              <w:spacing w:after="0"/>
              <w:rPr>
                <w:sz w:val="1"/>
                <w:szCs w:val="1"/>
                <w:color w:val="auto"/>
              </w:rPr>
            </w:pPr>
          </w:p>
        </w:tc>
      </w:tr>
      <w:tr>
        <w:trPr>
          <w:trHeight w:val="322"/>
        </w:trPr>
        <w:tc>
          <w:tcPr>
            <w:tcW w:w="9380" w:type="dxa"/>
            <w:vAlign w:val="bottom"/>
            <w:gridSpan w:val="3"/>
          </w:tcPr>
          <w:p>
            <w:pPr>
              <w:spacing w:after="0"/>
              <w:rPr>
                <w:sz w:val="20"/>
                <w:szCs w:val="20"/>
                <w:color w:val="auto"/>
              </w:rPr>
            </w:pPr>
            <w:r>
              <w:rPr>
                <w:rFonts w:ascii="Arial" w:cs="Arial" w:eastAsia="Arial" w:hAnsi="Arial"/>
                <w:sz w:val="18"/>
                <w:szCs w:val="18"/>
                <w:color w:val="auto"/>
              </w:rPr>
              <w:t>Interest expenses, net</w:t>
            </w:r>
          </w:p>
        </w:tc>
        <w:tc>
          <w:tcPr>
            <w:tcW w:w="1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(14,944)</w:t>
            </w: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(13,991)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expenses,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(5,473)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(12,795)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(13,714)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(35,108)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Benefit from income taxes</w:t>
            </w:r>
          </w:p>
        </w:tc>
        <w:tc>
          <w:tcPr>
            <w:tcW w:w="1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(13,242)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(33,484)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8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 cash preferred unit dividends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(15,747)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(35,962)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8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units: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units (in thousands) used in per common units calculation: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gridSpan w:val="2"/>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53,037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52,982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Key Ratios &amp; Information:</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Gross Margin</w:t>
            </w:r>
          </w:p>
        </w:tc>
        <w:tc>
          <w:tcPr>
            <w:tcW w:w="7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25.5%</w:t>
            </w: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 as a % of Revenue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&amp; Amortization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21,982</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6,490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-2123440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-2123440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-2123440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-2123440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-2123440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-2123440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-1540510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-1540510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-1540510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-1540510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-1540510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-1540510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US GAAP Gross Profit, Operating Income (Loss) and Net Loss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Non-US GAAP Gross Profit, Operating Income (Loss) and Net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Use of Non-US GAAP Financial Information</w:t>
      </w:r>
    </w:p>
    <w:p>
      <w:pPr>
        <w:spacing w:after="0" w:line="1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To supplement our condensed consolidated financial statements presented on a US GAAP basis, MagnaChip Semiconductor uses a non-US GAAP measures of gross profit, operating income (loss) and net income (loss), that are US GAAP gross profit, operating income (loss) and net income (loss) adjusted to exclude certain costs, expenses or gains, referred to as special items. Non-US GAAP adjusted gross profit, operating income (loss) and net income (loss) measure give an indication of our baseline performance before other charges that are considered by management to be outside of our core operating results. In addition, our non-US GAAP adjusted measure of gross profit, operating income (loss) and net income (loss) are among the primary indicators management uses as a basis for our planning and forecasting of future periods. The presentation of this additional information should not be considered in isolation or as a substitute for gross profit, operating income (loss) and net income (loss) prepared in accordance with generally accepted accounting principles in the United States of America</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62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89"/>
              </w:rPr>
              <w:t>Three Months Ended</w:t>
            </w:r>
          </w:p>
        </w:tc>
        <w:tc>
          <w:tcPr>
            <w:tcW w:w="248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October 2, 2005</w:t>
            </w: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3, 2005</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78"/>
              </w:rPr>
              <w:t>Gross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Operating</w:t>
            </w: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Net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78"/>
              </w:rPr>
              <w:t>Gross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Operating</w:t>
            </w: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Profit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loss</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Profit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loss</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US GAAP Amounts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$61,912</w:t>
            </w:r>
          </w:p>
        </w:tc>
        <w:tc>
          <w:tcPr>
            <w:tcW w:w="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6,703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2"/>
              </w:rPr>
              <w:t>$ (13,242)</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$60,404</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(8,322)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2"/>
              </w:rPr>
              <w:t>$ (33,484)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Special items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 Restructuring and impairment charges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(2) IPR&amp;D amortization</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2,605</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special items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11,325</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Non-US GAAP Profit (Loss)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$61,912</w:t>
            </w:r>
          </w:p>
        </w:tc>
        <w:tc>
          <w:tcPr>
            <w:tcW w:w="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6,703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2"/>
              </w:rPr>
              <w:t>$ (13,242)</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$60,404</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2"/>
              </w:rPr>
              <w:t>$ (22,159)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-29210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412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25.5%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Adjusted Operating Expense - % of Revenue</w:t>
            </w:r>
          </w:p>
        </w:tc>
        <w:tc>
          <w:tcPr>
            <w:tcW w:w="4120" w:type="dxa"/>
            <w:vAlign w:val="bottom"/>
          </w:tcPr>
          <w:p>
            <w:pPr>
              <w:jc w:val="right"/>
              <w:ind w:right="1012"/>
              <w:spacing w:after="0"/>
              <w:rPr>
                <w:sz w:val="20"/>
                <w:szCs w:val="20"/>
                <w:color w:val="auto"/>
              </w:rPr>
            </w:pPr>
            <w:r>
              <w:rPr>
                <w:rFonts w:ascii="Arial" w:cs="Arial" w:eastAsia="Arial" w:hAnsi="Arial"/>
                <w:sz w:val="18"/>
                <w:szCs w:val="18"/>
                <w:color w:val="auto"/>
              </w:rPr>
              <w:t>22.7%</w:t>
            </w:r>
          </w:p>
        </w:tc>
        <w:tc>
          <w:tcPr>
            <w:tcW w:w="158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Margin</w:t>
            </w:r>
          </w:p>
        </w:tc>
        <w:tc>
          <w:tcPr>
            <w:tcW w:w="412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2.8%</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bl>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Non-US GAAP adjusted condensed consolidated statements of operations are intended to present the Company’s operating results, excluding special items. The special items excluded for the three months ended July 3, 2005 are as follows:</w:t>
      </w:r>
    </w:p>
    <w:p>
      <w:pPr>
        <w:spacing w:after="0" w:line="3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and impairment charges included headcount reduction and asset impairment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IPR&amp;D recognized at the acquisition date and expensed immediately</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October 2,</w:t>
            </w:r>
          </w:p>
        </w:tc>
        <w:tc>
          <w:tcPr>
            <w:tcW w:w="8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116,508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105,748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20,275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498,308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514,704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and intangible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210,163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53,826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46,925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1,053,070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1,031,187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other payables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48,638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35,970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162,745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Long-term borrowings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973,824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940,414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103,912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(24,666)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1,053,070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1,031,187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-2567940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-2567940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-2567940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-2567940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-2567940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-2567940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2019-12-15T12:30:12Z</dcterms:created>
  <dcterms:modified xsi:type="dcterms:W3CDTF">2019-12-15T12:30:12Z</dcterms:modified>
</cp:coreProperties>
</file>