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Young-Joon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2"/>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22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7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vMerge w:val="continue"/>
          </w:tcPr>
          <w:p>
            <w:pPr>
              <w:spacing w:after="0"/>
              <w:rPr>
                <w:sz w:val="4"/>
                <w:szCs w:val="4"/>
                <w:color w:val="auto"/>
              </w:rPr>
            </w:pPr>
          </w:p>
        </w:tc>
        <w:tc>
          <w:tcPr>
            <w:tcW w:w="1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700" w:type="dxa"/>
            <w:vAlign w:val="bottom"/>
            <w:vMerge w:val="restart"/>
          </w:tcPr>
          <w:p>
            <w:pPr>
              <w:ind w:left="740"/>
              <w:spacing w:after="0"/>
              <w:rPr>
                <w:sz w:val="20"/>
                <w:szCs w:val="20"/>
                <w:color w:val="auto"/>
              </w:rPr>
            </w:pPr>
            <w:r>
              <w:rPr>
                <w:rFonts w:ascii="Arial" w:cs="Arial" w:eastAsia="Arial" w:hAnsi="Arial"/>
                <w:sz w:val="17"/>
                <w:szCs w:val="17"/>
                <w:color w:val="0000FF"/>
                <w:w w:val="91"/>
              </w:rPr>
              <w:t>See Remarks</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76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2C2C2C"/>
            </w:tcBorders>
          </w:tcPr>
          <w:p>
            <w:pPr>
              <w:spacing w:after="0"/>
              <w:rPr>
                <w:sz w:val="12"/>
                <w:szCs w:val="12"/>
                <w:color w:val="auto"/>
              </w:rPr>
            </w:pPr>
          </w:p>
        </w:tc>
        <w:tc>
          <w:tcPr>
            <w:tcW w:w="3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7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23,625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23,625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23,625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47,250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45,305</w:t>
            </w:r>
          </w:p>
        </w:tc>
        <w:tc>
          <w:tcPr>
            <w:tcW w:w="360" w:type="dxa"/>
            <w:vAlign w:val="bottom"/>
          </w:tcPr>
          <w:p>
            <w:pPr>
              <w:spacing w:after="0"/>
              <w:rPr>
                <w:sz w:val="17"/>
                <w:szCs w:val="17"/>
                <w:color w:val="auto"/>
              </w:rPr>
            </w:pPr>
          </w:p>
        </w:tc>
        <w:tc>
          <w:tcPr>
            <w:tcW w:w="78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45,305</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45,305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45,305</w:t>
            </w:r>
          </w:p>
        </w:tc>
        <w:tc>
          <w:tcPr>
            <w:tcW w:w="360" w:type="dxa"/>
            <w:vAlign w:val="bottom"/>
          </w:tcPr>
          <w:p>
            <w:pPr>
              <w:spacing w:after="0"/>
              <w:rPr>
                <w:sz w:val="17"/>
                <w:szCs w:val="17"/>
                <w:color w:val="auto"/>
              </w:rPr>
            </w:pPr>
          </w:p>
        </w:tc>
        <w:tc>
          <w:tcPr>
            <w:tcW w:w="780" w:type="dxa"/>
            <w:vAlign w:val="bottom"/>
            <w:gridSpan w:val="2"/>
          </w:tcPr>
          <w:p>
            <w:pPr>
              <w:jc w:val="right"/>
              <w:ind w:right="57"/>
              <w:spacing w:after="0"/>
              <w:rPr>
                <w:sz w:val="20"/>
                <w:szCs w:val="20"/>
                <w:color w:val="auto"/>
              </w:rPr>
            </w:pPr>
            <w:r>
              <w:rPr>
                <w:rFonts w:ascii="Arial" w:cs="Arial" w:eastAsia="Arial" w:hAnsi="Arial"/>
                <w:sz w:val="13"/>
                <w:szCs w:val="13"/>
                <w:color w:val="0000FF"/>
                <w:w w:val="98"/>
              </w:rPr>
              <w:t>06/09/2015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45,305</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45,305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subject to continued service: 33 1/3% on 6/9/2016; 33 1/3% on 6/9/2017; and 33 1/3% on 6/9/2018.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Director and Chief Executive Officer 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Feb 13, 2014.</w:t>
      </w:r>
    </w:p>
    <w:p>
      <w:pPr>
        <w:spacing w:after="0" w:line="193" w:lineRule="exact"/>
        <w:rPr>
          <w:sz w:val="20"/>
          <w:szCs w:val="20"/>
          <w:color w:val="auto"/>
        </w:rPr>
      </w:pPr>
    </w:p>
    <w:p>
      <w:pPr>
        <w:ind w:left="4200"/>
        <w:spacing w:after="0"/>
        <w:tabs>
          <w:tab w:leader="none" w:pos="5420" w:val="left"/>
        </w:tabs>
        <w:rPr>
          <w:sz w:val="20"/>
          <w:szCs w:val="20"/>
          <w:color w:val="auto"/>
        </w:rPr>
      </w:pPr>
      <w:r>
        <w:rPr>
          <w:rFonts w:ascii="Courier New" w:cs="Courier New" w:eastAsia="Courier New" w:hAnsi="Courier New"/>
          <w:sz w:val="17"/>
          <w:szCs w:val="17"/>
          <w:color w:val="auto"/>
        </w:rPr>
        <w:t>Signature:</w:t>
        <w:tab/>
        <w:t>/s/ Young-Joon Kim</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 Young-Joon Kim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2059"/>
        <w:spacing w:after="0" w:line="252" w:lineRule="auto"/>
        <w:rPr>
          <w:sz w:val="20"/>
          <w:szCs w:val="20"/>
          <w:color w:val="auto"/>
        </w:rPr>
      </w:pPr>
      <w:r>
        <w:rPr>
          <w:rFonts w:ascii="Courier New" w:cs="Courier New" w:eastAsia="Courier New" w:hAnsi="Courier New"/>
          <w:sz w:val="17"/>
          <w:szCs w:val="17"/>
          <w:color w:val="auto"/>
        </w:rPr>
        <w:t>On 2/13, 2014 before me, Susan Ostertag, personally appeared Young-Joon Kim who proved to me on the basis of satisfactory evidence to be the person whose name is subscribed to the within instrument and acknowledged to me that he executed the same in his authorized capacity, and that by his signature on the</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instrument 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/s/Susan Ostertag</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2">
        <w:col w:w="4620" w:space="720"/>
        <w:col w:w="48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2019-12-08T12:58:34Z</dcterms:created>
  <dcterms:modified xsi:type="dcterms:W3CDTF">2019-12-08T12:58:34Z</dcterms:modified>
</cp:coreProperties>
</file>