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0"/>
        </w:rPr>
      </w:pPr>
      <w:bookmarkStart w:id="0" w:name="filename1.htm"/>
      <w:bookmarkStart w:id="1" w:name="ksfilename1"/>
      <w:bookmarkEnd w:id="0"/>
      <w:bookmarkEnd w:id="1"/>
      <w:r>
        <w:rPr>
          <w:rFonts w:ascii="Times New Roman" w:hAnsi="Times New Roman"/>
          <w:b/>
          <w:sz w:val="20"/>
        </w:rPr>
        <w:t xml:space="preserve">Magnachip Semiconductor Corporation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c/o Magnachip Semiconductor, Ltd.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15F, 76 Jikji-daero 436beon-gil, Heungdeok-gu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Cheongju-si, Chungcheongbuk-do, Republic of Korea 28581 </w:t>
      </w:r>
    </w:p>
    <w:p>
      <w:pPr>
        <w:pStyle w:val="TextBody"/>
        <w:bidi w:val="0"/>
        <w:spacing w:before="240" w:after="0"/>
        <w:jc w:val="left"/>
        <w:rPr>
          <w:rFonts w:ascii="Times New Roman" w:hAnsi="Times New Roman"/>
          <w:b/>
          <w:sz w:val="20"/>
          <w:u w:val="single"/>
        </w:rPr>
      </w:pPr>
      <w:r>
        <w:rPr>
          <w:rFonts w:ascii="Times New Roman" w:hAnsi="Times New Roman"/>
          <w:b/>
          <w:sz w:val="20"/>
          <w:u w:val="single"/>
        </w:rPr>
        <w:t xml:space="preserve">VIA EDGAR </w:t>
      </w:r>
    </w:p>
    <w:p>
      <w:pPr>
        <w:pStyle w:val="TextBody"/>
        <w:bidi w:val="0"/>
        <w:spacing w:before="240" w:after="0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June 12, 2026 </w:t>
      </w:r>
    </w:p>
    <w:p>
      <w:pPr>
        <w:pStyle w:val="TextBody"/>
        <w:bidi w:val="0"/>
        <w:spacing w:before="240" w:after="0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U.S. Securities and Exchange Commission 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Division of Corporation Finance 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100 F Street, NE 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Washington, D.C. 20549 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Attention:   Sarah Sidwell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08"/>
        <w:gridCol w:w="9797"/>
      </w:tblGrid>
      <w:tr>
        <w:trPr/>
        <w:tc>
          <w:tcPr>
            <w:tcW w:w="408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Re:</w:t>
            </w:r>
          </w:p>
        </w:tc>
        <w:tc>
          <w:tcPr>
            <w:tcW w:w="9797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 xml:space="preserve">Magnachip Semiconductor Corporation 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08"/>
        <w:gridCol w:w="9797"/>
      </w:tblGrid>
      <w:tr>
        <w:trPr/>
        <w:tc>
          <w:tcPr>
            <w:tcW w:w="408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 </w:t>
            </w:r>
          </w:p>
        </w:tc>
        <w:tc>
          <w:tcPr>
            <w:tcW w:w="9797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 xml:space="preserve">Acceleration Request for Registration Statement on Form S-3 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07"/>
        <w:gridCol w:w="9798"/>
      </w:tblGrid>
      <w:tr>
        <w:trPr/>
        <w:tc>
          <w:tcPr>
            <w:tcW w:w="407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 </w:t>
            </w:r>
          </w:p>
        </w:tc>
        <w:tc>
          <w:tcPr>
            <w:tcW w:w="9798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 xml:space="preserve">File No. 333-296756 </w:t>
            </w:r>
          </w:p>
        </w:tc>
      </w:tr>
    </w:tbl>
    <w:p>
      <w:pPr>
        <w:pStyle w:val="TextBody"/>
        <w:bidi w:val="0"/>
        <w:spacing w:before="0" w:after="0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sz w:val="20"/>
        </w:rPr>
        <w:t>Requested Date</w:t>
      </w:r>
      <w:r>
        <w:rPr>
          <w:rFonts w:ascii="Times New Roman" w:hAnsi="Times New Roman"/>
          <w:sz w:val="20"/>
        </w:rPr>
        <w:t xml:space="preserve">: June 16, 2026 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sz w:val="20"/>
        </w:rPr>
        <w:t>Requested Time</w:t>
      </w:r>
      <w:r>
        <w:rPr>
          <w:rFonts w:ascii="Times New Roman" w:hAnsi="Times New Roman"/>
          <w:sz w:val="20"/>
        </w:rPr>
        <w:t xml:space="preserve">: 5:00 p.m., Eastern Time </w:t>
      </w:r>
    </w:p>
    <w:p>
      <w:pPr>
        <w:pStyle w:val="TextBody"/>
        <w:bidi w:val="0"/>
        <w:spacing w:before="240" w:after="0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Dear Ladies and Gentlemen: </w:t>
      </w:r>
    </w:p>
    <w:p>
      <w:pPr>
        <w:pStyle w:val="TextBody"/>
        <w:bidi w:val="0"/>
        <w:spacing w:before="240" w:after="0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Pursuant to Rule 461 under the Securities Act of 1933, as amended (the “</w:t>
      </w:r>
      <w:r>
        <w:rPr>
          <w:rFonts w:ascii="Times New Roman" w:hAnsi="Times New Roman"/>
          <w:sz w:val="20"/>
          <w:u w:val="single"/>
        </w:rPr>
        <w:t>Act</w:t>
      </w:r>
      <w:r>
        <w:rPr>
          <w:rFonts w:ascii="Times New Roman" w:hAnsi="Times New Roman"/>
          <w:sz w:val="20"/>
        </w:rPr>
        <w:t>”), Magnachip Semiconductor Corporation (the “</w:t>
      </w:r>
      <w:r>
        <w:rPr>
          <w:rFonts w:ascii="Times New Roman" w:hAnsi="Times New Roman"/>
          <w:sz w:val="20"/>
          <w:u w:val="single"/>
        </w:rPr>
        <w:t>Company</w:t>
      </w:r>
      <w:r>
        <w:rPr>
          <w:rFonts w:ascii="Times New Roman" w:hAnsi="Times New Roman"/>
          <w:sz w:val="20"/>
        </w:rPr>
        <w:t>”) hereby requests that the effective date and time of the above-referenced registration statement (the “</w:t>
      </w:r>
      <w:r>
        <w:rPr>
          <w:rFonts w:ascii="Times New Roman" w:hAnsi="Times New Roman"/>
          <w:sz w:val="20"/>
          <w:u w:val="single"/>
        </w:rPr>
        <w:t>Registration Statement</w:t>
      </w:r>
      <w:r>
        <w:rPr>
          <w:rFonts w:ascii="Times New Roman" w:hAnsi="Times New Roman"/>
          <w:sz w:val="20"/>
        </w:rPr>
        <w:t xml:space="preserve">”) be accelerated to June 16, 2026 at 5:00 p.m., Eastern Time, or as soon as practicable thereafter. </w:t>
      </w:r>
    </w:p>
    <w:p>
      <w:pPr>
        <w:pStyle w:val="TextBody"/>
        <w:bidi w:val="0"/>
        <w:spacing w:before="240" w:after="0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Once the Registration Statement is effective, we respectively request that you notify our counsel, Goodwin Procter LLP, by calling Stuart Ogg at (650) 752-3295.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tbl>
      <w:tblPr>
        <w:tblW w:w="2000" w:type="pct"/>
        <w:jc w:val="righ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85"/>
        <w:gridCol w:w="60"/>
        <w:gridCol w:w="3337"/>
      </w:tblGrid>
      <w:tr>
        <w:trPr/>
        <w:tc>
          <w:tcPr>
            <w:tcW w:w="6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3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082" w:type="dxa"/>
            <w:gridSpan w:val="3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Sincerely,</w:t>
            </w:r>
          </w:p>
        </w:tc>
      </w:tr>
      <w:tr>
        <w:trPr>
          <w:trHeight w:val="240" w:hRule="atLeast"/>
        </w:trPr>
        <w:tc>
          <w:tcPr>
            <w:tcW w:w="4082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082" w:type="dxa"/>
            <w:gridSpan w:val="3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MAGNACHIP SEMICONDUCTOR CORPORATION</w:t>
            </w:r>
          </w:p>
        </w:tc>
      </w:tr>
      <w:tr>
        <w:trPr>
          <w:trHeight w:val="240" w:hRule="atLeast"/>
        </w:trPr>
        <w:tc>
          <w:tcPr>
            <w:tcW w:w="6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97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8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By:</w:t>
            </w:r>
          </w:p>
        </w:tc>
        <w:tc>
          <w:tcPr>
            <w:tcW w:w="60" w:type="dxa"/>
            <w:tcBorders>
              <w:bottom w:val="single" w:sz="2" w:space="0" w:color="000000"/>
            </w:tcBorders>
            <w:tcMar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337" w:type="dxa"/>
            <w:tcBorders>
              <w:bottom w:val="single" w:sz="2" w:space="0" w:color="000000"/>
            </w:tcBorders>
            <w:tcMar>
              <w:bottom w:w="28" w:type="dxa"/>
            </w:tcMar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/s/ Shinyoung Park</w:t>
            </w:r>
          </w:p>
        </w:tc>
      </w:tr>
      <w:tr>
        <w:trPr/>
        <w:tc>
          <w:tcPr>
            <w:tcW w:w="68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Name:</w:t>
            </w:r>
          </w:p>
        </w:tc>
        <w:tc>
          <w:tcPr>
            <w:tcW w:w="6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337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Shinyoung Park</w:t>
            </w:r>
          </w:p>
        </w:tc>
      </w:tr>
      <w:tr>
        <w:trPr/>
        <w:tc>
          <w:tcPr>
            <w:tcW w:w="68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Title:</w:t>
            </w:r>
          </w:p>
        </w:tc>
        <w:tc>
          <w:tcPr>
            <w:tcW w:w="6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337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Chief Financial Officer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06"/>
        <w:gridCol w:w="9799"/>
      </w:tblGrid>
      <w:tr>
        <w:trPr/>
        <w:tc>
          <w:tcPr>
            <w:tcW w:w="40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cc:</w:t>
            </w:r>
          </w:p>
        </w:tc>
        <w:tc>
          <w:tcPr>
            <w:tcW w:w="9799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Camillo Martino, </w:t>
            </w:r>
            <w:r>
              <w:rPr>
                <w:rFonts w:ascii="Times New Roman" w:hAnsi="Times New Roman"/>
                <w:i/>
                <w:sz w:val="20"/>
              </w:rPr>
              <w:t>Magnachip Semiconductor Corporation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07"/>
        <w:gridCol w:w="9798"/>
      </w:tblGrid>
      <w:tr>
        <w:trPr/>
        <w:tc>
          <w:tcPr>
            <w:tcW w:w="407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 </w:t>
            </w:r>
          </w:p>
        </w:tc>
        <w:tc>
          <w:tcPr>
            <w:tcW w:w="9798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W. Stuart Ogg, </w:t>
            </w:r>
            <w:r>
              <w:rPr>
                <w:rFonts w:ascii="Times New Roman" w:hAnsi="Times New Roman"/>
                <w:i/>
                <w:sz w:val="20"/>
              </w:rPr>
              <w:t>Goodwin Procter LLP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175</Words>
  <Characters>1106</Characters>
  <CharactersWithSpaces>1282</CharactersWithSpaces>
  <Paragraphs>40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>CORRESP</dc:title>
</cp:coreProperties>
</file>