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MagnaChip Semiconductor Corporation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 MagnaChip Semiconductor S.A.,</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74, rue de Merl, L-2146 Luxembourg,</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Grand Duchy of Luxembourg</w:t>
      </w:r>
    </w:p>
    <w:p>
      <w:pPr>
        <w:spacing w:after="0" w:line="2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October 9, 2013</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 CORRESPONDENCE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4"/>
          <w:szCs w:val="24"/>
          <w:color w:val="auto"/>
        </w:rPr>
      </w:pPr>
    </w:p>
    <w:p>
      <w:pPr>
        <w:ind w:left="2400"/>
        <w:spacing w:after="0"/>
        <w:tabs>
          <w:tab w:leader="none" w:pos="2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MagnaChip Semiconductor Corporation</w:t>
      </w:r>
    </w:p>
    <w:p>
      <w:pPr>
        <w:spacing w:after="0" w:line="27"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u w:val="single" w:color="auto"/>
          <w:color w:val="auto"/>
        </w:rPr>
        <w:t>Registration Statement on Form S-4 (No. 333-191372)</w:t>
      </w:r>
    </w:p>
    <w:p>
      <w:pPr>
        <w:spacing w:after="0" w:line="3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MagnaChip Semiconductor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submitting this letter in connection with its Registration Statement on Form S-4 relating to the offer by the Company to exchange (the “</w:t>
      </w:r>
      <w:r>
        <w:rPr>
          <w:rFonts w:ascii="Times New Roman" w:cs="Times New Roman" w:eastAsia="Times New Roman" w:hAnsi="Times New Roman"/>
          <w:sz w:val="18"/>
          <w:szCs w:val="18"/>
          <w:u w:val="single" w:color="auto"/>
          <w:color w:val="auto"/>
        </w:rPr>
        <w:t>Exchange Offer</w:t>
      </w:r>
      <w:r>
        <w:rPr>
          <w:rFonts w:ascii="Times New Roman" w:cs="Times New Roman" w:eastAsia="Times New Roman" w:hAnsi="Times New Roman"/>
          <w:sz w:val="18"/>
          <w:szCs w:val="18"/>
          <w:color w:val="auto"/>
        </w:rPr>
        <w:t>”) its 6.625% Senior Notes due 2021 (the “</w:t>
      </w:r>
      <w:r>
        <w:rPr>
          <w:rFonts w:ascii="Times New Roman" w:cs="Times New Roman" w:eastAsia="Times New Roman" w:hAnsi="Times New Roman"/>
          <w:sz w:val="18"/>
          <w:szCs w:val="18"/>
          <w:u w:val="single" w:color="auto"/>
          <w:color w:val="auto"/>
        </w:rPr>
        <w:t>Exchange Notes</w:t>
      </w:r>
      <w:r>
        <w:rPr>
          <w:rFonts w:ascii="Times New Roman" w:cs="Times New Roman" w:eastAsia="Times New Roman" w:hAnsi="Times New Roman"/>
          <w:sz w:val="18"/>
          <w:szCs w:val="18"/>
          <w:color w:val="auto"/>
        </w:rPr>
        <w:t>”) for an equal principal amount of its 6.625% Senior Notes due 2021 outstanding on the date hereof (the “</w:t>
      </w:r>
      <w:r>
        <w:rPr>
          <w:rFonts w:ascii="Times New Roman" w:cs="Times New Roman" w:eastAsia="Times New Roman" w:hAnsi="Times New Roman"/>
          <w:sz w:val="18"/>
          <w:szCs w:val="18"/>
          <w:u w:val="single" w:color="auto"/>
          <w:color w:val="auto"/>
        </w:rPr>
        <w:t>Original Notes</w:t>
      </w:r>
      <w:r>
        <w:rPr>
          <w:rFonts w:ascii="Times New Roman" w:cs="Times New Roman" w:eastAsia="Times New Roman" w:hAnsi="Times New Roman"/>
          <w:sz w:val="18"/>
          <w:szCs w:val="18"/>
          <w:color w:val="auto"/>
        </w:rPr>
        <w:t>”). On July 18, 2013, the Company issued $225,000,000 aggregate principal amount of the Original Notes. All of the Original Notes are outstanding on the date hereof.</w:t>
      </w:r>
    </w:p>
    <w:p>
      <w:pPr>
        <w:spacing w:after="0" w:line="180" w:lineRule="exact"/>
        <w:rPr>
          <w:sz w:val="24"/>
          <w:szCs w:val="24"/>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In accordance with the Commission’s position set forth in Exxon Capital Holdings Corporation (available May 13, 1988) and its progeny, the Company makes the following representations to the Commission:</w:t>
      </w:r>
    </w:p>
    <w:p>
      <w:pPr>
        <w:spacing w:after="0" w:line="67" w:lineRule="exact"/>
        <w:rPr>
          <w:sz w:val="24"/>
          <w:szCs w:val="24"/>
          <w:color w:val="auto"/>
        </w:rPr>
      </w:pPr>
    </w:p>
    <w:p>
      <w:pPr>
        <w:ind w:left="1480" w:right="80" w:hanging="567"/>
        <w:spacing w:after="0" w:line="261" w:lineRule="auto"/>
        <w:tabs>
          <w:tab w:leader="none" w:pos="14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entered into any arrangement or understanding with any person to distribute the Exchange Notes to be received in the Exchange Offer and, to the best of the Company’s information and belief, each person participating in the Exchange Offer is acquiring the Exchange Notes in its ordinary course of business and has no arrangement or understanding with any person to participate in the distribution of the Exchange Notes to be received in the Exchange Offer.</w:t>
      </w:r>
    </w:p>
    <w:p>
      <w:pPr>
        <w:spacing w:after="0" w:line="85" w:lineRule="exact"/>
        <w:rPr>
          <w:rFonts w:ascii="Times New Roman" w:cs="Times New Roman" w:eastAsia="Times New Roman" w:hAnsi="Times New Roman"/>
          <w:sz w:val="18"/>
          <w:szCs w:val="18"/>
          <w:color w:val="auto"/>
        </w:rPr>
      </w:pPr>
    </w:p>
    <w:p>
      <w:pPr>
        <w:ind w:left="1480" w:right="40" w:hanging="567"/>
        <w:spacing w:after="0" w:line="272" w:lineRule="auto"/>
        <w:tabs>
          <w:tab w:leader="none" w:pos="14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make each participant in the Exchange Offer aware (through the Exchange Offer prospectus or otherwise) that if such person is participating in the Exchange Offer for the purpose of distributing the Exchange Notes to be acquired in the Exchange Offer, such person (a) cannot rely on the position enunciated in Exxon Capital Holdings Corporation or interpretive letters to similar effect and</w:t>
      </w:r>
    </w:p>
    <w:p>
      <w:pPr>
        <w:spacing w:after="0" w:line="1" w:lineRule="exact"/>
        <w:rPr>
          <w:rFonts w:ascii="Times New Roman" w:cs="Times New Roman" w:eastAsia="Times New Roman" w:hAnsi="Times New Roman"/>
          <w:sz w:val="17"/>
          <w:szCs w:val="17"/>
          <w:color w:val="auto"/>
        </w:rPr>
      </w:pPr>
    </w:p>
    <w:p>
      <w:pPr>
        <w:ind w:left="1480" w:right="14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must comply with the registration and prospectus delivery requirements of the Securities Act of 1933 (the “Securities Act”) in connection with a secondary resale transaction. The Company acknowledges that such a secondary resale transaction by such person participating in the Exchange Offer for the purpose of distributing the Exchange Notes should be covered by an effective registration statement containing the selling stockholder information required by Item 507 of Regulation S-K promulgated under the Securities Act.</w:t>
      </w:r>
    </w:p>
    <w:p>
      <w:pPr>
        <w:sectPr>
          <w:pgSz w:w="11900" w:h="16838" w:orient="portrait"/>
          <w:cols w:equalWidth="0" w:num="1">
            <w:col w:w="11380"/>
          </w:cols>
          <w:pgMar w:left="240" w:top="225" w:right="279" w:bottom="1440" w:gutter="0" w:footer="0" w:header="0"/>
        </w:sectPr>
      </w:pPr>
    </w:p>
    <w:bookmarkStart w:id="1" w:name="page2"/>
    <w:bookmarkEnd w:id="1"/>
    <w:p>
      <w:pPr>
        <w:ind w:left="1480" w:right="20" w:hanging="567"/>
        <w:spacing w:after="0" w:line="258" w:lineRule="auto"/>
        <w:tabs>
          <w:tab w:leader="none" w:pos="1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will include in the transmittal letter, or similar documentation to be executed by the exchange offeree in order to participate in the Exchange Offer, representations to the effect that (a) the exchange offeree is acquiring the Exchange Notes in its ordinary course of business, (b) by accepting the Exchange Offer, the exchange offeree represents to the Company that it is not engaged in, does not intend to engage in and does not have an arrangement or understanding with any person to participate in a distribution of the Exchange Notes, and (c) the exchange offeree is not an affiliate of the Company.</w:t>
      </w:r>
    </w:p>
    <w:p>
      <w:pPr>
        <w:spacing w:after="0" w:line="89" w:lineRule="exact"/>
        <w:rPr>
          <w:rFonts w:ascii="Times New Roman" w:cs="Times New Roman" w:eastAsia="Times New Roman" w:hAnsi="Times New Roman"/>
          <w:sz w:val="18"/>
          <w:szCs w:val="18"/>
          <w:color w:val="auto"/>
        </w:rPr>
      </w:pPr>
    </w:p>
    <w:p>
      <w:pPr>
        <w:ind w:left="1480" w:hanging="567"/>
        <w:spacing w:after="0" w:line="258" w:lineRule="auto"/>
        <w:tabs>
          <w:tab w:leader="none" w:pos="1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broker-dealer that participates in the Exchange Offer with respect to Original Notes acquired for its own account as a result of market-making activities or other trading activities, the Company will include in the transmittal letter, or similar documentation to be executed by the exchange offeree in order to participate in the Exchange Offer, a representation that it will deliver a prospectus meeting the requirements of the Securities Act in connection with any resale of Exchange Notes received in respect of such Original Notes pursuant to the Exchange Offer.</w:t>
      </w:r>
    </w:p>
    <w:p>
      <w:pPr>
        <w:spacing w:after="0" w:line="18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Company further represents that, with respect to any broker-dealer that participates in the Exchange Offer with respect to Original Notes acquired for its own account as a result of market-making activities or other trading activities, each such broker-dealer must confirm that it has not entered into any arrangement or understanding with the Company or an affiliate of the Company to distribute the Exchange Notes. Additionally, the Company will make each person participating in the Exchange Offer aware that any broker-dealer who holds Original Notes acquired for its own account as a result of market-making activities or other trading activities, and who receives Exchange Notes in exchange for such Original Notes pursuant to the Exchange Offer, may be a statutory underwriter.</w:t>
      </w:r>
    </w:p>
    <w:p>
      <w:pPr>
        <w:spacing w:after="0" w:line="188"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Please contact the undersigned at (408) 625-5999, Micheal Reagan at (650) 687-4147 or Stuart Ogg at (213) 243-2365, if you have any questions concerning the filing.</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John McFarland</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John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p>
      <w:pPr>
        <w:spacing w:after="0" w:line="234" w:lineRule="exact"/>
        <w:rPr>
          <w:sz w:val="20"/>
          <w:szCs w:val="20"/>
          <w:color w:val="auto"/>
        </w:rPr>
      </w:pPr>
    </w:p>
    <w:p>
      <w:pPr>
        <w:ind w:left="460" w:right="9560" w:hanging="452"/>
        <w:spacing w:after="0" w:line="313" w:lineRule="auto"/>
        <w:tabs>
          <w:tab w:leader="none" w:pos="44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Micheal J. Reagan W. Stuart Ogg</w:t>
      </w:r>
    </w:p>
    <w:sectPr>
      <w:pgSz w:w="11900" w:h="16838" w:orient="portrait"/>
      <w:cols w:equalWidth="0" w:num="1">
        <w:col w:w="11340"/>
      </w:cols>
      <w:pgMar w:left="240" w:top="27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lowerLetter"/>
      <w:start w:val="29"/>
    </w:lvl>
    <w:lvl w:ilvl="1">
      <w:lvlJc w:val="left"/>
      <w:lvlText w:val="%2"/>
      <w:numFmt w:val="upp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2019-12-07T10:19:27Z</dcterms:created>
  <dcterms:modified xsi:type="dcterms:W3CDTF">2019-12-07T10:19:27Z</dcterms:modified>
</cp:coreProperties>
</file>