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55933J203</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-130810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80" w:hanging="913"/>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380" w:hanging="913"/>
        <w:spacing w:after="0"/>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380" w:hanging="913"/>
        <w:spacing w:after="0"/>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CUSIP No. 55933J203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0" w:type="dxa"/>
            <w:vAlign w:val="bottom"/>
            <w:vMerge w:val="restart"/>
          </w:tcPr>
          <w:p>
            <w:pPr>
              <w:jc w:val="right"/>
              <w:ind w:right="133"/>
              <w:spacing w:after="0"/>
              <w:rPr>
                <w:sz w:val="20"/>
                <w:szCs w:val="20"/>
                <w:color w:val="auto"/>
              </w:rPr>
            </w:pPr>
            <w:r>
              <w:rPr>
                <w:rFonts w:ascii="Arial" w:cs="Arial" w:eastAsia="Arial" w:hAnsi="Arial"/>
                <w:sz w:val="32"/>
                <w:szCs w:val="32"/>
                <w:b w:val="1"/>
                <w:bCs w:val="1"/>
                <w:color w:val="auto"/>
              </w:rPr>
              <w:t>1</w:t>
            </w:r>
          </w:p>
        </w:tc>
        <w:tc>
          <w:tcPr>
            <w:tcW w:w="7480" w:type="dxa"/>
            <w:vAlign w:val="bottom"/>
          </w:tcPr>
          <w:p>
            <w:pPr>
              <w:ind w:left="240"/>
              <w:spacing w:after="0"/>
              <w:rPr>
                <w:sz w:val="20"/>
                <w:szCs w:val="20"/>
                <w:color w:val="auto"/>
              </w:rPr>
            </w:pPr>
            <w:r>
              <w:rPr>
                <w:rFonts w:ascii="Arial" w:cs="Arial" w:eastAsia="Arial" w:hAnsi="Arial"/>
                <w:sz w:val="18"/>
                <w:szCs w:val="18"/>
                <w:color w:val="auto"/>
              </w:rPr>
              <w:t>NAMES OF REPORTING PERSONS</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vMerge w:val="continue"/>
          </w:tcPr>
          <w:p>
            <w:pPr>
              <w:spacing w:after="0"/>
              <w:rPr>
                <w:sz w:val="20"/>
                <w:szCs w:val="20"/>
                <w:color w:val="auto"/>
              </w:rPr>
            </w:pPr>
          </w:p>
        </w:tc>
        <w:tc>
          <w:tcPr>
            <w:tcW w:w="7480" w:type="dxa"/>
            <w:vAlign w:val="bottom"/>
          </w:tcPr>
          <w:p>
            <w:pPr>
              <w:ind w:left="240"/>
              <w:spacing w:after="0"/>
              <w:rPr>
                <w:sz w:val="20"/>
                <w:szCs w:val="20"/>
                <w:color w:val="auto"/>
              </w:rPr>
            </w:pPr>
            <w:r>
              <w:rPr>
                <w:rFonts w:ascii="Arial" w:cs="Arial" w:eastAsia="Arial" w:hAnsi="Arial"/>
                <w:sz w:val="18"/>
                <w:szCs w:val="18"/>
                <w:color w:val="auto"/>
              </w:rPr>
              <w:t>I.R.S. IDENTIFICATION NOS. OF ABOVE PERSONS (ENTITIES ONLY)</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Hood River Capital Management LLC 46-1294859</w:t>
            </w:r>
          </w:p>
        </w:tc>
        <w:tc>
          <w:tcPr>
            <w:tcW w:w="3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920" w:type="dxa"/>
            <w:vAlign w:val="bottom"/>
          </w:tcPr>
          <w:p>
            <w:pPr>
              <w:jc w:val="right"/>
              <w:ind w:right="133"/>
              <w:spacing w:after="0" w:line="162" w:lineRule="exact"/>
              <w:rPr>
                <w:sz w:val="20"/>
                <w:szCs w:val="20"/>
                <w:color w:val="auto"/>
              </w:rPr>
            </w:pPr>
            <w:r>
              <w:rPr>
                <w:rFonts w:ascii="Arial" w:cs="Arial" w:eastAsia="Arial" w:hAnsi="Arial"/>
                <w:sz w:val="18"/>
                <w:szCs w:val="18"/>
                <w:b w:val="1"/>
                <w:bCs w:val="1"/>
                <w:color w:val="auto"/>
              </w:rPr>
              <w:t>2</w:t>
            </w:r>
          </w:p>
        </w:tc>
        <w:tc>
          <w:tcPr>
            <w:tcW w:w="7480" w:type="dxa"/>
            <w:vAlign w:val="bottom"/>
          </w:tcPr>
          <w:p>
            <w:pPr>
              <w:ind w:left="240"/>
              <w:spacing w:after="0" w:line="163" w:lineRule="exact"/>
              <w:rPr>
                <w:sz w:val="20"/>
                <w:szCs w:val="20"/>
                <w:color w:val="auto"/>
              </w:rPr>
            </w:pPr>
            <w:r>
              <w:rPr>
                <w:rFonts w:ascii="Arial" w:cs="Arial" w:eastAsia="Arial" w:hAnsi="Arial"/>
                <w:sz w:val="18"/>
                <w:szCs w:val="18"/>
                <w:color w:val="auto"/>
              </w:rPr>
              <w:t>CHECK THE APPROPRIATE BOX IF A MEMBER OF A GROUP (see instructions)</w:t>
            </w:r>
          </w:p>
        </w:tc>
        <w:tc>
          <w:tcPr>
            <w:tcW w:w="3040" w:type="dxa"/>
            <w:vAlign w:val="bottom"/>
          </w:tcPr>
          <w:p>
            <w:pPr>
              <w:ind w:left="980"/>
              <w:spacing w:after="0" w:line="163"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040" w:type="dxa"/>
            <w:vAlign w:val="bottom"/>
          </w:tcPr>
          <w:p>
            <w:pPr>
              <w:ind w:left="98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-852170</wp:posOffset>
            </wp:positionV>
            <wp:extent cx="7254875" cy="5188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5188585"/>
                    </a:xfrm>
                    <a:prstGeom prst="rect">
                      <a:avLst/>
                    </a:prstGeom>
                    <a:noFill/>
                  </pic:spPr>
                </pic:pic>
              </a:graphicData>
            </a:graphic>
          </wp:anchor>
        </w:drawing>
      </w:r>
    </w:p>
    <w:p>
      <w:pPr>
        <w:ind w:left="1160" w:hanging="652"/>
        <w:spacing w:after="0" w:line="181" w:lineRule="auto"/>
        <w:tabs>
          <w:tab w:leader="none" w:pos="1160" w:val="left"/>
        </w:tabs>
        <w:numPr>
          <w:ilvl w:val="0"/>
          <w:numId w:val="3"/>
        </w:numPr>
        <w:rPr>
          <w:rFonts w:ascii="Arial" w:cs="Arial" w:eastAsia="Arial" w:hAnsi="Arial"/>
          <w:sz w:val="49"/>
          <w:szCs w:val="49"/>
          <w:b w:val="1"/>
          <w:bCs w:val="1"/>
          <w:color w:val="auto"/>
          <w:vertAlign w:val="subscript"/>
        </w:rPr>
      </w:pPr>
      <w:r>
        <w:rPr>
          <w:rFonts w:ascii="Arial" w:cs="Arial" w:eastAsia="Arial" w:hAnsi="Arial"/>
          <w:sz w:val="16"/>
          <w:szCs w:val="16"/>
          <w:color w:val="auto"/>
        </w:rPr>
        <w:t>SEC USE ONLY</w:t>
      </w:r>
    </w:p>
    <w:p>
      <w:pPr>
        <w:spacing w:after="0" w:line="200" w:lineRule="exact"/>
        <w:rPr>
          <w:sz w:val="20"/>
          <w:szCs w:val="20"/>
          <w:color w:val="auto"/>
        </w:rPr>
      </w:pPr>
    </w:p>
    <w:p>
      <w:pPr>
        <w:spacing w:after="0" w:line="232" w:lineRule="exact"/>
        <w:rPr>
          <w:sz w:val="20"/>
          <w:szCs w:val="20"/>
          <w:color w:val="auto"/>
        </w:rPr>
      </w:pPr>
    </w:p>
    <w:p>
      <w:pPr>
        <w:ind w:left="1160" w:right="6600" w:hanging="652"/>
        <w:spacing w:after="0" w:line="181" w:lineRule="auto"/>
        <w:tabs>
          <w:tab w:leader="none" w:pos="1160" w:val="left"/>
        </w:tabs>
        <w:numPr>
          <w:ilvl w:val="0"/>
          <w:numId w:val="4"/>
        </w:numPr>
        <w:rPr>
          <w:rFonts w:ascii="Arial" w:cs="Arial" w:eastAsia="Arial" w:hAnsi="Arial"/>
          <w:sz w:val="59"/>
          <w:szCs w:val="59"/>
          <w:b w:val="1"/>
          <w:bCs w:val="1"/>
          <w:color w:val="auto"/>
          <w:vertAlign w:val="subscript"/>
        </w:rPr>
      </w:pPr>
      <w:r>
        <w:rPr>
          <w:rFonts w:ascii="Arial" w:cs="Arial" w:eastAsia="Arial" w:hAnsi="Arial"/>
          <w:sz w:val="17"/>
          <w:szCs w:val="17"/>
          <w:color w:val="auto"/>
        </w:rPr>
        <w:t>CITIZENSHIP OR PLACE OF ORGANIZATION Delaware</w:t>
      </w:r>
    </w:p>
    <w:p>
      <w:pPr>
        <w:ind w:left="3560" w:hanging="716"/>
        <w:spacing w:after="0" w:line="180" w:lineRule="auto"/>
        <w:tabs>
          <w:tab w:leader="none" w:pos="3560" w:val="left"/>
        </w:tabs>
        <w:numPr>
          <w:ilvl w:val="0"/>
          <w:numId w:val="5"/>
        </w:numPr>
        <w:rPr>
          <w:rFonts w:ascii="Arial" w:cs="Arial" w:eastAsia="Arial" w:hAnsi="Arial"/>
          <w:sz w:val="27"/>
          <w:szCs w:val="27"/>
          <w:b w:val="1"/>
          <w:bCs w:val="1"/>
          <w:color w:val="auto"/>
          <w:vertAlign w:val="subscript"/>
        </w:rPr>
      </w:pPr>
      <w:r>
        <w:rPr>
          <w:rFonts w:ascii="Arial" w:cs="Arial" w:eastAsia="Arial" w:hAnsi="Arial"/>
          <w:sz w:val="14"/>
          <w:szCs w:val="14"/>
          <w:color w:val="auto"/>
        </w:rPr>
        <w:t>SOLE VOTING POWER</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NUMBER OF</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6</w:t>
            </w:r>
          </w:p>
        </w:tc>
        <w:tc>
          <w:tcPr>
            <w:tcW w:w="8140" w:type="dxa"/>
            <w:vAlign w:val="bottom"/>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SHARES</w:t>
            </w:r>
          </w:p>
        </w:tc>
        <w:tc>
          <w:tcPr>
            <w:tcW w:w="980" w:type="dxa"/>
            <w:vAlign w:val="bottom"/>
            <w:vMerge w:val="continue"/>
          </w:tcPr>
          <w:p>
            <w:pPr>
              <w:spacing w:after="0"/>
              <w:rPr>
                <w:sz w:val="18"/>
                <w:szCs w:val="18"/>
                <w:color w:val="auto"/>
              </w:rPr>
            </w:pPr>
          </w:p>
        </w:tc>
        <w:tc>
          <w:tcPr>
            <w:tcW w:w="8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7</w:t>
            </w:r>
          </w:p>
        </w:tc>
        <w:tc>
          <w:tcPr>
            <w:tcW w:w="8140" w:type="dxa"/>
            <w:vAlign w:val="bottom"/>
          </w:tcPr>
          <w:p>
            <w:pPr>
              <w:ind w:left="2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EACH REPORTING</w:t>
            </w:r>
          </w:p>
        </w:tc>
        <w:tc>
          <w:tcPr>
            <w:tcW w:w="980" w:type="dxa"/>
            <w:vAlign w:val="bottom"/>
            <w:vMerge w:val="continue"/>
          </w:tcPr>
          <w:p>
            <w:pPr>
              <w:spacing w:after="0"/>
              <w:rPr>
                <w:sz w:val="18"/>
                <w:szCs w:val="18"/>
                <w:color w:val="auto"/>
              </w:rPr>
            </w:pPr>
          </w:p>
        </w:tc>
        <w:tc>
          <w:tcPr>
            <w:tcW w:w="8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280" w:type="dxa"/>
            <w:vAlign w:val="bottom"/>
          </w:tcPr>
          <w:p>
            <w:pPr>
              <w:spacing w:after="0"/>
              <w:rPr>
                <w:sz w:val="20"/>
                <w:szCs w:val="20"/>
                <w:color w:val="auto"/>
              </w:rPr>
            </w:pPr>
            <w:r>
              <w:rPr>
                <w:rFonts w:ascii="Arial" w:cs="Arial" w:eastAsia="Arial" w:hAnsi="Arial"/>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1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2,350,035</w:t>
            </w:r>
          </w:p>
        </w:tc>
        <w:tc>
          <w:tcPr>
            <w:tcW w:w="0" w:type="dxa"/>
            <w:vAlign w:val="bottom"/>
          </w:tcPr>
          <w:p>
            <w:pPr>
              <w:spacing w:after="0"/>
              <w:rPr>
                <w:sz w:val="1"/>
                <w:szCs w:val="1"/>
                <w:color w:val="auto"/>
              </w:rPr>
            </w:pPr>
          </w:p>
        </w:tc>
      </w:tr>
      <w:tr>
        <w:trPr>
          <w:trHeight w:val="224"/>
        </w:trPr>
        <w:tc>
          <w:tcPr>
            <w:tcW w:w="228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Arial" w:cs="Arial" w:eastAsia="Arial" w:hAnsi="Arial"/>
                <w:sz w:val="32"/>
                <w:szCs w:val="32"/>
                <w:b w:val="1"/>
                <w:bCs w:val="1"/>
                <w:color w:val="auto"/>
              </w:rPr>
              <w:t>8</w:t>
            </w:r>
          </w:p>
        </w:tc>
        <w:tc>
          <w:tcPr>
            <w:tcW w:w="814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90"/>
        </w:trPr>
        <w:tc>
          <w:tcPr>
            <w:tcW w:w="2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160" w:hanging="652"/>
        <w:spacing w:after="0" w:line="183" w:lineRule="auto"/>
        <w:tabs>
          <w:tab w:leader="none" w:pos="1160" w:val="left"/>
        </w:tabs>
        <w:numPr>
          <w:ilvl w:val="0"/>
          <w:numId w:val="6"/>
        </w:numPr>
        <w:rPr>
          <w:rFonts w:ascii="Arial" w:cs="Arial" w:eastAsia="Arial" w:hAnsi="Arial"/>
          <w:sz w:val="52"/>
          <w:szCs w:val="52"/>
          <w:b w:val="1"/>
          <w:bCs w:val="1"/>
          <w:color w:val="auto"/>
          <w:vertAlign w:val="subscript"/>
        </w:rPr>
      </w:pPr>
      <w:r>
        <w:rPr>
          <w:rFonts w:ascii="Arial" w:cs="Arial" w:eastAsia="Arial" w:hAnsi="Arial"/>
          <w:sz w:val="17"/>
          <w:szCs w:val="17"/>
          <w:color w:val="auto"/>
        </w:rPr>
        <w:t>AGGREGATE AMOUNT BENEFICIALLY OWNED BY EACH REPORTING PERSON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Borders>
              <w:bottom w:val="single" w:sz="8" w:color="auto"/>
            </w:tcBorders>
          </w:tcPr>
          <w:p>
            <w:pPr>
              <w:spacing w:after="0"/>
              <w:rPr>
                <w:sz w:val="20"/>
                <w:szCs w:val="20"/>
                <w:color w:val="auto"/>
              </w:rPr>
            </w:pPr>
          </w:p>
        </w:tc>
        <w:tc>
          <w:tcPr>
            <w:tcW w:w="10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2,350,035</w:t>
            </w:r>
          </w:p>
        </w:tc>
        <w:tc>
          <w:tcPr>
            <w:tcW w:w="0" w:type="dxa"/>
            <w:vAlign w:val="bottom"/>
          </w:tcPr>
          <w:p>
            <w:pPr>
              <w:spacing w:after="0"/>
              <w:rPr>
                <w:sz w:val="1"/>
                <w:szCs w:val="1"/>
                <w:color w:val="auto"/>
              </w:rPr>
            </w:pPr>
          </w:p>
        </w:tc>
      </w:tr>
      <w:tr>
        <w:trPr>
          <w:trHeight w:val="156"/>
        </w:trPr>
        <w:tc>
          <w:tcPr>
            <w:tcW w:w="96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10</w:t>
            </w:r>
          </w:p>
        </w:tc>
        <w:tc>
          <w:tcPr>
            <w:tcW w:w="10460" w:type="dxa"/>
            <w:vAlign w:val="bottom"/>
            <w:vMerge w:val="restart"/>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0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96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11</w:t>
            </w:r>
          </w:p>
        </w:tc>
        <w:tc>
          <w:tcPr>
            <w:tcW w:w="10460" w:type="dxa"/>
            <w:vAlign w:val="bottom"/>
            <w:vMerge w:val="restart"/>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0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156"/>
        </w:trPr>
        <w:tc>
          <w:tcPr>
            <w:tcW w:w="960" w:type="dxa"/>
            <w:vAlign w:val="bottom"/>
          </w:tcPr>
          <w:p>
            <w:pPr>
              <w:jc w:val="center"/>
              <w:ind w:left="129"/>
              <w:spacing w:after="0" w:line="156" w:lineRule="exact"/>
              <w:rPr>
                <w:sz w:val="20"/>
                <w:szCs w:val="20"/>
                <w:color w:val="auto"/>
              </w:rPr>
            </w:pPr>
            <w:r>
              <w:rPr>
                <w:rFonts w:ascii="Arial" w:cs="Arial" w:eastAsia="Arial" w:hAnsi="Arial"/>
                <w:sz w:val="18"/>
                <w:szCs w:val="18"/>
                <w:b w:val="1"/>
                <w:bCs w:val="1"/>
                <w:color w:val="auto"/>
              </w:rPr>
              <w:t>12</w:t>
            </w:r>
          </w:p>
        </w:tc>
        <w:tc>
          <w:tcPr>
            <w:tcW w:w="10460" w:type="dxa"/>
            <w:vAlign w:val="bottom"/>
            <w:vMerge w:val="restart"/>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68"/>
        </w:trPr>
        <w:tc>
          <w:tcPr>
            <w:tcW w:w="960" w:type="dxa"/>
            <w:vAlign w:val="bottom"/>
          </w:tcPr>
          <w:p>
            <w:pPr>
              <w:spacing w:after="0"/>
              <w:rPr>
                <w:sz w:val="5"/>
                <w:szCs w:val="5"/>
                <w:color w:val="auto"/>
              </w:rPr>
            </w:pPr>
          </w:p>
        </w:tc>
        <w:tc>
          <w:tcPr>
            <w:tcW w:w="10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IA</w:t>
            </w:r>
          </w:p>
        </w:tc>
        <w:tc>
          <w:tcPr>
            <w:tcW w:w="0" w:type="dxa"/>
            <w:vAlign w:val="bottom"/>
          </w:tcPr>
          <w:p>
            <w:pPr>
              <w:spacing w:after="0"/>
              <w:rPr>
                <w:sz w:val="1"/>
                <w:szCs w:val="1"/>
                <w:color w:val="auto"/>
              </w:rPr>
            </w:pPr>
          </w:p>
        </w:tc>
      </w:tr>
      <w:tr>
        <w:trPr>
          <w:trHeight w:val="568"/>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11440"/>
          </w:cols>
          <w:pgMar w:left="240" w:top="837" w:right="2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460" w:type="dxa"/>
            <w:vAlign w:val="bottom"/>
          </w:tcPr>
          <w:p>
            <w:pPr>
              <w:ind w:left="200"/>
              <w:spacing w:after="0"/>
              <w:rPr>
                <w:sz w:val="20"/>
                <w:szCs w:val="20"/>
                <w:color w:val="auto"/>
              </w:rPr>
            </w:pPr>
            <w:r>
              <w:rPr>
                <w:rFonts w:ascii="Arial" w:cs="Arial" w:eastAsia="Arial" w:hAnsi="Arial"/>
                <w:sz w:val="18"/>
                <w:szCs w:val="18"/>
                <w:color w:val="auto"/>
              </w:rPr>
              <w:t>Name of Issuer:</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MAGNACHIP SEMICONDUCTOR CORP</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460" w:type="dxa"/>
            <w:vAlign w:val="bottom"/>
          </w:tcPr>
          <w:p>
            <w:pPr>
              <w:ind w:left="200"/>
              <w:spacing w:after="0"/>
              <w:rPr>
                <w:sz w:val="20"/>
                <w:szCs w:val="20"/>
                <w:color w:val="auto"/>
              </w:rPr>
            </w:pPr>
            <w:r>
              <w:rPr>
                <w:rFonts w:ascii="Arial" w:cs="Arial" w:eastAsia="Arial" w:hAnsi="Arial"/>
                <w:sz w:val="18"/>
                <w:szCs w:val="18"/>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74 Rue de Merl  Luxembourg 2146</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460" w:type="dxa"/>
            <w:vAlign w:val="bottom"/>
          </w:tcPr>
          <w:p>
            <w:pPr>
              <w:ind w:left="200"/>
              <w:spacing w:after="0"/>
              <w:rPr>
                <w:sz w:val="20"/>
                <w:szCs w:val="20"/>
                <w:color w:val="auto"/>
              </w:rPr>
            </w:pPr>
            <w:r>
              <w:rPr>
                <w:rFonts w:ascii="Arial" w:cs="Arial" w:eastAsia="Arial" w:hAnsi="Arial"/>
                <w:sz w:val="18"/>
                <w:szCs w:val="18"/>
                <w:color w:val="auto"/>
              </w:rPr>
              <w:t>Name of Person Filing:</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Hood River Capital Management LLC</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60" w:type="dxa"/>
            <w:vAlign w:val="bottom"/>
          </w:tcPr>
          <w:p>
            <w:pPr>
              <w:ind w:left="20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Umpqua Bank Plaza, One SW Columbia Street, Suite 630 Portland, OR 97204</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60" w:type="dxa"/>
            <w:vAlign w:val="bottom"/>
          </w:tcPr>
          <w:p>
            <w:pPr>
              <w:ind w:left="200"/>
              <w:spacing w:after="0"/>
              <w:rPr>
                <w:sz w:val="20"/>
                <w:szCs w:val="20"/>
                <w:color w:val="auto"/>
              </w:rPr>
            </w:pPr>
            <w:r>
              <w:rPr>
                <w:rFonts w:ascii="Arial" w:cs="Arial" w:eastAsia="Arial" w:hAnsi="Arial"/>
                <w:sz w:val="18"/>
                <w:szCs w:val="18"/>
                <w:color w:val="auto"/>
              </w:rPr>
              <w:t>Citizenship:</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USA</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60" w:type="dxa"/>
            <w:vAlign w:val="bottom"/>
          </w:tcPr>
          <w:p>
            <w:pPr>
              <w:ind w:left="20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COMMON</w:t>
            </w:r>
          </w:p>
        </w:tc>
      </w:tr>
      <w:tr>
        <w:trPr>
          <w:trHeight w:val="432"/>
        </w:trPr>
        <w:tc>
          <w:tcPr>
            <w:tcW w:w="96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60" w:type="dxa"/>
            <w:vAlign w:val="bottom"/>
          </w:tcPr>
          <w:p>
            <w:pPr>
              <w:ind w:left="200"/>
              <w:spacing w:after="0"/>
              <w:rPr>
                <w:sz w:val="20"/>
                <w:szCs w:val="20"/>
                <w:color w:val="auto"/>
              </w:rPr>
            </w:pPr>
            <w:r>
              <w:rPr>
                <w:rFonts w:ascii="Arial" w:cs="Arial" w:eastAsia="Arial" w:hAnsi="Arial"/>
                <w:sz w:val="18"/>
                <w:szCs w:val="18"/>
                <w:color w:val="auto"/>
              </w:rPr>
              <w:t>CUSIP Number: 55933J203</w:t>
            </w:r>
          </w:p>
        </w:tc>
      </w:tr>
      <w:tr>
        <w:trPr>
          <w:trHeight w:val="574"/>
        </w:trPr>
        <w:tc>
          <w:tcPr>
            <w:tcW w:w="960" w:type="dxa"/>
            <w:vAlign w:val="bottom"/>
            <w:tcBorders>
              <w:bottom w:val="single" w:sz="8" w:color="auto"/>
            </w:tcBorders>
          </w:tcPr>
          <w:p>
            <w:pPr>
              <w:spacing w:after="0"/>
              <w:rPr>
                <w:sz w:val="24"/>
                <w:szCs w:val="24"/>
                <w:color w:val="auto"/>
              </w:rPr>
            </w:pPr>
          </w:p>
        </w:tc>
        <w:tc>
          <w:tcPr>
            <w:tcW w:w="1046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837" w:right="239" w:bottom="1440" w:gutter="0" w:footer="0" w:header="0"/>
        </w:sectPr>
      </w:pPr>
    </w:p>
    <w:bookmarkStart w:id="3" w:name="page4"/>
    <w:bookmarkEnd w:id="3"/>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 w:lineRule="exact"/>
        <w:rPr>
          <w:sz w:val="20"/>
          <w:szCs w:val="20"/>
          <w:color w:val="auto"/>
        </w:rPr>
      </w:pPr>
    </w:p>
    <w:p>
      <w:pPr>
        <w:ind w:left="1620" w:hanging="46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5" w:lineRule="exact"/>
        <w:rPr>
          <w:rFonts w:ascii="Arial" w:cs="Arial" w:eastAsia="Arial" w:hAnsi="Arial"/>
          <w:sz w:val="18"/>
          <w:szCs w:val="18"/>
          <w:color w:val="auto"/>
        </w:rPr>
      </w:pPr>
    </w:p>
    <w:p>
      <w:pPr>
        <w:ind w:left="1620" w:hanging="46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 w:lineRule="exact"/>
        <w:rPr>
          <w:rFonts w:ascii="Arial" w:cs="Arial" w:eastAsia="Arial" w:hAnsi="Arial"/>
          <w:sz w:val="18"/>
          <w:szCs w:val="18"/>
          <w:color w:val="auto"/>
        </w:rPr>
      </w:pPr>
    </w:p>
    <w:p>
      <w:pPr>
        <w:ind w:left="1620" w:hanging="46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 w:lineRule="exact"/>
        <w:rPr>
          <w:rFonts w:ascii="Arial" w:cs="Arial" w:eastAsia="Arial" w:hAnsi="Arial"/>
          <w:sz w:val="18"/>
          <w:szCs w:val="18"/>
          <w:color w:val="auto"/>
        </w:rPr>
      </w:pPr>
    </w:p>
    <w:p>
      <w:pPr>
        <w:ind w:left="1620" w:hanging="46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1620" w:hanging="46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9" w:lineRule="exact"/>
        <w:rPr>
          <w:rFonts w:ascii="Arial" w:cs="Arial" w:eastAsia="Arial" w:hAnsi="Arial"/>
          <w:sz w:val="18"/>
          <w:szCs w:val="18"/>
          <w:color w:val="auto"/>
        </w:rPr>
      </w:pPr>
    </w:p>
    <w:p>
      <w:pPr>
        <w:ind w:left="1620" w:hanging="46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9" w:lineRule="exact"/>
        <w:rPr>
          <w:rFonts w:ascii="Arial" w:cs="Arial" w:eastAsia="Arial" w:hAnsi="Arial"/>
          <w:sz w:val="18"/>
          <w:szCs w:val="18"/>
          <w:color w:val="auto"/>
        </w:rPr>
      </w:pPr>
    </w:p>
    <w:p>
      <w:pPr>
        <w:ind w:left="1620" w:hanging="46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9" w:lineRule="exact"/>
        <w:rPr>
          <w:rFonts w:ascii="Arial" w:cs="Arial" w:eastAsia="Arial" w:hAnsi="Arial"/>
          <w:sz w:val="18"/>
          <w:szCs w:val="18"/>
          <w:color w:val="auto"/>
        </w:rPr>
      </w:pPr>
    </w:p>
    <w:p>
      <w:pPr>
        <w:ind w:left="1620" w:hanging="46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60" w:right="220" w:hanging="804"/>
        <w:spacing w:after="0" w:line="215" w:lineRule="exact"/>
        <w:tabs>
          <w:tab w:leader="none" w:pos="1622"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ind w:left="1620" w:hanging="464"/>
        <w:spacing w:after="0" w:line="207" w:lineRule="exact"/>
        <w:tabs>
          <w:tab w:leader="none" w:pos="16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0" w:lineRule="exact"/>
        <w:rPr>
          <w:rFonts w:ascii="Arial" w:cs="Arial" w:eastAsia="Arial" w:hAnsi="Arial"/>
          <w:sz w:val="18"/>
          <w:szCs w:val="18"/>
          <w:color w:val="auto"/>
        </w:rPr>
      </w:pPr>
    </w:p>
    <w:p>
      <w:pPr>
        <w:ind w:left="1960" w:right="80" w:hanging="804"/>
        <w:spacing w:after="0" w:line="215" w:lineRule="exact"/>
        <w:tabs>
          <w:tab w:leader="none" w:pos="1622"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 240.13d-1(b)(1) (ii)(J), please specify the type of institution:</w:t>
      </w:r>
    </w:p>
    <w:p>
      <w:pPr>
        <w:spacing w:after="0" w:line="19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5"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5960" w:type="dxa"/>
            <w:vAlign w:val="bottom"/>
          </w:tcPr>
          <w:p>
            <w:pPr>
              <w:ind w:left="120"/>
              <w:spacing w:after="0"/>
              <w:rPr>
                <w:sz w:val="20"/>
                <w:szCs w:val="20"/>
                <w:color w:val="auto"/>
              </w:rPr>
            </w:pPr>
            <w:r>
              <w:rPr>
                <w:rFonts w:ascii="Arial" w:cs="Arial" w:eastAsia="Arial" w:hAnsi="Arial"/>
                <w:sz w:val="18"/>
                <w:szCs w:val="18"/>
                <w:color w:val="auto"/>
              </w:rPr>
              <w:t>Amount Beneficially Owned:</w:t>
            </w:r>
          </w:p>
        </w:tc>
        <w:tc>
          <w:tcPr>
            <w:tcW w:w="4420" w:type="dxa"/>
            <w:vAlign w:val="bottom"/>
          </w:tcPr>
          <w:p>
            <w:pPr>
              <w:jc w:val="right"/>
              <w:spacing w:after="0"/>
              <w:rPr>
                <w:sz w:val="20"/>
                <w:szCs w:val="20"/>
                <w:color w:val="auto"/>
              </w:rPr>
            </w:pPr>
            <w:r>
              <w:rPr>
                <w:rFonts w:ascii="Arial" w:cs="Arial" w:eastAsia="Arial" w:hAnsi="Arial"/>
                <w:sz w:val="18"/>
                <w:szCs w:val="18"/>
                <w:color w:val="auto"/>
              </w:rPr>
              <w:t>2,350,035</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5960" w:type="dxa"/>
            <w:vAlign w:val="bottom"/>
          </w:tcPr>
          <w:p>
            <w:pPr>
              <w:ind w:left="120"/>
              <w:spacing w:after="0"/>
              <w:rPr>
                <w:sz w:val="20"/>
                <w:szCs w:val="20"/>
                <w:color w:val="auto"/>
              </w:rPr>
            </w:pPr>
            <w:r>
              <w:rPr>
                <w:rFonts w:ascii="Arial" w:cs="Arial" w:eastAsia="Arial" w:hAnsi="Arial"/>
                <w:sz w:val="18"/>
                <w:szCs w:val="18"/>
                <w:color w:val="auto"/>
              </w:rPr>
              <w:t>Percent of Class:</w:t>
            </w:r>
          </w:p>
        </w:tc>
        <w:tc>
          <w:tcPr>
            <w:tcW w:w="4420" w:type="dxa"/>
            <w:vAlign w:val="bottom"/>
          </w:tcPr>
          <w:p>
            <w:pPr>
              <w:jc w:val="right"/>
              <w:spacing w:after="0"/>
              <w:rPr>
                <w:sz w:val="20"/>
                <w:szCs w:val="20"/>
                <w:color w:val="auto"/>
              </w:rPr>
            </w:pPr>
            <w:r>
              <w:rPr>
                <w:rFonts w:ascii="Arial" w:cs="Arial" w:eastAsia="Arial" w:hAnsi="Arial"/>
                <w:sz w:val="18"/>
                <w:szCs w:val="18"/>
                <w:color w:val="auto"/>
              </w:rPr>
              <w:t>6.83%</w:t>
            </w:r>
          </w:p>
        </w:tc>
      </w:tr>
    </w:tbl>
    <w:p>
      <w:pPr>
        <w:ind w:left="1160" w:hanging="463"/>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ind w:left="1160"/>
              <w:spacing w:after="0"/>
              <w:rPr>
                <w:sz w:val="20"/>
                <w:szCs w:val="20"/>
                <w:color w:val="auto"/>
              </w:rPr>
            </w:pPr>
            <w:r>
              <w:rPr>
                <w:rFonts w:ascii="Arial" w:cs="Arial" w:eastAsia="Arial" w:hAnsi="Arial"/>
                <w:sz w:val="18"/>
                <w:szCs w:val="18"/>
                <w:color w:val="auto"/>
              </w:rPr>
              <w:t>(i)</w:t>
            </w:r>
          </w:p>
        </w:tc>
        <w:tc>
          <w:tcPr>
            <w:tcW w:w="408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w:t>
            </w:r>
          </w:p>
        </w:tc>
        <w:tc>
          <w:tcPr>
            <w:tcW w:w="5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520" w:type="dxa"/>
            <w:vAlign w:val="bottom"/>
          </w:tcPr>
          <w:p>
            <w:pPr>
              <w:ind w:left="1160"/>
              <w:spacing w:after="0"/>
              <w:rPr>
                <w:sz w:val="20"/>
                <w:szCs w:val="20"/>
                <w:color w:val="auto"/>
              </w:rPr>
            </w:pPr>
            <w:r>
              <w:rPr>
                <w:rFonts w:ascii="Arial" w:cs="Arial" w:eastAsia="Arial" w:hAnsi="Arial"/>
                <w:sz w:val="18"/>
                <w:szCs w:val="18"/>
                <w:color w:val="auto"/>
              </w:rPr>
              <w:t>(ii)</w:t>
            </w:r>
          </w:p>
        </w:tc>
        <w:tc>
          <w:tcPr>
            <w:tcW w:w="4080" w:type="dxa"/>
            <w:vAlign w:val="bottom"/>
          </w:tcPr>
          <w:p>
            <w:pPr>
              <w:ind w:left="100"/>
              <w:spacing w:after="0"/>
              <w:rPr>
                <w:sz w:val="20"/>
                <w:szCs w:val="20"/>
                <w:color w:val="auto"/>
              </w:rPr>
            </w:pPr>
            <w:r>
              <w:rPr>
                <w:rFonts w:ascii="Arial" w:cs="Arial" w:eastAsia="Arial" w:hAnsi="Arial"/>
                <w:sz w:val="18"/>
                <w:szCs w:val="18"/>
                <w:color w:val="auto"/>
              </w:rPr>
              <w:t>shared power to vote or to direct the vote:</w:t>
            </w:r>
          </w:p>
        </w:tc>
        <w:tc>
          <w:tcPr>
            <w:tcW w:w="5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520" w:type="dxa"/>
            <w:vAlign w:val="bottom"/>
          </w:tcPr>
          <w:p>
            <w:pPr>
              <w:ind w:left="1160"/>
              <w:spacing w:after="0"/>
              <w:rPr>
                <w:sz w:val="20"/>
                <w:szCs w:val="20"/>
                <w:color w:val="auto"/>
              </w:rPr>
            </w:pPr>
            <w:r>
              <w:rPr>
                <w:rFonts w:ascii="Arial" w:cs="Arial" w:eastAsia="Arial" w:hAnsi="Arial"/>
                <w:sz w:val="18"/>
                <w:szCs w:val="18"/>
                <w:color w:val="auto"/>
              </w:rPr>
              <w:t>(iii)</w:t>
            </w:r>
          </w:p>
        </w:tc>
        <w:tc>
          <w:tcPr>
            <w:tcW w:w="4080" w:type="dxa"/>
            <w:vAlign w:val="bottom"/>
          </w:tcPr>
          <w:p>
            <w:pPr>
              <w:ind w:left="100"/>
              <w:spacing w:after="0"/>
              <w:rPr>
                <w:sz w:val="20"/>
                <w:szCs w:val="20"/>
                <w:color w:val="auto"/>
              </w:rPr>
            </w:pPr>
            <w:r>
              <w:rPr>
                <w:rFonts w:ascii="Arial" w:cs="Arial" w:eastAsia="Arial" w:hAnsi="Arial"/>
                <w:sz w:val="18"/>
                <w:szCs w:val="18"/>
                <w:color w:val="auto"/>
                <w:w w:val="96"/>
              </w:rPr>
              <w:t>sole power to dispose or to direct the disposition of:</w:t>
            </w:r>
          </w:p>
        </w:tc>
        <w:tc>
          <w:tcPr>
            <w:tcW w:w="5820" w:type="dxa"/>
            <w:vAlign w:val="bottom"/>
          </w:tcPr>
          <w:p>
            <w:pPr>
              <w:jc w:val="right"/>
              <w:spacing w:after="0"/>
              <w:rPr>
                <w:sz w:val="20"/>
                <w:szCs w:val="20"/>
                <w:color w:val="auto"/>
              </w:rPr>
            </w:pPr>
            <w:r>
              <w:rPr>
                <w:rFonts w:ascii="Arial" w:cs="Arial" w:eastAsia="Arial" w:hAnsi="Arial"/>
                <w:sz w:val="18"/>
                <w:szCs w:val="18"/>
                <w:color w:val="auto"/>
              </w:rPr>
              <w:t>2,350,035</w:t>
            </w:r>
          </w:p>
        </w:tc>
      </w:tr>
      <w:tr>
        <w:trPr>
          <w:trHeight w:val="230"/>
        </w:trPr>
        <w:tc>
          <w:tcPr>
            <w:tcW w:w="1520" w:type="dxa"/>
            <w:vAlign w:val="bottom"/>
          </w:tcPr>
          <w:p>
            <w:pPr>
              <w:ind w:left="1160"/>
              <w:spacing w:after="0"/>
              <w:rPr>
                <w:sz w:val="20"/>
                <w:szCs w:val="20"/>
                <w:color w:val="auto"/>
              </w:rPr>
            </w:pPr>
            <w:r>
              <w:rPr>
                <w:rFonts w:ascii="Arial" w:cs="Arial" w:eastAsia="Arial" w:hAnsi="Arial"/>
                <w:sz w:val="18"/>
                <w:szCs w:val="18"/>
                <w:color w:val="auto"/>
              </w:rPr>
              <w:t>(iv)</w:t>
            </w:r>
          </w:p>
        </w:tc>
        <w:tc>
          <w:tcPr>
            <w:tcW w:w="4080" w:type="dxa"/>
            <w:vAlign w:val="bottom"/>
          </w:tcPr>
          <w:p>
            <w:pPr>
              <w:ind w:left="100"/>
              <w:spacing w:after="0"/>
              <w:rPr>
                <w:sz w:val="20"/>
                <w:szCs w:val="20"/>
                <w:color w:val="auto"/>
              </w:rPr>
            </w:pPr>
            <w:r>
              <w:rPr>
                <w:rFonts w:ascii="Arial" w:cs="Arial" w:eastAsia="Arial" w:hAnsi="Arial"/>
                <w:sz w:val="18"/>
                <w:szCs w:val="18"/>
                <w:color w:val="auto"/>
                <w:w w:val="91"/>
              </w:rPr>
              <w:t>shared power to dispose or to direct the disposition of:</w:t>
            </w:r>
          </w:p>
        </w:tc>
        <w:tc>
          <w:tcPr>
            <w:tcW w:w="5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74"/>
        </w:trPr>
        <w:tc>
          <w:tcPr>
            <w:tcW w:w="15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jc w:val="right"/>
              <w:ind w:right="559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837" w:right="23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40" w:right="2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229"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837" w:right="379" w:bottom="1440" w:gutter="0" w:footer="0" w:header="0"/>
        </w:sectPr>
      </w:pPr>
    </w:p>
    <w:bookmarkStart w:id="5" w:name="page6"/>
    <w:bookmarkEnd w:id="5"/>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January 30, 2020</w:t>
      </w:r>
    </w:p>
    <w:p>
      <w:pPr>
        <w:spacing w:after="0" w:line="2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17411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 Robert Schmaltz</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1741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Robert Schmaltz, CCO</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-130810</wp:posOffset>
            </wp:positionV>
            <wp:extent cx="17411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120"/>
      </w:cols>
      <w:pgMar w:left="240" w:top="83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5"/>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2020-02-13T11:14:15Z</dcterms:created>
  <dcterms:modified xsi:type="dcterms:W3CDTF">2020-02-13T11:14:15Z</dcterms:modified>
</cp:coreProperties>
</file>