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left="4" w:right="600"/>
        <w:spacing w:after="0" w:line="342" w:lineRule="auto"/>
        <w:rPr>
          <w:sz w:val="20"/>
          <w:szCs w:val="20"/>
          <w:color w:val="auto"/>
        </w:rPr>
      </w:pPr>
      <w:r>
        <w:rPr>
          <w:rFonts w:ascii="Arial" w:cs="Arial" w:eastAsia="Arial" w:hAnsi="Arial"/>
          <w:sz w:val="16"/>
          <w:szCs w:val="16"/>
          <w:color w:val="auto"/>
        </w:rPr>
        <w:t>Attached hereto as Exhibit 99.1 and incorporated by reference herein is financial information for Magnachip Semiconductor Corporation and its consolidated subsidiaries for the fourth quarter and full year ended December 31, 2020, as presented in a press release dated February 17, 2021.</w:t>
      </w:r>
    </w:p>
    <w:p>
      <w:pPr>
        <w:spacing w:after="0" w:line="124"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right"/>
              <w:ind w:right="39"/>
              <w:spacing w:after="0" w:line="158" w:lineRule="exact"/>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3"/>
                <w:szCs w:val="23"/>
                <w:color w:val="auto"/>
              </w:rPr>
            </w:pPr>
          </w:p>
        </w:tc>
        <w:tc>
          <w:tcPr>
            <w:tcW w:w="10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for Magnachip Semiconductor Corporation dated February 17, 2021, announcing the results for the fourth quarter and full year</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December 31, 2020.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99"/>
              </w:rPr>
              <w:t>104</w:t>
            </w:r>
          </w:p>
        </w:tc>
        <w:tc>
          <w:tcPr>
            <w:tcW w:w="4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4"/>
          </w:cols>
          <w:pgMar w:left="436"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February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8567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56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Fourth Quarter and Year 2020</w:t>
      </w:r>
    </w:p>
    <w:p>
      <w:pPr>
        <w:spacing w:after="0" w:line="131" w:lineRule="exact"/>
        <w:rPr>
          <w:sz w:val="20"/>
          <w:szCs w:val="20"/>
          <w:color w:val="auto"/>
        </w:rPr>
      </w:pPr>
    </w:p>
    <w:p>
      <w:pPr>
        <w:ind w:left="960" w:right="360" w:hanging="424"/>
        <w:spacing w:after="0" w:line="266"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Fourth quarter revenue of $142.9 million was up 14.5% sequentially and up 15.9% year-over-year (YoY). It surpassed the midpoint of October guidance by $10.9 million; Full-year revenue of $507.1 million decreased 2.6% YoY due mainly to the exit from the non-automotive LCD business.</w:t>
      </w:r>
    </w:p>
    <w:p>
      <w:pPr>
        <w:spacing w:after="0" w:line="81" w:lineRule="exact"/>
        <w:rPr>
          <w:rFonts w:ascii="Arial" w:cs="Arial" w:eastAsia="Arial" w:hAnsi="Arial"/>
          <w:sz w:val="18"/>
          <w:szCs w:val="18"/>
          <w:b w:val="1"/>
          <w:bCs w:val="1"/>
          <w:color w:val="auto"/>
        </w:rPr>
      </w:pPr>
    </w:p>
    <w:p>
      <w:pPr>
        <w:ind w:left="960" w:right="180" w:hanging="424"/>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Fourth quarter OLED DDIC revenue of $80.4 million set a new quarterly record, representing a 19.0% sequential increase and a 19.4% increase YoY; Full-year OLED revenue of $284.6 million increased 6.5% YoY.</w:t>
      </w:r>
    </w:p>
    <w:p>
      <w:pPr>
        <w:spacing w:after="0" w:line="67" w:lineRule="exact"/>
        <w:rPr>
          <w:rFonts w:ascii="Arial" w:cs="Arial" w:eastAsia="Arial" w:hAnsi="Arial"/>
          <w:sz w:val="18"/>
          <w:szCs w:val="18"/>
          <w:b w:val="1"/>
          <w:bCs w:val="1"/>
          <w:color w:val="auto"/>
        </w:rPr>
      </w:pPr>
    </w:p>
    <w:p>
      <w:pPr>
        <w:ind w:left="960" w:right="120" w:hanging="424"/>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for the fourth quarter was 26.9%, up 400 bps sequentially and up 220 bps YoY; Full-year gross profit margin of 25.3% was an increase of 290 bps YoY due mainly to product mix improvement.</w:t>
      </w:r>
    </w:p>
    <w:p>
      <w:pPr>
        <w:spacing w:after="0" w:line="67"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earnings per share (EPS) for the fourth quarter was $1.45; Full-year GAAP EPS was $7.54.</w:t>
      </w:r>
    </w:p>
    <w:p>
      <w:pPr>
        <w:spacing w:after="0" w:line="130" w:lineRule="exact"/>
        <w:rPr>
          <w:rFonts w:ascii="Arial" w:cs="Arial" w:eastAsia="Arial" w:hAnsi="Arial"/>
          <w:sz w:val="18"/>
          <w:szCs w:val="18"/>
          <w:b w:val="1"/>
          <w:bCs w:val="1"/>
          <w:color w:val="auto"/>
        </w:rPr>
      </w:pPr>
    </w:p>
    <w:p>
      <w:pPr>
        <w:ind w:left="960" w:right="280" w:hanging="424"/>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diluted EPS from continuing operations was 40 cents; Full-year non-GAAP EPS from continuing operations was 73 cents.</w:t>
      </w:r>
    </w:p>
    <w:p>
      <w:pPr>
        <w:spacing w:after="0" w:line="67" w:lineRule="exact"/>
        <w:rPr>
          <w:rFonts w:ascii="Arial" w:cs="Arial" w:eastAsia="Arial" w:hAnsi="Arial"/>
          <w:sz w:val="18"/>
          <w:szCs w:val="18"/>
          <w:b w:val="1"/>
          <w:bCs w:val="1"/>
          <w:color w:val="auto"/>
        </w:rPr>
      </w:pPr>
    </w:p>
    <w:p>
      <w:pPr>
        <w:ind w:left="960" w:right="640" w:hanging="424"/>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Cash use of $227.4 million to fully redeem the 6.625% Senior Notes due 2021; Stockholder’s equity turned positive to reach $345.6 million at the end of 2020 versus negative $15 million in 2019.</w:t>
      </w:r>
    </w:p>
    <w:p>
      <w:pPr>
        <w:spacing w:after="0" w:line="162"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SEOUL, South Korea, February 17, 2021 </w:t>
      </w:r>
      <w:r>
        <w:rPr>
          <w:rFonts w:ascii="Arial" w:cs="Arial" w:eastAsia="Arial" w:hAnsi="Arial"/>
          <w:sz w:val="18"/>
          <w:szCs w:val="18"/>
          <w:color w:val="auto"/>
        </w:rPr>
        <w:t>— Magnachip Semiconductor Corporation (NYSE: MX) (“Magnachip” or the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fourth quarter and full-year 2020.</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Commenting on the results for the fourth quarter of 2020, YJ Kim, Magnachip’s chief executive officer stated, “Magnachip’s Q4 results exceeded our expectations, capping off one of the most challenging years for any of us. Our Q4 results demonstrated counter-seasonal strength with a 14.5% sequential revenue growth and GAAP operating income margin of 6.4%, and Non-GAAP adjusted operating income margin of 10.7% driven by a strong ramp-up in 5G as well as effective cost management.”</w:t>
      </w:r>
    </w:p>
    <w:p>
      <w:pPr>
        <w:spacing w:after="0" w:line="187"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Commenting on the full-year, YJ stated, “2020 was an exceptional year for Magnachip, despite the challenges presented by the pandemic. We entered MX 3.0, the exciting new chapter of growth, with a sharpened focus as a pure-play standard products company, renewed energy, and a clear mission of empowering our customers. Under MX 3.0, we set long-term financial targets that we would like to achieve by 2023. While we recognize the path will not always be a straight line, the exciting opportunities ahead of us only reinforce our confidence in our growth outlook. I am proud of and thankful for our amazing group of dedicated employees who continued to deliver extraordinary results in 2020.”</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183515</wp:posOffset>
            </wp:positionV>
            <wp:extent cx="131127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5430"/>
                    </a:xfrm>
                    <a:prstGeom prst="rect">
                      <a:avLst/>
                    </a:prstGeom>
                    <a:noFill/>
                  </pic:spPr>
                </pic:pic>
              </a:graphicData>
            </a:graphic>
          </wp:anchor>
        </w:drawing>
        <w:t>Q4 and 2020 Financial Highlights</w:t>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16"/>
          </w:tcPr>
          <w:p>
            <w:pPr>
              <w:jc w:val="right"/>
              <w:ind w:right="420"/>
              <w:spacing w:after="0"/>
              <w:rPr>
                <w:sz w:val="20"/>
                <w:szCs w:val="20"/>
                <w:color w:val="auto"/>
              </w:rPr>
            </w:pPr>
            <w:r>
              <w:rPr>
                <w:rFonts w:ascii="Arial" w:cs="Arial" w:eastAsia="Arial" w:hAnsi="Arial"/>
                <w:sz w:val="14"/>
                <w:szCs w:val="14"/>
                <w:color w:val="auto"/>
                <w:w w:val="93"/>
              </w:rPr>
              <w:t>In thousands of US dollars, except share data</w:t>
            </w:r>
          </w:p>
        </w:tc>
      </w:tr>
      <w:tr>
        <w:trPr>
          <w:trHeight w:val="142"/>
        </w:trPr>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6"/>
          </w:tcPr>
          <w:p>
            <w:pPr>
              <w:jc w:val="right"/>
              <w:ind w:right="300"/>
              <w:spacing w:after="0" w:line="142" w:lineRule="exact"/>
              <w:rPr>
                <w:sz w:val="20"/>
                <w:szCs w:val="20"/>
                <w:color w:val="auto"/>
              </w:rPr>
            </w:pPr>
            <w:r>
              <w:rPr>
                <w:rFonts w:ascii="Arial" w:cs="Arial" w:eastAsia="Arial" w:hAnsi="Arial"/>
                <w:sz w:val="14"/>
                <w:szCs w:val="14"/>
                <w:b w:val="1"/>
                <w:bCs w:val="1"/>
                <w:color w:val="auto"/>
              </w:rPr>
              <w:t>GAAP</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Q4 2020</w:t>
            </w: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Q3 2020</w:t>
            </w:r>
          </w:p>
        </w:tc>
        <w:tc>
          <w:tcPr>
            <w:tcW w:w="1320" w:type="dxa"/>
            <w:vAlign w:val="bottom"/>
            <w:gridSpan w:val="8"/>
          </w:tcPr>
          <w:p>
            <w:pPr>
              <w:ind w:left="220"/>
              <w:spacing w:after="0" w:line="142" w:lineRule="exact"/>
              <w:rPr>
                <w:sz w:val="20"/>
                <w:szCs w:val="20"/>
                <w:color w:val="auto"/>
              </w:rPr>
            </w:pPr>
            <w:r>
              <w:rPr>
                <w:rFonts w:ascii="Arial" w:cs="Arial" w:eastAsia="Arial" w:hAnsi="Arial"/>
                <w:sz w:val="14"/>
                <w:szCs w:val="14"/>
                <w:b w:val="1"/>
                <w:bCs w:val="1"/>
                <w:color w:val="auto"/>
              </w:rPr>
              <w:t>Q/Q change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Q4 2019</w:t>
            </w:r>
          </w:p>
        </w:tc>
        <w:tc>
          <w:tcPr>
            <w:tcW w:w="300" w:type="dxa"/>
            <w:vAlign w:val="bottom"/>
          </w:tcPr>
          <w:p>
            <w:pPr>
              <w:spacing w:after="0"/>
              <w:rPr>
                <w:sz w:val="12"/>
                <w:szCs w:val="12"/>
                <w:color w:val="auto"/>
              </w:rPr>
            </w:pPr>
          </w:p>
        </w:tc>
        <w:tc>
          <w:tcPr>
            <w:tcW w:w="92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09"/>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Standard Products Business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82,705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69,583</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75,490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r>
      <w:tr>
        <w:trPr>
          <w:trHeight w:val="216"/>
        </w:trPr>
        <w:tc>
          <w:tcPr>
            <w:tcW w:w="5120" w:type="dxa"/>
            <w:vAlign w:val="bottom"/>
            <w:gridSpan w:val="2"/>
          </w:tcPr>
          <w:p>
            <w:pPr>
              <w:ind w:left="720"/>
              <w:spacing w:after="0"/>
              <w:rPr>
                <w:sz w:val="20"/>
                <w:szCs w:val="20"/>
                <w:color w:val="auto"/>
              </w:rPr>
            </w:pPr>
            <w:r>
              <w:rPr>
                <w:rFonts w:ascii="Arial" w:cs="Arial" w:eastAsia="Arial" w:hAnsi="Arial"/>
                <w:sz w:val="18"/>
                <w:szCs w:val="18"/>
                <w:color w:val="auto"/>
              </w:rPr>
              <w:t>Power Solutions</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46,861</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46,679</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37,814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23.9%</w:t>
            </w: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r>
              <w:rPr>
                <w:rFonts w:ascii="Arial" w:cs="Arial" w:eastAsia="Arial" w:hAnsi="Arial"/>
                <w:sz w:val="15"/>
                <w:szCs w:val="15"/>
                <w:color w:val="auto"/>
              </w:rPr>
              <w:t>(1)</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13,379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8,551</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10,048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33.2%</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Gross Profit Margin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up</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5"/>
              </w:rPr>
              <w:t>4.0%pts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7"/>
          </w:tcPr>
          <w:p>
            <w:pPr>
              <w:jc w:val="right"/>
              <w:ind w:right="140"/>
              <w:spacing w:after="0"/>
              <w:rPr>
                <w:sz w:val="20"/>
                <w:szCs w:val="20"/>
                <w:color w:val="auto"/>
              </w:rPr>
            </w:pPr>
            <w:r>
              <w:rPr>
                <w:rFonts w:ascii="Arial" w:cs="Arial" w:eastAsia="Arial" w:hAnsi="Arial"/>
                <w:sz w:val="18"/>
                <w:szCs w:val="18"/>
                <w:color w:val="auto"/>
              </w:rPr>
              <w:t>24.7%   up</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2.2%pts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9,206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3,223</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185.6%</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5,691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61.8%</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5"/>
                <w:szCs w:val="15"/>
                <w:b w:val="1"/>
                <w:bCs w:val="1"/>
                <w:color w:val="auto"/>
              </w:rPr>
              <w:t>(2)</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66,581</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272,962</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88"/>
              </w:rPr>
              <w:t>down</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23,426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184.2%</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7.74</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down</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175.0%</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5.89</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88"/>
              </w:rPr>
              <w:t>down</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0.54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168.5%</w:t>
            </w:r>
          </w:p>
        </w:tc>
      </w:tr>
      <w:tr>
        <w:trPr>
          <w:trHeight w:val="20"/>
        </w:trPr>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16"/>
          </w:tcPr>
          <w:p>
            <w:pPr>
              <w:jc w:val="right"/>
              <w:ind w:right="420"/>
              <w:spacing w:after="0"/>
              <w:rPr>
                <w:sz w:val="20"/>
                <w:szCs w:val="20"/>
                <w:color w:val="auto"/>
              </w:rPr>
            </w:pPr>
            <w:r>
              <w:rPr>
                <w:rFonts w:ascii="Arial" w:cs="Arial" w:eastAsia="Arial" w:hAnsi="Arial"/>
                <w:sz w:val="14"/>
                <w:szCs w:val="14"/>
                <w:color w:val="auto"/>
                <w:w w:val="93"/>
              </w:rPr>
              <w:t>In thousands of US dollars, except share data</w:t>
            </w:r>
          </w:p>
        </w:tc>
      </w:tr>
      <w:tr>
        <w:trPr>
          <w:trHeight w:val="142"/>
        </w:trPr>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7"/>
          </w:tcPr>
          <w:p>
            <w:pPr>
              <w:ind w:left="180"/>
              <w:spacing w:after="0" w:line="142" w:lineRule="exact"/>
              <w:rPr>
                <w:sz w:val="20"/>
                <w:szCs w:val="20"/>
                <w:color w:val="auto"/>
              </w:rPr>
            </w:pPr>
            <w:r>
              <w:rPr>
                <w:rFonts w:ascii="Arial" w:cs="Arial" w:eastAsia="Arial" w:hAnsi="Arial"/>
                <w:sz w:val="14"/>
                <w:szCs w:val="14"/>
                <w:b w:val="1"/>
                <w:bCs w:val="1"/>
                <w:color w:val="auto"/>
              </w:rPr>
              <w:t>Non-GAAP</w:t>
            </w:r>
            <w:r>
              <w:rPr>
                <w:rFonts w:ascii="Arial" w:cs="Arial" w:eastAsia="Arial" w:hAnsi="Arial"/>
                <w:sz w:val="12"/>
                <w:szCs w:val="12"/>
                <w:b w:val="1"/>
                <w:bCs w:val="1"/>
                <w:color w:val="auto"/>
              </w:rPr>
              <w:t>(3)</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Q4 2020</w:t>
            </w:r>
          </w:p>
        </w:tc>
        <w:tc>
          <w:tcPr>
            <w:tcW w:w="3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Q3 2020</w:t>
            </w:r>
          </w:p>
        </w:tc>
        <w:tc>
          <w:tcPr>
            <w:tcW w:w="3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gridSpan w:val="6"/>
          </w:tcPr>
          <w:p>
            <w:pPr>
              <w:ind w:left="220"/>
              <w:spacing w:after="0" w:line="142" w:lineRule="exact"/>
              <w:rPr>
                <w:sz w:val="20"/>
                <w:szCs w:val="20"/>
                <w:color w:val="auto"/>
              </w:rPr>
            </w:pPr>
            <w:r>
              <w:rPr>
                <w:rFonts w:ascii="Arial" w:cs="Arial" w:eastAsia="Arial" w:hAnsi="Arial"/>
                <w:sz w:val="14"/>
                <w:szCs w:val="14"/>
                <w:b w:val="1"/>
                <w:bCs w:val="1"/>
                <w:color w:val="auto"/>
              </w:rPr>
              <w:t>Q/Q change</w:t>
            </w:r>
          </w:p>
        </w:tc>
        <w:tc>
          <w:tcPr>
            <w:tcW w:w="16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Q4 2019</w:t>
            </w:r>
          </w:p>
        </w:tc>
        <w:tc>
          <w:tcPr>
            <w:tcW w:w="60" w:type="dxa"/>
            <w:vAlign w:val="bottom"/>
            <w:tcBorders>
              <w:bottom w:val="single" w:sz="8" w:color="CCEEFF"/>
            </w:tcBorders>
            <w:gridSpan w:val="2"/>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Borders>
              <w:bottom w:val="single" w:sz="8" w:color="CCEEFF"/>
            </w:tcBorders>
          </w:tcPr>
          <w:p>
            <w:pPr>
              <w:spacing w:after="0"/>
              <w:rPr>
                <w:sz w:val="12"/>
                <w:szCs w:val="12"/>
                <w:color w:val="auto"/>
              </w:rPr>
            </w:pPr>
          </w:p>
        </w:tc>
      </w:tr>
      <w:tr>
        <w:trPr>
          <w:trHeight w:val="209"/>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15,355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10,136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51.5%</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18,582</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11,731</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12,794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45.2%</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17,268</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5,147</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235.5%</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6,620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160.8%</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0.40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up</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135.3%</w:t>
            </w:r>
          </w:p>
        </w:tc>
      </w:tr>
      <w:tr>
        <w:trPr>
          <w:trHeight w:val="20"/>
        </w:trPr>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16"/>
          </w:tcPr>
          <w:p>
            <w:pPr>
              <w:jc w:val="right"/>
              <w:ind w:right="420"/>
              <w:spacing w:after="0"/>
              <w:rPr>
                <w:sz w:val="20"/>
                <w:szCs w:val="20"/>
                <w:color w:val="auto"/>
              </w:rPr>
            </w:pPr>
            <w:r>
              <w:rPr>
                <w:rFonts w:ascii="Arial" w:cs="Arial" w:eastAsia="Arial" w:hAnsi="Arial"/>
                <w:sz w:val="14"/>
                <w:szCs w:val="14"/>
                <w:color w:val="auto"/>
                <w:w w:val="93"/>
              </w:rPr>
              <w:t>In thousands of US dollars, except share data</w:t>
            </w:r>
          </w:p>
        </w:tc>
      </w:tr>
      <w:tr>
        <w:trPr>
          <w:trHeight w:val="142"/>
        </w:trPr>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rPr>
              <w:t>GAAP</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6"/>
          </w:tcPr>
          <w:p>
            <w:pPr>
              <w:ind w:left="22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Borders>
              <w:bottom w:val="single" w:sz="8" w:color="CCEEFF"/>
            </w:tcBorders>
          </w:tcPr>
          <w:p>
            <w:pPr>
              <w:spacing w:after="0"/>
              <w:rPr>
                <w:sz w:val="12"/>
                <w:szCs w:val="12"/>
                <w:color w:val="auto"/>
              </w:rPr>
            </w:pPr>
          </w:p>
        </w:tc>
      </w:tr>
      <w:tr>
        <w:trPr>
          <w:trHeight w:val="209"/>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Standard Products Business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299,057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w w:val="86"/>
              </w:rPr>
              <w:t>308,531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down</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r>
      <w:tr>
        <w:trPr>
          <w:trHeight w:val="216"/>
        </w:trPr>
        <w:tc>
          <w:tcPr>
            <w:tcW w:w="5120" w:type="dxa"/>
            <w:vAlign w:val="bottom"/>
            <w:gridSpan w:val="2"/>
          </w:tcPr>
          <w:p>
            <w:pPr>
              <w:ind w:left="720"/>
              <w:spacing w:after="0"/>
              <w:rPr>
                <w:sz w:val="20"/>
                <w:szCs w:val="20"/>
                <w:color w:val="auto"/>
              </w:rPr>
            </w:pPr>
            <w:r>
              <w:rPr>
                <w:rFonts w:ascii="Arial" w:cs="Arial" w:eastAsia="Arial" w:hAnsi="Arial"/>
                <w:sz w:val="18"/>
                <w:szCs w:val="18"/>
                <w:color w:val="auto"/>
              </w:rPr>
              <w:t>Power Solutions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166,462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4"/>
          </w:tcPr>
          <w:p>
            <w:pPr>
              <w:jc w:val="right"/>
              <w:ind w:right="290"/>
              <w:spacing w:after="0"/>
              <w:rPr>
                <w:sz w:val="20"/>
                <w:szCs w:val="20"/>
                <w:color w:val="auto"/>
              </w:rPr>
            </w:pPr>
            <w:r>
              <w:rPr>
                <w:rFonts w:ascii="Arial" w:cs="Arial" w:eastAsia="Arial" w:hAnsi="Arial"/>
                <w:sz w:val="18"/>
                <w:szCs w:val="18"/>
                <w:color w:val="auto"/>
                <w:w w:val="86"/>
              </w:rPr>
              <w:t>176,316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down</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5.6%</w:t>
            </w: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41,540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35,824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Gross Profit Margin</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4"/>
          </w:tcPr>
          <w:p>
            <w:pPr>
              <w:jc w:val="right"/>
              <w:ind w:right="6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13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up</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2.9%pts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27,016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23,725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Income (Loss) </w:t>
            </w:r>
            <w:r>
              <w:rPr>
                <w:rFonts w:ascii="Arial" w:cs="Arial" w:eastAsia="Arial" w:hAnsi="Arial"/>
                <w:sz w:val="15"/>
                <w:szCs w:val="15"/>
                <w:b w:val="1"/>
                <w:bCs w:val="1"/>
                <w:color w:val="auto"/>
              </w:rPr>
              <w:t>(2)</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344,965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4"/>
          </w:tcPr>
          <w:p>
            <w:pPr>
              <w:jc w:val="right"/>
              <w:ind w:right="230"/>
              <w:spacing w:after="0"/>
              <w:rPr>
                <w:sz w:val="20"/>
                <w:szCs w:val="20"/>
                <w:color w:val="auto"/>
              </w:rPr>
            </w:pPr>
            <w:r>
              <w:rPr>
                <w:rFonts w:ascii="Arial" w:cs="Arial" w:eastAsia="Arial" w:hAnsi="Arial"/>
                <w:sz w:val="18"/>
                <w:szCs w:val="18"/>
                <w:color w:val="auto"/>
                <w:w w:val="92"/>
              </w:rPr>
              <w:t>(21,826)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1680.5%</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w w:val="89"/>
              </w:rPr>
              <w:t>(0.64)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1631.3%</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7.54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230"/>
              <w:spacing w:after="0"/>
              <w:rPr>
                <w:sz w:val="20"/>
                <w:szCs w:val="20"/>
                <w:color w:val="auto"/>
              </w:rPr>
            </w:pPr>
            <w:r>
              <w:rPr>
                <w:rFonts w:ascii="Arial" w:cs="Arial" w:eastAsia="Arial" w:hAnsi="Arial"/>
                <w:sz w:val="18"/>
                <w:szCs w:val="18"/>
                <w:color w:val="auto"/>
                <w:w w:val="89"/>
              </w:rPr>
              <w:t>(0.64)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1278.1%</w:t>
            </w:r>
          </w:p>
        </w:tc>
      </w:tr>
      <w:tr>
        <w:trPr>
          <w:trHeight w:val="20"/>
        </w:trPr>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gridSpan w:val="19"/>
          </w:tcPr>
          <w:p>
            <w:pPr>
              <w:jc w:val="center"/>
              <w:ind w:right="64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6"/>
          </w:tcPr>
          <w:p>
            <w:pPr>
              <w:jc w:val="center"/>
              <w:ind w:left="35"/>
              <w:spacing w:after="0" w:line="142" w:lineRule="exact"/>
              <w:rPr>
                <w:sz w:val="20"/>
                <w:szCs w:val="20"/>
                <w:color w:val="auto"/>
              </w:rPr>
            </w:pPr>
            <w:r>
              <w:rPr>
                <w:rFonts w:ascii="Arial" w:cs="Arial" w:eastAsia="Arial" w:hAnsi="Arial"/>
                <w:sz w:val="14"/>
                <w:szCs w:val="14"/>
                <w:b w:val="1"/>
                <w:bCs w:val="1"/>
                <w:color w:val="auto"/>
                <w:w w:val="98"/>
              </w:rPr>
              <w:t>Non-GAAP</w:t>
            </w:r>
            <w:r>
              <w:rPr>
                <w:rFonts w:ascii="Arial" w:cs="Arial" w:eastAsia="Arial" w:hAnsi="Arial"/>
                <w:sz w:val="12"/>
                <w:szCs w:val="12"/>
                <w:b w:val="1"/>
                <w:bCs w:val="1"/>
                <w:color w:val="auto"/>
                <w:w w:val="98"/>
              </w:rPr>
              <w:t>(3)</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6"/>
          </w:tcPr>
          <w:p>
            <w:pPr>
              <w:ind w:left="22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Borders>
              <w:bottom w:val="single" w:sz="8" w:color="CCEEFF"/>
            </w:tcBorders>
          </w:tcPr>
          <w:p>
            <w:pPr>
              <w:spacing w:after="0"/>
              <w:rPr>
                <w:sz w:val="12"/>
                <w:szCs w:val="12"/>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41,584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36.7%</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52,919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4"/>
          </w:tcPr>
          <w:p>
            <w:pPr>
              <w:jc w:val="right"/>
              <w:ind w:right="290"/>
              <w:spacing w:after="0"/>
              <w:rPr>
                <w:sz w:val="20"/>
                <w:szCs w:val="20"/>
                <w:color w:val="auto"/>
              </w:rPr>
            </w:pPr>
            <w:r>
              <w:rPr>
                <w:rFonts w:ascii="Arial" w:cs="Arial" w:eastAsia="Arial" w:hAnsi="Arial"/>
                <w:sz w:val="18"/>
                <w:szCs w:val="18"/>
                <w:color w:val="auto"/>
              </w:rPr>
              <w:t>40,923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29.3%</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28,260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8,954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0.73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29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up</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192.0%</w:t>
            </w:r>
          </w:p>
        </w:tc>
      </w:tr>
      <w:tr>
        <w:trPr>
          <w:trHeight w:val="20"/>
        </w:trPr>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r>
    </w:tbl>
    <w:p>
      <w:pPr>
        <w:spacing w:after="0" w:line="26" w:lineRule="exact"/>
        <w:rPr>
          <w:sz w:val="20"/>
          <w:szCs w:val="20"/>
          <w:color w:val="auto"/>
        </w:rPr>
      </w:pPr>
    </w:p>
    <w:p>
      <w:pPr>
        <w:ind w:left="424" w:right="40" w:hanging="424"/>
        <w:spacing w:after="0" w:line="25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consummation of the sale of the Foundry Services Group business and Fab 4 in Q3 2020, and for a period of up to three years, the Company will provide transitional foundry services to the buyer for foundry products manufactured in the Company’s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837" w:right="439" w:bottom="1440" w:gutter="0" w:footer="0" w:header="0"/>
        </w:sectPr>
      </w:pPr>
    </w:p>
    <w:bookmarkStart w:id="5" w:name="page6"/>
    <w:bookmarkEnd w:id="5"/>
    <w:p>
      <w:pPr>
        <w:ind w:left="424"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5430"/>
                    </a:xfrm>
                    <a:prstGeom prst="rect">
                      <a:avLst/>
                    </a:prstGeom>
                    <a:noFill/>
                  </pic:spPr>
                </pic:pic>
              </a:graphicData>
            </a:graphic>
          </wp:anchor>
        </w:drawing>
        <w:t>In Q4 2020, total net income of $66.6 million included one-time recognition of deferred tax benefits of $43.9 million. In Q3 2020, total net income of $273.0 million included income from discontinued operations, net of tax, of $264.5 million, primarily attributable to the recognition of $287.1 million as gain on sale of the Foundry Services Group business and Fab 4.</w:t>
      </w:r>
    </w:p>
    <w:p>
      <w:pPr>
        <w:spacing w:after="0" w:line="2" w:lineRule="exact"/>
        <w:rPr>
          <w:rFonts w:ascii="Arial" w:cs="Arial" w:eastAsia="Arial" w:hAnsi="Arial"/>
          <w:sz w:val="18"/>
          <w:szCs w:val="18"/>
          <w:color w:val="auto"/>
        </w:rPr>
      </w:pPr>
    </w:p>
    <w:p>
      <w:pPr>
        <w:ind w:left="424" w:right="60" w:hanging="424"/>
        <w:spacing w:after="0" w:line="252"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financial measures are calculated based on the results from continuing operations. 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Q1 2021 Financial Guidance</w:t>
      </w:r>
    </w:p>
    <w:p>
      <w:pPr>
        <w:spacing w:after="0" w:line="121" w:lineRule="exact"/>
        <w:rPr>
          <w:sz w:val="20"/>
          <w:szCs w:val="20"/>
          <w:color w:val="auto"/>
        </w:rPr>
      </w:pPr>
    </w:p>
    <w:p>
      <w:pPr>
        <w:jc w:val="both"/>
        <w:ind w:left="4" w:right="200"/>
        <w:spacing w:after="0" w:line="301" w:lineRule="auto"/>
        <w:rPr>
          <w:sz w:val="20"/>
          <w:szCs w:val="20"/>
          <w:color w:val="auto"/>
        </w:rPr>
      </w:pPr>
      <w:r>
        <w:rPr>
          <w:rFonts w:ascii="Arial" w:cs="Arial" w:eastAsia="Arial" w:hAnsi="Arial"/>
          <w:sz w:val="16"/>
          <w:szCs w:val="16"/>
          <w:color w:val="auto"/>
        </w:rPr>
        <w:t>The COVID-19 global pandemic is not behind us and continues to reduce our forward visibility. Q1 is our seasonally low quarter, but the demand in most of our end markets remains very healthy. Currently, the industry is going through severe supply constraints. While we are leaving some demand unmet in Q1 due to supply constraints, we are working closely with our strategic customer and our foundry partners to address supply constraints, and we expect the supply situation to improve later in the quarter. While actual results may vary, Magnachip currently anticipates for Q1 2021:</w:t>
      </w:r>
    </w:p>
    <w:p>
      <w:pPr>
        <w:spacing w:after="0" w:line="63" w:lineRule="exact"/>
        <w:rPr>
          <w:sz w:val="20"/>
          <w:szCs w:val="20"/>
          <w:color w:val="auto"/>
        </w:rPr>
      </w:pPr>
    </w:p>
    <w:p>
      <w:pPr>
        <w:ind w:left="964" w:hanging="424"/>
        <w:spacing w:after="0"/>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to be in the range of $119 million to $124 million, including about $10 million of the Transitional Fab 3 Foundry Services.</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margin to be in the range of 25% to 27%.</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Q4 2020 Earnings Conference Call</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 xml:space="preserve">Magnachip will host a conference call at 5 p.m. Eastern Time on February 17, 2021. The conference call will be webcast live and also is available by dialing toll-free at </w:t>
      </w:r>
      <w:r>
        <w:rPr>
          <w:rFonts w:ascii="Arial" w:cs="Arial" w:eastAsia="Arial" w:hAnsi="Arial"/>
          <w:sz w:val="17"/>
          <w:szCs w:val="17"/>
          <w:b w:val="1"/>
          <w:bCs w:val="1"/>
          <w:color w:val="auto"/>
        </w:rPr>
        <w:t>1-844-536-5472</w:t>
      </w:r>
      <w:r>
        <w:rPr>
          <w:rFonts w:ascii="Arial" w:cs="Arial" w:eastAsia="Arial" w:hAnsi="Arial"/>
          <w:sz w:val="17"/>
          <w:szCs w:val="17"/>
          <w:color w:val="auto"/>
        </w:rPr>
        <w:t xml:space="preserve">. International call-in participants can dial </w:t>
      </w:r>
      <w:r>
        <w:rPr>
          <w:rFonts w:ascii="Arial" w:cs="Arial" w:eastAsia="Arial" w:hAnsi="Arial"/>
          <w:sz w:val="17"/>
          <w:szCs w:val="17"/>
          <w:b w:val="1"/>
          <w:bCs w:val="1"/>
          <w:color w:val="auto"/>
        </w:rPr>
        <w:t>1-614-999-9318</w:t>
      </w:r>
      <w:r>
        <w:rPr>
          <w:rFonts w:ascii="Arial" w:cs="Arial" w:eastAsia="Arial" w:hAnsi="Arial"/>
          <w:sz w:val="17"/>
          <w:szCs w:val="17"/>
          <w:color w:val="auto"/>
        </w:rPr>
        <w:t xml:space="preserve">. The conference ID number is </w:t>
      </w:r>
      <w:r>
        <w:rPr>
          <w:rFonts w:ascii="Arial" w:cs="Arial" w:eastAsia="Arial" w:hAnsi="Arial"/>
          <w:sz w:val="17"/>
          <w:szCs w:val="17"/>
          <w:b w:val="1"/>
          <w:bCs w:val="1"/>
          <w:color w:val="auto"/>
        </w:rPr>
        <w:t>6298187.</w:t>
      </w:r>
      <w:r>
        <w:rPr>
          <w:rFonts w:ascii="Arial" w:cs="Arial" w:eastAsia="Arial" w:hAnsi="Arial"/>
          <w:sz w:val="17"/>
          <w:szCs w:val="17"/>
          <w:color w:val="auto"/>
        </w:rPr>
        <w:t xml:space="preserve"> Participants are encouraged to initiate their calls at least 10 minutes in advance of the 5 p.m. Eastern Time start time to ensure a timely connection. The webcast and earnings release will be accessible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A replay of the conference call will be available the same day and will run for 72 hours. The replay dial-in numbers are </w:t>
      </w:r>
      <w:r>
        <w:rPr>
          <w:rFonts w:ascii="Arial" w:cs="Arial" w:eastAsia="Arial" w:hAnsi="Arial"/>
          <w:sz w:val="17"/>
          <w:szCs w:val="17"/>
          <w:b w:val="1"/>
          <w:bCs w:val="1"/>
          <w:color w:val="auto"/>
        </w:rPr>
        <w:t>1-404-537-3406</w:t>
      </w:r>
      <w:r>
        <w:rPr>
          <w:rFonts w:ascii="Arial" w:cs="Arial" w:eastAsia="Arial" w:hAnsi="Arial"/>
          <w:sz w:val="17"/>
          <w:szCs w:val="17"/>
          <w:color w:val="auto"/>
        </w:rPr>
        <w:t xml:space="preserve"> or toll-free at </w:t>
      </w:r>
      <w:r>
        <w:rPr>
          <w:rFonts w:ascii="Arial" w:cs="Arial" w:eastAsia="Arial" w:hAnsi="Arial"/>
          <w:sz w:val="17"/>
          <w:szCs w:val="17"/>
          <w:b w:val="1"/>
          <w:bCs w:val="1"/>
          <w:color w:val="auto"/>
        </w:rPr>
        <w:t>1-855-859-2056</w:t>
      </w:r>
      <w:r>
        <w:rPr>
          <w:rFonts w:ascii="Arial" w:cs="Arial" w:eastAsia="Arial" w:hAnsi="Arial"/>
          <w:sz w:val="17"/>
          <w:szCs w:val="17"/>
          <w:color w:val="auto"/>
        </w:rPr>
        <w:t xml:space="preserve">. The access code is </w:t>
      </w:r>
      <w:r>
        <w:rPr>
          <w:rFonts w:ascii="Arial" w:cs="Arial" w:eastAsia="Arial" w:hAnsi="Arial"/>
          <w:sz w:val="17"/>
          <w:szCs w:val="17"/>
          <w:b w:val="1"/>
          <w:bCs w:val="1"/>
          <w:color w:val="auto"/>
        </w:rPr>
        <w:t>6298187.</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right="180"/>
        <w:spacing w:after="0" w:line="296"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first quarter 2021 revenue and gross profit margin expectations, and the impact of the COVID-19 pandemic, escalated trade tensions and supply constraints on Magnachip’s first quarter 2021 and future operating results. All forward-looking statements included in this release are based upon information available to Magnachip as of the date of</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841" w:right="459" w:bottom="1440" w:gutter="0" w:footer="0" w:header="0"/>
        </w:sectPr>
      </w:pPr>
    </w:p>
    <w:bookmarkStart w:id="6" w:name="page7"/>
    <w:bookmarkEnd w:id="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5430"/>
                    </a:xfrm>
                    <a:prstGeom prst="rect">
                      <a:avLst/>
                    </a:prstGeom>
                    <a:noFill/>
                  </pic:spPr>
                </pic:pic>
              </a:graphicData>
            </a:graphic>
          </wp:anchor>
        </w:drawing>
        <w:t>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our Form 10-Qs filed on May 11, 2020, August 7, 2020 and November 6, 2020 (including that the impact of the COVID-19 pandemic, trade tensions and supply constraints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74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In the United States:</w:t>
            </w:r>
          </w:p>
        </w:tc>
        <w:tc>
          <w:tcPr>
            <w:tcW w:w="4100" w:type="dxa"/>
            <w:vAlign w:val="bottom"/>
            <w:gridSpan w:val="2"/>
          </w:tcPr>
          <w:p>
            <w:pPr>
              <w:ind w:left="1740"/>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So-Yeon Jeong</w:t>
            </w:r>
          </w:p>
        </w:tc>
        <w:tc>
          <w:tcPr>
            <w:tcW w:w="4100" w:type="dxa"/>
            <w:vAlign w:val="bottom"/>
            <w:gridSpan w:val="2"/>
          </w:tcPr>
          <w:p>
            <w:pPr>
              <w:ind w:left="1740"/>
              <w:spacing w:after="0"/>
              <w:rPr>
                <w:sz w:val="20"/>
                <w:szCs w:val="20"/>
                <w:color w:val="auto"/>
              </w:rPr>
            </w:pPr>
            <w:r>
              <w:rPr>
                <w:rFonts w:ascii="Arial" w:cs="Arial" w:eastAsia="Arial" w:hAnsi="Arial"/>
                <w:sz w:val="18"/>
                <w:szCs w:val="18"/>
                <w:color w:val="auto"/>
              </w:rPr>
              <w:t>Chankeun Park</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Head of Investor Relations</w:t>
            </w:r>
          </w:p>
        </w:tc>
        <w:tc>
          <w:tcPr>
            <w:tcW w:w="4100" w:type="dxa"/>
            <w:vAlign w:val="bottom"/>
            <w:gridSpan w:val="2"/>
          </w:tcPr>
          <w:p>
            <w:pPr>
              <w:ind w:left="1740"/>
              <w:spacing w:after="0"/>
              <w:rPr>
                <w:sz w:val="20"/>
                <w:szCs w:val="20"/>
                <w:color w:val="auto"/>
              </w:rPr>
            </w:pPr>
            <w:r>
              <w:rPr>
                <w:rFonts w:ascii="Arial" w:cs="Arial" w:eastAsia="Arial" w:hAnsi="Arial"/>
                <w:sz w:val="18"/>
                <w:szCs w:val="18"/>
                <w:color w:val="auto"/>
              </w:rPr>
              <w:t>Director of Public Relations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Tel. +1-408-712-6151</w:t>
            </w:r>
          </w:p>
        </w:tc>
        <w:tc>
          <w:tcPr>
            <w:tcW w:w="4100" w:type="dxa"/>
            <w:vAlign w:val="bottom"/>
            <w:gridSpan w:val="2"/>
          </w:tcPr>
          <w:p>
            <w:pPr>
              <w:ind w:left="1740"/>
              <w:spacing w:after="0"/>
              <w:rPr>
                <w:sz w:val="20"/>
                <w:szCs w:val="20"/>
                <w:color w:val="auto"/>
              </w:rPr>
            </w:pPr>
            <w:r>
              <w:rPr>
                <w:rFonts w:ascii="Arial" w:cs="Arial" w:eastAsia="Arial" w:hAnsi="Arial"/>
                <w:sz w:val="18"/>
                <w:szCs w:val="18"/>
                <w:color w:val="auto"/>
              </w:rPr>
              <w:t>Tel. +82-2-6903-5223</w:t>
            </w: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4100" w:type="dxa"/>
            <w:vAlign w:val="bottom"/>
            <w:gridSpan w:val="2"/>
          </w:tcPr>
          <w:p>
            <w:pPr>
              <w:ind w:left="1740"/>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399"/>
        </w:trPr>
        <w:tc>
          <w:tcPr>
            <w:tcW w:w="256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1460"/>
              <w:spacing w:after="0"/>
              <w:rPr>
                <w:sz w:val="20"/>
                <w:szCs w:val="20"/>
                <w:color w:val="auto"/>
              </w:rPr>
            </w:pPr>
            <w:r>
              <w:rPr>
                <w:rFonts w:ascii="Arial" w:cs="Arial" w:eastAsia="Arial" w:hAnsi="Arial"/>
                <w:sz w:val="18"/>
                <w:szCs w:val="18"/>
                <w:color w:val="auto"/>
              </w:rPr>
              <w:t>4</w:t>
            </w:r>
          </w:p>
        </w:tc>
        <w:tc>
          <w:tcPr>
            <w:tcW w:w="2360" w:type="dxa"/>
            <w:vAlign w:val="bottom"/>
            <w:tcBorders>
              <w:top w:val="single" w:sz="8" w:color="auto"/>
            </w:tcBorders>
          </w:tcPr>
          <w:p>
            <w:pPr>
              <w:spacing w:after="0"/>
              <w:rPr>
                <w:sz w:val="24"/>
                <w:szCs w:val="24"/>
                <w:color w:val="auto"/>
              </w:rPr>
            </w:pPr>
          </w:p>
        </w:tc>
      </w:tr>
    </w:tbl>
    <w:p>
      <w:pPr>
        <w:sectPr>
          <w:pgSz w:w="11900" w:h="16838" w:orient="portrait"/>
          <w:cols w:equalWidth="0" w:num="1">
            <w:col w:w="11000"/>
          </w:cols>
          <w:pgMar w:left="440" w:top="841" w:right="459" w:bottom="1440" w:gutter="0" w:footer="0" w:header="0"/>
        </w:sectPr>
      </w:pPr>
    </w:p>
    <w:bookmarkStart w:id="7" w:name="page8"/>
    <w:bookmarkEnd w:id="7"/>
    <w:p>
      <w:pPr>
        <w:jc w:val="cente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543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428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151"/>
              <w:spacing w:after="0" w:line="119" w:lineRule="exact"/>
              <w:rPr>
                <w:sz w:val="20"/>
                <w:szCs w:val="20"/>
                <w:color w:val="auto"/>
              </w:rPr>
            </w:pPr>
            <w:r>
              <w:rPr>
                <w:rFonts w:ascii="Arial" w:cs="Arial" w:eastAsia="Arial" w:hAnsi="Arial"/>
                <w:sz w:val="13"/>
                <w:szCs w:val="13"/>
                <w:b w:val="1"/>
                <w:bCs w:val="1"/>
                <w:color w:val="auto"/>
              </w:rPr>
              <w:t>December 31,</w:t>
            </w:r>
          </w:p>
        </w:tc>
        <w:tc>
          <w:tcPr>
            <w:tcW w:w="154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September 30,</w:t>
            </w:r>
          </w:p>
        </w:tc>
        <w:tc>
          <w:tcPr>
            <w:tcW w:w="10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271"/>
              <w:spacing w:after="0" w:line="119" w:lineRule="exact"/>
              <w:rPr>
                <w:sz w:val="20"/>
                <w:szCs w:val="20"/>
                <w:color w:val="auto"/>
              </w:rPr>
            </w:pPr>
            <w:r>
              <w:rPr>
                <w:rFonts w:ascii="Arial" w:cs="Arial" w:eastAsia="Arial" w:hAnsi="Arial"/>
                <w:sz w:val="13"/>
                <w:szCs w:val="13"/>
                <w:b w:val="1"/>
                <w:bCs w:val="1"/>
                <w:color w:val="auto"/>
              </w:rPr>
              <w:t>December 31,</w:t>
            </w:r>
          </w:p>
        </w:tc>
        <w:tc>
          <w:tcPr>
            <w:tcW w:w="10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1160" w:type="dxa"/>
            <w:vAlign w:val="bottom"/>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129,566</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116,262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113,304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465,519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484,847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13,379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8,551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10,048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41,540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35,824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142,945</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124,813</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123,352</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507,059</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520,671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92,503</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87,494</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82,807</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338,420</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368,450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11,981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8,731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10,048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40,322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35,824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cost of sales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104,484</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96,225</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92,855</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378,742</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404,274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38,461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28,588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30,497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128,317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116,397</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12,576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12,888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13,778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49,974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11,604</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12,477</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10,975</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45,698</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45,024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and other charges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5,075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5,629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29,255</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25,365</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101,301</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92,672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9,206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3,223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5,691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27,016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23,725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(1,625)</w:t>
            </w:r>
          </w:p>
        </w:tc>
        <w:tc>
          <w:tcPr>
            <w:tcW w:w="38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(5,485)</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18"/>
                <w:szCs w:val="18"/>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(18,147)</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(22,157)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13,256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8,864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21,850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(22,316)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Loss on early extinguishment of borrowings, net</w:t>
            </w:r>
          </w:p>
        </w:tc>
        <w:tc>
          <w:tcPr>
            <w:tcW w:w="10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(766)</w:t>
            </w:r>
          </w:p>
        </w:tc>
        <w:tc>
          <w:tcPr>
            <w:tcW w:w="380" w:type="dxa"/>
            <w:vAlign w:val="bottom"/>
          </w:tcPr>
          <w:p>
            <w:pPr>
              <w:spacing w:after="0"/>
              <w:rPr>
                <w:sz w:val="18"/>
                <w:szCs w:val="18"/>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767</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3,110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20,838</w:t>
            </w:r>
          </w:p>
        </w:tc>
        <w:tc>
          <w:tcPr>
            <w:tcW w:w="380" w:type="dxa"/>
            <w:vAlign w:val="bottom"/>
          </w:tcPr>
          <w:p>
            <w:pPr>
              <w:spacing w:after="0"/>
              <w:rPr>
                <w:sz w:val="20"/>
                <w:szCs w:val="20"/>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7,316</w:t>
            </w:r>
          </w:p>
        </w:tc>
        <w:tc>
          <w:tcPr>
            <w:tcW w:w="2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22,760</w:t>
            </w:r>
          </w:p>
        </w:tc>
        <w:tc>
          <w:tcPr>
            <w:tcW w:w="100" w:type="dxa"/>
            <w:vAlign w:val="bottom"/>
          </w:tcPr>
          <w:p>
            <w:pPr>
              <w:spacing w:after="0"/>
              <w:rPr>
                <w:sz w:val="20"/>
                <w:szCs w:val="20"/>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10,831</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(18,213)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(47,064)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(46,228)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67,902</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8,461</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23,876</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57,059</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(20,413)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discontinued operations, net of tax</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(1,321)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264,501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287,906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66,581</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272,962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344,965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(21,826)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1.91</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0.24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1.87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7.74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9.80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1.47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0.21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1.45</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5.89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7.54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w w:val="88"/>
              </w:rPr>
              <w:t>35,582,966</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w w:val="88"/>
              </w:rPr>
              <w:t>35,280,864</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34,542,415</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w w:val="86"/>
              </w:rPr>
              <w:t>35,213,525</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34,321,888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8"/>
              </w:rPr>
              <w:t>47,062,903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8"/>
              </w:rPr>
              <w:t>46,581,788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46,078,768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6"/>
              </w:rPr>
              <w:t>46,503,586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34,321,888</w:t>
            </w:r>
          </w:p>
        </w:tc>
      </w:tr>
      <w:tr>
        <w:trPr>
          <w:trHeight w:val="365"/>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837" w:right="439" w:bottom="1440" w:gutter="0" w:footer="0" w:header="0"/>
        </w:sectPr>
      </w:pPr>
    </w:p>
    <w:bookmarkStart w:id="8" w:name="page9"/>
    <w:bookmarkEnd w:id="8"/>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543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279,940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64,390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4,338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Hedge collateral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Current assets held for sale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409,610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96,383</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2,727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44,541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Non-current assets held for sale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123,434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571,690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595,328</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52,164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40,376</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2,531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16,241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44,799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12,398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2,210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borrowings,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83,479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4,595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37,040</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173,618</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40,462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51,181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9,588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held for sale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110,881</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226,090</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150,000,000 shares authorized, 44,943,854 shares issued and 35,783,347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outstanding at December 31, 2020 and 43,851,991 shares issued and 34,800,312 outstanding at December 31, 2019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163,010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152,404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286,834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(58,131)</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w w:val="93"/>
              </w:rPr>
              <w:t>Treasury stock, 9,160,507 shares at December 31, 2020 and 9,051,679 shares at December 31, 2019, respectively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(108,397)</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(107,033)</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3,703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345,600</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571,690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595,328</w:t>
            </w:r>
          </w:p>
        </w:tc>
        <w:tc>
          <w:tcPr>
            <w:tcW w:w="0" w:type="dxa"/>
            <w:vAlign w:val="bottom"/>
          </w:tcPr>
          <w:p>
            <w:pPr>
              <w:spacing w:after="0"/>
              <w:rPr>
                <w:sz w:val="1"/>
                <w:szCs w:val="1"/>
                <w:color w:val="auto"/>
              </w:rPr>
            </w:pPr>
          </w:p>
        </w:tc>
      </w:tr>
      <w:tr>
        <w:trPr>
          <w:trHeight w:val="20"/>
        </w:trPr>
        <w:tc>
          <w:tcPr>
            <w:tcW w:w="864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837"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543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40" w:type="dxa"/>
            <w:vAlign w:val="bottom"/>
            <w:gridSpan w:val="2"/>
          </w:tcPr>
          <w:p>
            <w:pPr>
              <w:ind w:left="62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51"/>
              <w:spacing w:after="0" w:line="119" w:lineRule="exact"/>
              <w:rPr>
                <w:sz w:val="20"/>
                <w:szCs w:val="20"/>
                <w:color w:val="auto"/>
              </w:rPr>
            </w:pPr>
            <w:r>
              <w:rPr>
                <w:rFonts w:ascii="Arial" w:cs="Arial" w:eastAsia="Arial" w:hAnsi="Arial"/>
                <w:sz w:val="13"/>
                <w:szCs w:val="13"/>
                <w:b w:val="1"/>
                <w:bCs w:val="1"/>
                <w:color w:val="auto"/>
              </w:rPr>
              <w:t>December 31,</w:t>
            </w:r>
          </w:p>
        </w:tc>
        <w:tc>
          <w:tcPr>
            <w:tcW w:w="560" w:type="dxa"/>
            <w:vAlign w:val="bottom"/>
          </w:tcPr>
          <w:p>
            <w:pPr>
              <w:spacing w:after="0"/>
              <w:rPr>
                <w:sz w:val="10"/>
                <w:szCs w:val="10"/>
                <w:color w:val="auto"/>
              </w:rPr>
            </w:pPr>
          </w:p>
        </w:tc>
        <w:tc>
          <w:tcPr>
            <w:tcW w:w="11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tcBorders>
              <w:top w:val="single" w:sz="8" w:color="auto"/>
            </w:tcBorders>
            <w:gridSpan w:val="2"/>
          </w:tcPr>
          <w:p>
            <w:pPr>
              <w:ind w:left="2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660" w:type="dxa"/>
            <w:vAlign w:val="bottom"/>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66,581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344,965</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(21,826)</w:t>
            </w:r>
          </w:p>
        </w:tc>
      </w:tr>
      <w:tr>
        <w:trPr>
          <w:trHeight w:val="202"/>
        </w:trPr>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(used in) by operating</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3,148</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16,481</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32,729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severance benefits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2,593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16,743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2,220</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2,299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(gain) on foreign currency,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(29,842)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(23,233)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24,692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3,502</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3,502</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3,598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inventory reserves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3,695</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6,699</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6,952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borrowings,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766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w w:val="95"/>
              </w:rPr>
              <w:t>(287,117)</w:t>
            </w:r>
          </w:p>
        </w:tc>
        <w:tc>
          <w:tcPr>
            <w:tcW w:w="4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(2,685)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(19,268)</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(19,824)</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Unbilled accounts receivable,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14,260</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19,274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(816)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6,954</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(6,200)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(44,440)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(44,441)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4,418</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13,561</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11,984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8,626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3,960</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accounts payable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(3,966)</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(12,000)</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(8,518)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(30,747)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(28,756)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10,825</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2,174</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(4,727)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3,521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Contributions to severance insurance deposit accounts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(11,885)</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(11,921)</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(2,262)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Payment of severance benefits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(6,188)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(12,076)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Others,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(3,820)</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(3,724)</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(44,071)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7,470</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50,497</w:t>
            </w: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settlement of hedge collateral</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5,733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13,762</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13,583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Payment of hedge collateral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(8,839)</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(17,833)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(19,747)</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(36,100)</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(22,955)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Payment for intellectual property registration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(741)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Collection of guarantee deposits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Payment of guarantee deposits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(1,236)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Proceeds from sale of discontinued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350,553</w:t>
            </w:r>
          </w:p>
        </w:tc>
        <w:tc>
          <w:tcPr>
            <w:tcW w:w="4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(15,548)</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318,482</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(28,897)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Repurchase of long-term borrowings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(224,250)</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w w:val="95"/>
              </w:rPr>
              <w:t>(224,250)</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3,918</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(1,125)</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(2,702)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(278)</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(223,383)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5"/>
              </w:rPr>
              <w:t>(222,281)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20,831</w:t>
            </w:r>
          </w:p>
        </w:tc>
        <w:tc>
          <w:tcPr>
            <w:tcW w:w="14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24,612</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(262,171)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128,283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19,219</w:t>
            </w: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542,111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151,657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132,438</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End of the period</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279,940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279,940</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151,657</w:t>
            </w:r>
          </w:p>
        </w:tc>
      </w:tr>
      <w:tr>
        <w:trPr>
          <w:trHeight w:val="350"/>
        </w:trPr>
        <w:tc>
          <w:tcPr>
            <w:tcW w:w="6500" w:type="dxa"/>
            <w:vAlign w:val="bottom"/>
          </w:tcPr>
          <w:p>
            <w:pPr>
              <w:ind w:left="54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837"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183515</wp:posOffset>
            </wp:positionV>
            <wp:extent cx="1311275"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606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OPERATING INCOME TO ADJUSTED OPERATING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080" w:type="dxa"/>
            <w:vAlign w:val="bottom"/>
          </w:tcPr>
          <w:p>
            <w:pPr>
              <w:spacing w:after="0"/>
              <w:rPr>
                <w:sz w:val="10"/>
                <w:szCs w:val="10"/>
                <w:color w:val="auto"/>
              </w:rPr>
            </w:pPr>
          </w:p>
        </w:tc>
        <w:tc>
          <w:tcPr>
            <w:tcW w:w="9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500" w:type="dxa"/>
            <w:vAlign w:val="bottom"/>
            <w:gridSpan w:val="2"/>
          </w:tcPr>
          <w:p>
            <w:pPr>
              <w:jc w:val="right"/>
              <w:ind w:right="212"/>
              <w:spacing w:after="0" w:line="119" w:lineRule="exact"/>
              <w:rPr>
                <w:sz w:val="20"/>
                <w:szCs w:val="20"/>
                <w:color w:val="auto"/>
              </w:rPr>
            </w:pPr>
            <w:r>
              <w:rPr>
                <w:rFonts w:ascii="Arial" w:cs="Arial" w:eastAsia="Arial" w:hAnsi="Arial"/>
                <w:sz w:val="13"/>
                <w:szCs w:val="13"/>
                <w:b w:val="1"/>
                <w:bCs w:val="1"/>
                <w:color w:val="auto"/>
              </w:rPr>
              <w:t>September 30,</w:t>
            </w:r>
          </w:p>
        </w:tc>
        <w:tc>
          <w:tcPr>
            <w:tcW w:w="9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0" w:type="dxa"/>
            <w:vAlign w:val="bottom"/>
          </w:tcPr>
          <w:p>
            <w:pPr>
              <w:spacing w:after="0"/>
              <w:rPr>
                <w:sz w:val="10"/>
                <w:szCs w:val="10"/>
                <w:color w:val="auto"/>
              </w:rPr>
            </w:pPr>
          </w:p>
        </w:tc>
        <w:tc>
          <w:tcPr>
            <w:tcW w:w="10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4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9,206</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3,223</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27,016</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23,725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1,945</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2,101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6,311</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Early termination and other charges</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5,075</w:t>
            </w:r>
          </w:p>
        </w:tc>
        <w:tc>
          <w:tcPr>
            <w:tcW w:w="500" w:type="dxa"/>
            <w:vAlign w:val="bottom"/>
          </w:tcPr>
          <w:p>
            <w:pPr>
              <w:spacing w:after="0"/>
              <w:rPr>
                <w:sz w:val="18"/>
                <w:szCs w:val="18"/>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5,629</w:t>
            </w:r>
          </w:p>
        </w:tc>
        <w:tc>
          <w:tcPr>
            <w:tcW w:w="4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Inventory reserve related to Huawei impact of downstream trade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restrictions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2,331</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1,460</w:t>
            </w:r>
          </w:p>
        </w:tc>
        <w:tc>
          <w:tcPr>
            <w:tcW w:w="4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Expenses related to Fab 3 power outage</w:t>
            </w:r>
          </w:p>
        </w:tc>
        <w:tc>
          <w:tcPr>
            <w:tcW w:w="1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1,168</w:t>
            </w:r>
          </w:p>
        </w:tc>
        <w:tc>
          <w:tcPr>
            <w:tcW w:w="4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15,355</w:t>
            </w: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8,823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10,136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41,584</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30,416</w:t>
            </w:r>
          </w:p>
        </w:tc>
      </w:tr>
    </w:tbl>
    <w:p>
      <w:pPr>
        <w:spacing w:after="0" w:line="187" w:lineRule="exact"/>
        <w:rPr>
          <w:sz w:val="20"/>
          <w:szCs w:val="20"/>
          <w:color w:val="auto"/>
        </w:rPr>
      </w:pPr>
    </w:p>
    <w:p>
      <w:pPr>
        <w:ind w:left="440" w:right="60"/>
        <w:spacing w:after="0" w:line="284" w:lineRule="auto"/>
        <w:rPr>
          <w:sz w:val="20"/>
          <w:szCs w:val="20"/>
          <w:color w:val="auto"/>
        </w:rPr>
      </w:pPr>
      <w:r>
        <w:rPr>
          <w:rFonts w:ascii="Arial" w:cs="Arial" w:eastAsia="Arial" w:hAnsi="Arial"/>
          <w:sz w:val="16"/>
          <w:szCs w:val="16"/>
          <w:color w:val="auto"/>
        </w:rPr>
        <w:t>We present Adjusted Operating Income as supplemental measures of our performance. We define Adjusted Operating Income for the periods indicated as operating income adjusted to exclude (i) Equity-based compensation expense, (ii) Early termination and other charges, (iii) Inventory reserve related to Huawei impact of downstream trade restrictions, (iv) Expenses related to Fab 3 power outage and (v) Others. For the year ended December 31, 2020, Early termination and other charges eliminate $5,629 thousand, of which $4,422 thousand related to the reduction of workforce under a voluntary resignation program and non-recurring professional service fees and expenses incurred in connection with certain treasury and finance initiatives. During the same period, inventory reserve related to Huawei eliminates a net charge of $1,460 thousand that we recorded in relation to the U.S. Government’s export restrictions on Huawei, and expenses related to Fab 3 power outage eliminate</w:t>
      </w:r>
    </w:p>
    <w:p>
      <w:pPr>
        <w:spacing w:after="0" w:line="2" w:lineRule="exact"/>
        <w:rPr>
          <w:sz w:val="20"/>
          <w:szCs w:val="20"/>
          <w:color w:val="auto"/>
        </w:rPr>
      </w:pPr>
    </w:p>
    <w:p>
      <w:pPr>
        <w:ind w:left="440" w:right="20"/>
        <w:spacing w:after="0" w:line="253" w:lineRule="auto"/>
        <w:rPr>
          <w:sz w:val="20"/>
          <w:szCs w:val="20"/>
          <w:color w:val="auto"/>
        </w:rPr>
      </w:pPr>
      <w:r>
        <w:rPr>
          <w:rFonts w:ascii="Arial" w:cs="Arial" w:eastAsia="Arial" w:hAnsi="Arial"/>
          <w:sz w:val="18"/>
          <w:szCs w:val="18"/>
          <w:color w:val="auto"/>
        </w:rPr>
        <w:t>$1,168 thousand related to the write-off of the damaged work in process wafers and charges for facility recovery. For the year ended December 31, 2019, others eliminates a $585 thousand legal settlement charge related to dispute with a prior customer and a legal expense related to the indemnification of a former employee, which was borne by us under a negotiated separation agreement during the three months ended March 31, 2019.</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837" w:right="4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183515</wp:posOffset>
            </wp:positionV>
            <wp:extent cx="1311275"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606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4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2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191"/>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r>
      <w:tr>
        <w:trPr>
          <w:trHeight w:val="171"/>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67,902</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8,461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57,059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863</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4,875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4,675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15,404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19,451</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(47,064)</w:t>
            </w:r>
          </w:p>
        </w:tc>
        <w:tc>
          <w:tcPr>
            <w:tcW w:w="3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(46,228)</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2,200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3,148</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2,854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11,116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EBITDA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24,849</w:t>
            </w:r>
          </w:p>
        </w:tc>
        <w:tc>
          <w:tcPr>
            <w:tcW w:w="38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15,045</w:t>
            </w:r>
          </w:p>
        </w:tc>
        <w:tc>
          <w:tcPr>
            <w:tcW w:w="2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30,050</w:t>
            </w: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37,351</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11,556</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1,945</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2,101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4,392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6,311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6,053</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Early termination and other charges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5,075</w:t>
            </w:r>
          </w:p>
        </w:tc>
        <w:tc>
          <w:tcPr>
            <w:tcW w:w="38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5,629</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(8,864)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(21,850)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22,316</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Derivative valuation loss (gain),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borrowings,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766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766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02"/>
        </w:trPr>
        <w:tc>
          <w:tcPr>
            <w:tcW w:w="4260" w:type="dxa"/>
            <w:vAlign w:val="bottom"/>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260" w:type="dxa"/>
            <w:vAlign w:val="bottom"/>
          </w:tcPr>
          <w:p>
            <w:pPr>
              <w:ind w:left="540"/>
              <w:spacing w:after="0"/>
              <w:rPr>
                <w:sz w:val="20"/>
                <w:szCs w:val="20"/>
                <w:color w:val="auto"/>
              </w:rPr>
            </w:pPr>
            <w:r>
              <w:rPr>
                <w:rFonts w:ascii="Arial" w:cs="Arial" w:eastAsia="Arial" w:hAnsi="Arial"/>
                <w:sz w:val="18"/>
                <w:szCs w:val="18"/>
                <w:color w:val="auto"/>
              </w:rPr>
              <w:t>downstream trade restrictions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w:t>
            </w:r>
          </w:p>
        </w:tc>
        <w:tc>
          <w:tcPr>
            <w:tcW w:w="380" w:type="dxa"/>
            <w:vAlign w:val="bottom"/>
          </w:tcPr>
          <w:p>
            <w:pPr>
              <w:spacing w:after="0"/>
              <w:rPr>
                <w:sz w:val="20"/>
                <w:szCs w:val="20"/>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2,331</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1,460</w:t>
            </w:r>
          </w:p>
        </w:tc>
        <w:tc>
          <w:tcPr>
            <w:tcW w:w="2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18,582</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11,731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12,794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52,919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40,923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67,902</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8,461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23,876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57,059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(20,413)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1,945</w:t>
            </w:r>
          </w:p>
        </w:tc>
        <w:tc>
          <w:tcPr>
            <w:tcW w:w="38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2,101</w:t>
            </w:r>
          </w:p>
        </w:tc>
        <w:tc>
          <w:tcPr>
            <w:tcW w:w="2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6,311</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6,053</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and other charges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5,075</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5,629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(13,256)</w:t>
            </w:r>
          </w:p>
        </w:tc>
        <w:tc>
          <w:tcPr>
            <w:tcW w:w="3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(8,864)</w:t>
            </w:r>
          </w:p>
        </w:tc>
        <w:tc>
          <w:tcPr>
            <w:tcW w:w="2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(21,850)</w:t>
            </w: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22,316</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Loss on early extinguishment of borrowings,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766</w:t>
            </w:r>
          </w:p>
        </w:tc>
        <w:tc>
          <w:tcPr>
            <w:tcW w:w="38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766</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02"/>
        </w:trPr>
        <w:tc>
          <w:tcPr>
            <w:tcW w:w="4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downstream trade restrictions</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2,331</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1,460</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GAAP and cash tax expense difference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(43,874)</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(43,874)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Adjusted 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17,268</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5,147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6,620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28,260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8,954</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 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0.49</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0.40</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88"/>
              </w:rPr>
              <w:t>35,582,966</w:t>
            </w:r>
          </w:p>
        </w:tc>
        <w:tc>
          <w:tcPr>
            <w:tcW w:w="38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w w:val="88"/>
              </w:rPr>
              <w:t>35,280,864</w:t>
            </w:r>
          </w:p>
        </w:tc>
        <w:tc>
          <w:tcPr>
            <w:tcW w:w="2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34,542,415</w:t>
            </w: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w w:val="86"/>
              </w:rPr>
              <w:t>35,213,525</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34,321,888</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8"/>
              </w:rPr>
              <w:t>47,062,903</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8"/>
              </w:rPr>
              <w:t>46,581,788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46,078,768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46,503,586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35,405,077</w:t>
            </w:r>
          </w:p>
        </w:tc>
      </w:tr>
    </w:tbl>
    <w:p>
      <w:pPr>
        <w:spacing w:after="0" w:line="202" w:lineRule="exact"/>
        <w:rPr>
          <w:sz w:val="20"/>
          <w:szCs w:val="20"/>
          <w:color w:val="auto"/>
        </w:rPr>
      </w:pPr>
    </w:p>
    <w:p>
      <w:pPr>
        <w:jc w:val="both"/>
        <w:ind w:left="440" w:right="380"/>
        <w:spacing w:after="0" w:line="287"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Early termination and other charges, (iii) Foreign currency loss (gain), net, (iv) Derivative valuation loss (gain), net, (v) Loss on early extinguishment of borrowings, net,</w:t>
      </w:r>
    </w:p>
    <w:p>
      <w:pPr>
        <w:spacing w:after="0" w:line="2" w:lineRule="exact"/>
        <w:rPr>
          <w:sz w:val="20"/>
          <w:szCs w:val="20"/>
          <w:color w:val="auto"/>
        </w:rPr>
      </w:pPr>
    </w:p>
    <w:p>
      <w:pPr>
        <w:jc w:val="both"/>
        <w:ind w:left="440" w:right="200" w:hanging="4"/>
        <w:spacing w:after="0" w:line="281" w:lineRule="auto"/>
        <w:tabs>
          <w:tab w:leader="none" w:pos="74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Inventory reserve related to Huawei impact of downstream trade restrictions, (vii) Expenses related to Fab 3 power outage and (viii) Others. For the year ended December 31, 2020, Early termination and other charges eliminate $5,629 thousand, of which $4,422 thousand related to the reduction of workforce under a voluntary resignation program and non-recurring professional service fees and expenses incurred in connection with certain treasury and finance initiatives. During the same period, inventory reserve related to Huawei eliminates a net charge of</w:t>
      </w:r>
    </w:p>
    <w:p>
      <w:pPr>
        <w:spacing w:after="0" w:line="2" w:lineRule="exact"/>
        <w:rPr>
          <w:rFonts w:ascii="Arial" w:cs="Arial" w:eastAsia="Arial" w:hAnsi="Arial"/>
          <w:sz w:val="16"/>
          <w:szCs w:val="16"/>
          <w:color w:val="auto"/>
        </w:rPr>
      </w:pPr>
    </w:p>
    <w:p>
      <w:pPr>
        <w:ind w:left="440" w:right="80"/>
        <w:spacing w:after="0" w:line="253" w:lineRule="auto"/>
        <w:rPr>
          <w:rFonts w:ascii="Arial" w:cs="Arial" w:eastAsia="Arial" w:hAnsi="Arial"/>
          <w:sz w:val="16"/>
          <w:szCs w:val="16"/>
          <w:color w:val="auto"/>
        </w:rPr>
      </w:pPr>
      <w:r>
        <w:rPr>
          <w:rFonts w:ascii="Arial" w:cs="Arial" w:eastAsia="Arial" w:hAnsi="Arial"/>
          <w:sz w:val="18"/>
          <w:szCs w:val="18"/>
          <w:color w:val="auto"/>
        </w:rPr>
        <w:t>$1,460 thousand that we recorded in relation to the U.S. Government’s export restrictions on Huawei, and expenses related to Fab 3 power outage eliminate $1,168 thousand related to the write-off of the damaged work in process wafers and charges for facility recovery. For the year ended December 31, 2019, others eliminates a $585 thousand legal settlement charge related to dispute with a prior customer and a legal expense related to the indemnification of a former employee, which was borne by us under a negotiated separation agreement during the three months ended March 31, 2019.</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837" w:right="439" w:bottom="1440" w:gutter="0" w:footer="0" w:header="0"/>
        </w:sectPr>
      </w:pPr>
    </w:p>
    <w:bookmarkStart w:id="12" w:name="page13"/>
    <w:bookmarkEnd w:id="12"/>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183515</wp:posOffset>
            </wp:positionV>
            <wp:extent cx="1311275"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66065"/>
                    </a:xfrm>
                    <a:prstGeom prst="rect">
                      <a:avLst/>
                    </a:prstGeom>
                    <a:noFill/>
                  </pic:spPr>
                </pic:pic>
              </a:graphicData>
            </a:graphic>
          </wp:anchor>
        </w:drawing>
        <w:t>EBITDA for the periods indicated is defined as Income (loss) from continuing operations before interest expense, net, income tax expense (benefit) and depreciation and amortization. We prepare Adjusted Net Income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income (loss) from continuing operations, adjusted to exclude</w:t>
      </w:r>
    </w:p>
    <w:p>
      <w:pPr>
        <w:spacing w:after="0" w:line="2" w:lineRule="exact"/>
        <w:rPr>
          <w:sz w:val="20"/>
          <w:szCs w:val="20"/>
          <w:color w:val="auto"/>
        </w:rPr>
      </w:pPr>
    </w:p>
    <w:p>
      <w:pPr>
        <w:ind w:left="4" w:right="300" w:hanging="4"/>
        <w:spacing w:after="0" w:line="281" w:lineRule="auto"/>
        <w:tabs>
          <w:tab w:leader="none" w:pos="219" w:val="left"/>
        </w:tabs>
        <w:numPr>
          <w:ilvl w:val="0"/>
          <w:numId w:val="8"/>
        </w:numPr>
        <w:rPr>
          <w:rFonts w:ascii="Arial" w:cs="Arial" w:eastAsia="Arial" w:hAnsi="Arial"/>
          <w:sz w:val="16"/>
          <w:szCs w:val="16"/>
          <w:color w:val="auto"/>
        </w:rPr>
      </w:pPr>
      <w:r>
        <w:rPr>
          <w:rFonts w:ascii="Arial" w:cs="Arial" w:eastAsia="Arial" w:hAnsi="Arial"/>
          <w:sz w:val="16"/>
          <w:szCs w:val="16"/>
          <w:color w:val="auto"/>
        </w:rPr>
        <w:t>Equity-based compensation expense, (ii) Early termination and other charges, (iii) Foreign currency loss (gain), net, (iv) Derivative valuation loss (gain), net, (v) Loss on early extinguishment of borrowings, net, (vi) Inventory reserve related to Huawei impact of downstream trade restrictions,</w:t>
      </w:r>
    </w:p>
    <w:p>
      <w:pPr>
        <w:spacing w:after="0" w:line="1" w:lineRule="exact"/>
        <w:rPr>
          <w:rFonts w:ascii="Arial" w:cs="Arial" w:eastAsia="Arial" w:hAnsi="Arial"/>
          <w:sz w:val="16"/>
          <w:szCs w:val="16"/>
          <w:color w:val="auto"/>
        </w:rPr>
      </w:pPr>
    </w:p>
    <w:p>
      <w:pPr>
        <w:ind w:left="4" w:hanging="4"/>
        <w:spacing w:after="0" w:line="287" w:lineRule="auto"/>
        <w:tabs>
          <w:tab w:leader="none" w:pos="35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Expenses related to Fab 3 power outage, (viii) GAAP and cash tax expense difference, (ix) Others and (x) Income tax effect on non-GAAP adjustments. For the year ended December 31, 2020, Early termination and other charges eliminate $5,629 thousand, of which $4,422 thousand related to the reduction of workforce under a voluntary resignation program and non-recurring professional service fees and expenses incurred in connection with certain treasury and finance initiatives. During the same period, inventory reserve related to Huawei eliminates a net charge of $1,460 thousand that we recorded in relation to the U.S. Government’s export restrictions on Huawei, and expenses related to Fab 3 power outage eliminate $1,168 thousand related to the write-off of the damaged work in process wafers and charges for facility recovery. For the year ended December 31, 2019, others eliminates a $585 thousand legal settlement charge related to dispute with a prior customer and a legal expense related to the indemnification of a former employee, which was borne by us under a negotiated separation agreement during the three months ended March 31, 2019.</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sectPr>
      <w:pgSz w:w="11900" w:h="16838" w:orient="portrait"/>
      <w:cols w:equalWidth="0" w:num="1">
        <w:col w:w="11004"/>
      </w:cols>
      <w:pgMar w:left="436" w:top="8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6"/>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2021-02-17T15:08:04Z</dcterms:created>
  <dcterms:modified xsi:type="dcterms:W3CDTF">2021-02-17T15:08:04Z</dcterms:modified>
</cp:coreProperties>
</file>