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February 19, 2020, MagnaChip Semiconductor Corporation (the “Company”) issued a press release announcing the Company’s results for the fourth quarter and full year ended December 31, 2019 (the “Q4 2019 Earnings Release”). For the avoidance of doubt, in the Q4 2019 Earnings Release under the heading “Strategic Evaluation Process”, the Company was referring to the previously disclosed strategic evaluation process involving a possible sale of the Company’s Foundry business and Fab 4 or accretive business conversions or other options related to that business.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disclosed under this Item 7.01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Dated: February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2020-02-20T05:27:08Z</dcterms:created>
  <dcterms:modified xsi:type="dcterms:W3CDTF">2020-02-20T05:27:08Z</dcterms:modified>
</cp:coreProperties>
</file>