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October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20" w:space="720"/>
            <w:col w:w="2860" w:space="720"/>
            <w:col w:w="1960"/>
          </w:cols>
          <w:pgMar w:left="440" w:top="368" w:right="67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4"/>
          <w:szCs w:val="14"/>
          <w:b w:val="1"/>
          <w:bCs w:val="1"/>
          <w:color w:val="auto"/>
        </w:rPr>
        <w:t>(IRS Employer</w:t>
      </w:r>
    </w:p>
    <w:p>
      <w:pPr>
        <w:jc w:val="center"/>
        <w:ind w:right="9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8" w:right="679" w:bottom="1440" w:gutter="0" w:footer="0" w:header="0"/>
          <w:type w:val="continuous"/>
        </w:sectPr>
      </w:pPr>
    </w:p>
    <w:p>
      <w:pPr>
        <w:spacing w:after="0" w:line="19"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60" w:space="720"/>
            <w:col w:w="3000"/>
          </w:cols>
          <w:pgMar w:left="440" w:top="368" w:right="67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2760"/>
          </w:cols>
          <w:pgMar w:left="440" w:top="368" w:right="67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New Employment Agreements – Theodore Kim and Woung Moo Lee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Overview and Terms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the holistic review of our compensation programs conducted by the Compensation Committee of our Board of Directors throughout 2017, on October 22, 2018, we entered into a new employment agreement (each, an “Employment Agreement” and, collectively, the “Employment Agreements”) with each of the following two officers of MagnaChip Semiconductor Corporation (“Parent”) and MagnaChip Semiconductor Ltd., Parent’s Korean subsidiary (together with any of its affiliates as may employ such officers from time to time, and Parent, the “Company”): (a) Theodore Kim, our Chief Compliance Officer, Executive Vice President, General Counsel and Secretary and (b) Woung Moo Lee, our Executive Vice President and General Manager, Standard Products Group. The Employment Agreements further align Messrs. Kim and Lee’s interests with those of our shareholders by establishing an equity grant program that serves to (i) gradually increase each officer’s potential stock ownership and (ii) balance short-term operational goals with long-term shareholder return. The Employment Agreements also reflect certain changes to Messrs. Kim and Lee’s prior employment terms to bring them within market practices, including the removal or modification of certain provisions that were determined to no longer be appropriate or desirable.</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Employment Agreements provide for an annual base salary of $330,000 for Mr. Kim and KRW350,000,000 for Mr. Lee and an opportunity to earn an annual bonus under the terms of the Company’s Profit Sharing Plan as are then in effect in amounts determined by our Board of Directors based on the achievement of performance goals. Messrs. Kim and Lee are eligible to participate in the Company’s benefit programs as in effect from time to time (which will include tax equalization payments for Mr. Kim for each taxable year in an amount equal to the amount necessary to put Mr. Kim in the same after-tax position that he would been in if Mr. Kim had been subject to only United States federal, state, and local income taxes).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his Employment Agreement, Mr.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as defined in his Employment Agreement), he is entitled to receive (i) 12 months of continued base salary (as then in effect or in effect prior to any diminution constituting Good Reason) (the “Salary Payment”), (ii) a pro rata bonus based on actual performance (if such termination occurs after June 30 of the year of termination), (iii) a lump sum payment equal to the cost of 12 months of Company-paid insurance premiums (the “Insurance Payment”), (iv) 90 days’ continuation of Mr. Kim’s expatriate benefits, and (v) to the extent that Mr. Kim is eligible to receive such payments as part of his expatriate benefits, a repatriation allowance in the amount of one months’ base salary and certain repatriation expenses as described in his Employment Agreement. Further, Mr. Kim will vest in full in all equity awards granted prior to January 1, 2018, and will vest in pro rata portions of all equity grants made on or after January 1, 2018, as more fully described in his Employment Agreement.</w:t>
      </w:r>
    </w:p>
    <w:p>
      <w:pPr>
        <w:sectPr>
          <w:pgSz w:w="11900" w:h="16838" w:orient="portrait"/>
          <w:cols w:equalWidth="0" w:num="1">
            <w:col w:w="11020"/>
          </w:cols>
          <w:pgMar w:left="440" w:top="270" w:right="4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during a period of time that (x) the Company is party to a definitive corporate transaction agreement the consummation of which would result in a Change in Control or (y) is within 18 months following a Change in Control, Mr. Kim’s employment is terminated by the Company without Cause or by Mr. Kim for Good Reason, then Mr. Kim will be entitled to the severance payments described above, provided that the Salary Payment instead will equal the sum of (xx) one and one-half times the Mr. Kim’s base salary (as then in effect or in effect prior to any diminution implicating Good Reason) and (yy) if the Date of Termination occurs after June 30th of the calendar year in which the Date of Termination occurs, an amount equal to an additional month of base salary for each month that has passed since July 1st through the Date of Termination (rounding up for any partial months), all of which will be payable in a lump sum on the sixtieth (60th) day following the Date of Termination. Further, Mr. Kim will vest in full in all equity awards granted prior to January 1, 2018 and in the time-based restricted stock units and PSUs (as defined below) granted or to be granted to Mr. Kim as described below.</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Kim’s right to receive any Change in Control or other severance payments provided in his Employment Agreement is subject to his execution of a release of claims against us and his compliance with certain restrictive covenants.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initial term of employment under Mr. Kim’s Employment Agreement is for three years, unless earlier terminated. At the end of the initial term, the term of Mr. Kim’s Employment Agreement will automatically be extended for successive one year periods unless notice of non-extension of the term of the Employment Agreement is provided by Mr. Kim or the Company. In the event Mr. Kim’s employment terminates at the expiration of the term of the Employment Agreement after the Company has provided notice of non-extension of the term, such termination will be treated as a termination without cause and the Salary Payment and the Insurance Payment will be reduced from 12 months to six months (unless such non-renewal is during a period of time when the Company is party to a definitive corporate transaction agreement the consummation of which would result in a Change in Control or is within 18 months following a Change in Control).</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his Employment Agreement, Mr. Lee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as defined in his Employment Agreement), he is entitled to receive (i) the Salary Payment, and (ii) a pro rata bonus based on actual performance (if such termination occurs after June 30 of the year of termination). Further, Mr. Lee will vest in full in all equity awards granted prior to January 1, 2018, and will vest in pro rata portions of all equity grants made on or after the January 1, 2018, as more fully described in his Employment Agreement.</w:t>
      </w:r>
    </w:p>
    <w:p>
      <w:pPr>
        <w:sectPr>
          <w:pgSz w:w="11900" w:h="16838" w:orient="portrait"/>
          <w:cols w:equalWidth="0" w:num="1">
            <w:col w:w="10980"/>
          </w:cols>
          <w:pgMar w:left="440" w:top="274" w:right="47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during a period of time that (x) the Company is party to a definitive corporate transaction agreement the consummation of which would result in a Change in Control or (y) is within 18 months following a Change in Control, Mr. Lee’s employment is terminated by the Company without Cause or by Mr. Lee for Good Reason, then Mr. Lee will be entitled to the severance payments described above, provided that the Salary Payment instead will equal one and one-half times Mr. Lee’s base salary (as then in effect or in effect prior to any diminution implicating Good Reason), payable over 12 months beginning on the sixtieth (60th) day following the Date of Termination. Further, Mr. Lee will vest in full in all equity awards granted prior to January 1, 2018 and in the time-based restricted stock units and PSUs granted or to be granted to Mr. Lee as described below.</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Lee’s right to receive any Change in Control or other severance payments provided in his Employment Agreement is subject to his execution of a release of claims against us and his compliance with certain restrictive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Lee’s Employment Agreement will remain in effect until terminated as provided under the terms of his Employment Agreement.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Employment Agreements contain customary non-competition, non-solicitation and confidentiality provisions. To the extent required by applicable law and/or the rules and regulations of any securities exchange or inter-dealer quotation service on which equity of the Company or Parent is listed or quoted, or if so required pursuant to a written policy adopted by the Company or Parent, payments under the Employment Agreements or in respect of Company or Parent equity incentive awards shall be subject (including on a retroactive basis) to clawback, forfeiture or similar requirements. The Employment Agreements also provide that Messrs. Kim and Lee will be subject to any stock ownership guidelines and holding requirements as may be implemented by our Board of Directors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Grants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his entry into his Employment Agreement, on October 22, 2018, Mr. Kim was granted 30,000 time-based restricted stock units that generally vest in specified tranches over three years, subject to his continued employment on such dates.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October 22, 2018, Mr. Kim was granted 8,000 (assuming achievement at target performance level) performance-based restricted stock units (“PSUs”), eligible to vest based on certain annual operations plan goals during the period from January 1, 2018 through December 31, 2018 (“AOP PSUs”), which at maximum achievement, would constitute an award equal to 9,320 AOP PSUs.</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October 22, 2018, Mr. Kim was granted 6,000 (assuming achievement at target performance level) relative total shareholder return-based PSUs eligible to vest based on the Company’s total shareholder return relative to the S&amp;P Semiconductor Index during the period from January 1, 2018 through December 31, 2020, with payouts ranging from 0 to 200% of the target amount (“TSR PSUs”), which at maximum achievement, would constitute an award equal to 12,000 TSR PSUs.</w:t>
      </w:r>
    </w:p>
    <w:p>
      <w:pPr>
        <w:sectPr>
          <w:pgSz w:w="11900" w:h="16838" w:orient="portrait"/>
          <w:cols w:equalWidth="0" w:num="1">
            <w:col w:w="10940"/>
          </w:cols>
          <w:pgMar w:left="440" w:top="274" w:right="519" w:bottom="1440" w:gutter="0" w:footer="0" w:header="0"/>
        </w:sectPr>
      </w:pPr>
    </w:p>
    <w:bookmarkStart w:id="4" w:name="page5"/>
    <w:bookmarkEnd w:id="4"/>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Kim’s Employment Agreement also provides that, subject to his continued employment with the Company, Mr. Kim will be granted the following AOP PSUs in 2019 and 2020 that are generally subject to the same terms as Mr. Kim’s 2018 grants, within 60 days following January 1 of 2019 and 2020, respectively:</w:t>
      </w:r>
    </w:p>
    <w:p>
      <w:pPr>
        <w:spacing w:after="0" w:line="87" w:lineRule="exact"/>
        <w:rPr>
          <w:sz w:val="20"/>
          <w:szCs w:val="20"/>
          <w:color w:val="auto"/>
        </w:rPr>
      </w:pPr>
    </w:p>
    <w:p>
      <w:pPr>
        <w:ind w:left="860" w:right="12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2019, an award of AOP PSUs based on certain annual operations plan goals during the period from January 1, 2019 through December 31, 2019 with an overall target-level award equal to 8,000 AOP PSUs, and at maximum achievement, an award equal to 12,000 AOP PSUs, subject to adjustment as provided by the award agreement.</w:t>
      </w:r>
    </w:p>
    <w:p>
      <w:pPr>
        <w:spacing w:after="0" w:line="86" w:lineRule="exact"/>
        <w:rPr>
          <w:rFonts w:ascii="Arial" w:cs="Arial" w:eastAsia="Arial" w:hAnsi="Arial"/>
          <w:sz w:val="18"/>
          <w:szCs w:val="18"/>
          <w:color w:val="auto"/>
        </w:rPr>
      </w:pPr>
    </w:p>
    <w:p>
      <w:pPr>
        <w:ind w:left="860" w:right="12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2020, an award of AOP PSUs based on certain annual operations plan goals during the period from January 1, 2020 through December 31, 2020 with an overall target-level award equal to 8,000 AOP PSUs, and at maximum achievement, an award equal to 12,000 AOP PSUs, subject to adjustment as provided by the award agreement.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Mr. Lee’s entry into his Employment Agreement, on October 22, 2018, Mr. Lee was granted 35,000 time-based restricted stock units that generally vest in specified tranches over three years, subject to his continued employment on such dates.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October 22, 2018, Mr. Lee was granted 9,333 AOP PSUs (assuming achievement at target performance level), which at maximum achievement, would constitute an award equal to 10,873 AOP PSUs.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October 22, 2018, Mr. Lee was granted 7,000 (assuming achievement at target performance level) TSR PSUs, which at maximum achievement, would constitute an award equal to 14,000 TSR PSUs.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Lee’s Employment Agreement also provides that, subject to his continued employment with the Company, Mr. Lee will receive the following AOP PSU grants in 2019 and 2020 that are generally subject to the same terms as Mr. Lee’s 2018 grants, within 60 days following January 1 of 2019 and 2020, respectively:</w:t>
      </w:r>
    </w:p>
    <w:p>
      <w:pPr>
        <w:spacing w:after="0" w:line="87" w:lineRule="exact"/>
        <w:rPr>
          <w:sz w:val="20"/>
          <w:szCs w:val="20"/>
          <w:color w:val="auto"/>
        </w:rPr>
      </w:pPr>
    </w:p>
    <w:p>
      <w:pPr>
        <w:ind w:left="860" w:right="12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2019, an award of AOP PSUs based on certain annual operations plan goals during the period from January 1, 2019 through December 31, 2019 with an overall target-level award equal to 9,333 AOP PSUs, and at maximum achievement, an award equal to 14,000 AOP PSUs, subject to adjustment as provided by the award agreement.</w:t>
      </w:r>
    </w:p>
    <w:p>
      <w:pPr>
        <w:spacing w:after="0" w:line="86" w:lineRule="exact"/>
        <w:rPr>
          <w:rFonts w:ascii="Arial" w:cs="Arial" w:eastAsia="Arial" w:hAnsi="Arial"/>
          <w:sz w:val="18"/>
          <w:szCs w:val="18"/>
          <w:color w:val="auto"/>
        </w:rPr>
      </w:pPr>
    </w:p>
    <w:p>
      <w:pPr>
        <w:ind w:left="860" w:right="12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2020, an award of AOP PSUs based on certain annual operations plan goals during the period from January 1, 2020 through December 31, 2020 with an overall target-level award equal to 9,333 AOP PSUs, and at maximum achievement, an award equal to 14,000 AOP PSUs, subject to adjustment as provided by the award agreement.</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foregoing descriptions of Mr. Kim’s Employment Agreement, and grants of time-based restricted stock units, TSR PSUs, and AOP PSUs are qualified in their entirety by reference to the full text of Mr. Kim’s Employment Agreement, which is filed as Exhibit 10.1 to this report and is incorporated herein by reference.</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foregoing descriptions of Mr. Lee’s Employment Agreement, and grants of time-based restricted stock units, TSR PSUs, and AOP PSUs are qualified in their entirety by reference to the full text of Mr. Lee’s Employment Agreement, the Company’s form of Restricted Stock Units Agreement, the Company’s form of Restricted Stock Units Agreement (TSR Performance), and the Company’s form of Restricted Stock Units Agreement (AOP Performance), respectively, which are filed as Exhibits 10.2, 10.3, 10.4, and 10.5 to this report, respectively, and incorporated herein by reference.</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Employment Agreement with Theodore Kim, dated October 22,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Employment Agreement with Woung Moo Lee, dated October 22, 2018</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31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Form of Restricted Stock Units Agreement</w:t>
              </w:r>
            </w:hyperlink>
          </w:p>
        </w:tc>
        <w:tc>
          <w:tcPr>
            <w:tcW w:w="2080" w:type="dxa"/>
            <w:vAlign w:val="bottom"/>
            <w:tcBorders>
              <w:top w:val="single" w:sz="8" w:color="0000EE"/>
            </w:tcBorders>
            <w:gridSpan w:val="4"/>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45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Form of Restricted Stock Units Agreement (TSR Performance)</w:t>
              </w:r>
            </w:hyperlink>
          </w:p>
        </w:tc>
        <w:tc>
          <w:tcPr>
            <w:tcW w:w="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5360" w:type="dxa"/>
            <w:vAlign w:val="bottom"/>
            <w:gridSpan w:val="6"/>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Form of Restricted Stock Units Agreement (AOP Performance)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19"/>
          </w:cols>
          <w:pgMar w:left="440" w:top="270" w:right="1440" w:bottom="1440" w:gutter="0" w:footer="0" w:header="0"/>
        </w:sectPr>
      </w:pPr>
    </w:p>
    <w:bookmarkStart w:id="6" w:name="page7"/>
    <w:bookmarkEnd w:id="6"/>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October 26, 2018</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entered into on October 22,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between Theodore Kim (the “</w:t>
      </w:r>
      <w:r>
        <w:rPr>
          <w:rFonts w:ascii="Arial" w:cs="Arial" w:eastAsia="Arial" w:hAnsi="Arial"/>
          <w:sz w:val="17"/>
          <w:szCs w:val="17"/>
          <w:u w:val="single" w:color="auto"/>
          <w:color w:val="auto"/>
        </w:rPr>
        <w:t>Executive</w:t>
      </w:r>
      <w:r>
        <w:rPr>
          <w:rFonts w:ascii="Arial" w:cs="Arial" w:eastAsia="Arial" w:hAnsi="Arial"/>
          <w:sz w:val="17"/>
          <w:szCs w:val="17"/>
          <w:color w:val="auto"/>
        </w:rPr>
        <w:t>”), MagnaChip Semiconductor Corporation,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MagnaChip Semiconductor, Ltd. (together with any of its Affiliates as may employ the Executive from time to time, any and all successors thereto, and Parent,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A. The Company and the Executive desire to enter into this Agreement to assure the Company of the continued exclusive services of the Executive and to set forth the rights and duties of the parties hereto.</w:t>
      </w:r>
    </w:p>
    <w:p>
      <w:pPr>
        <w:spacing w:after="0" w:line="6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 Except as otherwise set forth herein, this Agreement is intended to supersede any prior agreements or understandings, whether formal or informal, between the Executive and the Company or any of its Affiliates (as defined below), including, without limitation, the letter agreement, dated as of November 3, 2015, by and between the Executive, the Company and Parent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170" w:lineRule="exact"/>
        <w:rPr>
          <w:sz w:val="20"/>
          <w:szCs w:val="20"/>
          <w:color w:val="auto"/>
        </w:rPr>
      </w:pPr>
    </w:p>
    <w:p>
      <w:pPr>
        <w:ind w:left="180" w:hanging="176"/>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44"/>
        <w:spacing w:after="0" w:line="308" w:lineRule="auto"/>
        <w:tabs>
          <w:tab w:leader="none" w:pos="685"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shall have the meaning set forth in Section 3(a).</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3(b).</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rFonts w:ascii="Arial" w:cs="Arial" w:eastAsia="Arial" w:hAnsi="Arial"/>
          <w:sz w:val="18"/>
          <w:szCs w:val="18"/>
          <w:color w:val="auto"/>
        </w:rPr>
      </w:pPr>
    </w:p>
    <w:p>
      <w:pPr>
        <w:ind w:right="180" w:firstLine="444"/>
        <w:spacing w:after="0" w:line="257" w:lineRule="auto"/>
        <w:tabs>
          <w:tab w:leader="none" w:pos="6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shall have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to terminate the Executive’s employment pursuant to Section 4(a)(iii) hereunder upon (i) the Executive’s conviction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or any of its Affiliates; (iv) the Executive’s refusal to fulfill the Executive’s duties and responsibilities (other than by reason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death or Disability) to the Company or any of its Affiliates; (v) the Executive’s material violation of any established lawful policy of the Company or any of its Affiliates; (vi) the Executive’s material breach of any of the terms of any agreement the Executive has with the Company or any of its Affiliates; (vii) the Executive’s habitual use of illicit drugs or habitual abuse of alcohol that affects his job performance; or (viii) any gross negligence, material misconduct, or material wrongful act or omission on the Executive’s part in connection with the Executive’s duties and responsibilities to the Company or any of its Affiliates. The Company may terminate the Executive’s employment for Cause under this Agreement following issuance to the Executive of written notice of the circumstances the Company believes constitute Cause within ninety (90) days after it becomes aware of such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basis for termination is curable, then the Executive shall have fifteen (15) days after receipt of such written notice to cure such basis, and if not cured, the Company may terminate the Executive’s employment for Cause within ninety (90) days after the expiration of such cure period. If, within ninety (90) days subsequent to the Executive’s termination of employment for any reason other than by the Company for Cause, the Company determines that the Executive’s employment could have been terminated for Cause, the Executive’s employment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ability to retroactively determine that the Executive’s employment could have been terminated for Cause under this sentence will cease upon the occurrence of a Change in Control.</w:t>
      </w:r>
    </w:p>
    <w:p>
      <w:pPr>
        <w:spacing w:after="0" w:line="77" w:lineRule="exact"/>
        <w:rPr>
          <w:sz w:val="20"/>
          <w:szCs w:val="20"/>
          <w:color w:val="auto"/>
        </w:rPr>
      </w:pPr>
    </w:p>
    <w:p>
      <w:pPr>
        <w:ind w:left="700" w:hanging="256"/>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has the meaning given to such term in the MagnaChip Semiconductor Corporation 2011 Equity Incentive Plan.</w:t>
      </w:r>
    </w:p>
    <w:p>
      <w:pPr>
        <w:spacing w:after="0" w:line="128" w:lineRule="exact"/>
        <w:rPr>
          <w:rFonts w:ascii="Arial" w:cs="Arial" w:eastAsia="Arial" w:hAnsi="Arial"/>
          <w:sz w:val="17"/>
          <w:szCs w:val="17"/>
          <w:color w:val="auto"/>
        </w:rPr>
      </w:pPr>
    </w:p>
    <w:p>
      <w:pPr>
        <w:ind w:left="700" w:hanging="2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firstLine="444"/>
        <w:spacing w:after="0" w:line="259"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(i) if the Executive’s employment is terminated by his death, the date of his death, (ii) if the Executive’s employment is terminated pursuant to Section 4(a)(ii)-(vi), the date specified or otherwise effective pursuant to Section 4(b) or (iii) if the Executive’s employment is terminated upon expiration of the Term due to either party’s non-renewal in accordance with Section 2(b), the last day of the then-current Term.</w:t>
      </w:r>
    </w:p>
    <w:p>
      <w:pPr>
        <w:spacing w:after="0" w:line="78" w:lineRule="exact"/>
        <w:rPr>
          <w:rFonts w:ascii="Arial" w:cs="Arial" w:eastAsia="Arial" w:hAnsi="Arial"/>
          <w:sz w:val="18"/>
          <w:szCs w:val="18"/>
          <w:color w:val="auto"/>
        </w:rPr>
      </w:pPr>
    </w:p>
    <w:p>
      <w:pPr>
        <w:ind w:right="20" w:firstLine="444"/>
        <w:spacing w:after="0" w:line="259"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Expatriate Benefits</w:t>
      </w:r>
      <w:r>
        <w:rPr>
          <w:rFonts w:ascii="Arial" w:cs="Arial" w:eastAsia="Arial" w:hAnsi="Arial"/>
          <w:sz w:val="17"/>
          <w:szCs w:val="17"/>
          <w:color w:val="auto"/>
        </w:rPr>
        <w:t>” means the expatriate expenses that the Executive incurs in accordance with the terms set forth on Exhibit A hereto.</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left="-20" w:right="560" w:firstLine="444"/>
        <w:spacing w:after="0" w:line="264"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Final Base Salary</w:t>
      </w:r>
      <w:r>
        <w:rPr>
          <w:rFonts w:ascii="Arial" w:cs="Arial" w:eastAsia="Arial" w:hAnsi="Arial"/>
          <w:sz w:val="18"/>
          <w:szCs w:val="18"/>
          <w:color w:val="auto"/>
        </w:rPr>
        <w:t>” means the Executive’s Annual Base Salary as in effect immediately prior to the termination of the Executive’s employment (or, if clause (i) or (ii) of “Good Reason” is implicated, immediately before any relevant diminution of the Executive’s Annual Base Salary).</w:t>
      </w:r>
    </w:p>
    <w:p>
      <w:pPr>
        <w:spacing w:after="0" w:line="73" w:lineRule="exact"/>
        <w:rPr>
          <w:rFonts w:ascii="Arial" w:cs="Arial" w:eastAsia="Arial" w:hAnsi="Arial"/>
          <w:sz w:val="18"/>
          <w:szCs w:val="18"/>
          <w:color w:val="auto"/>
        </w:rPr>
      </w:pPr>
    </w:p>
    <w:p>
      <w:pPr>
        <w:ind w:left="-20" w:firstLine="444"/>
        <w:spacing w:after="0" w:line="285" w:lineRule="auto"/>
        <w:tabs>
          <w:tab w:leader="none" w:pos="6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to resign from his employment pursuant to Section 4(a)(v) in the event that any of the following actions are taken by the Company without his consent: (i) if upon or following a Change in Control, a diminution in the Executive’s Annual Base Salary, Target Annual Bonus opportunity, or, if the Executive’s primary residence is not then located in the United States, the Expatriate Benefits; (ii) if prior to a Change in Control, a diminution in (A) the Executive’s Annual Base Salary, other than an across the board cumulative reduction of no more than fifteen (15%) that applies in a similar manner to all similarly-situated members of the senior management of the Company, (B) the Executive’s Target Annual Bonus opportunity (other than a reduction that occurs as a result of a reduction described in clause (A) hereof), or (C) if the Executive’s primary residence is not then located in the United States, the Expatriate Benefits; (iii) the Company’s material breach of any of the material terms of any material agreement between the Executive and the Company or any of its Affiliates; (iv) a non-temporary relocation of the Executive’s primary work location by the Company to a location that is more than thirty five (35) miles from the Executive’s principal place of employment as of the date hereof (which the parties acknowledge is Seoul, South Korea and/or Cheongju, South Korea) and that increases the Executive’s one-way commute to work by more than thirty five (35) miles; or (v) a material diminution of the Executive’s title, duties or responsibilities; </w:t>
      </w:r>
      <w:r>
        <w:rPr>
          <w:rFonts w:ascii="Arial" w:cs="Arial" w:eastAsia="Arial" w:hAnsi="Arial"/>
          <w:sz w:val="16"/>
          <w:szCs w:val="16"/>
          <w:u w:val="single" w:color="auto"/>
          <w:color w:val="auto"/>
        </w:rPr>
        <w:t>provided</w:t>
      </w:r>
      <w:r>
        <w:rPr>
          <w:rFonts w:ascii="Arial" w:cs="Arial" w:eastAsia="Arial" w:hAnsi="Arial"/>
          <w:sz w:val="16"/>
          <w:szCs w:val="16"/>
          <w:color w:val="auto"/>
        </w:rPr>
        <w:t>, that no diminution of the Executive’s title, duties or responsibilities shall be deemed to occur solely as a result of the Company (or its successor or Parent) no longer being a publicly traded entity. The Executive will not have Good Reason to terminate the Executive’s employment and receive payments or benefits under Section 5(b) of this Agreement unless the Executive provides the Board with written notice of the circumstances the Executive believes constitute Good Reason within thirty (30) days after the occurrence of such circumstances. If the Company does not cure within fifteen (15) days after receipt of such written notice, then the Executive may terminate the Executive’s employment for Good Reason within ninety (90) days after the expiration of such cure period. If the Executive terminates the Executive’s employment prior to the expiration of the fifteen (15) day cure period or more than ninety (90) days after the expiration of the cure period, the Executive will not be treated as having terminated the Executive’s employment for Good Reason.</w:t>
      </w:r>
    </w:p>
    <w:p>
      <w:pPr>
        <w:spacing w:after="0" w:line="64" w:lineRule="exact"/>
        <w:rPr>
          <w:rFonts w:ascii="Arial" w:cs="Arial" w:eastAsia="Arial" w:hAnsi="Arial"/>
          <w:sz w:val="16"/>
          <w:szCs w:val="16"/>
          <w:color w:val="auto"/>
        </w:rPr>
      </w:pPr>
    </w:p>
    <w:p>
      <w:pPr>
        <w:ind w:left="680" w:hanging="25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shall have the meaning set forth in Section 7(c)(i).</w:t>
      </w:r>
    </w:p>
    <w:p>
      <w:pPr>
        <w:spacing w:after="0" w:line="117" w:lineRule="exact"/>
        <w:rPr>
          <w:rFonts w:ascii="Arial" w:cs="Arial" w:eastAsia="Arial" w:hAnsi="Arial"/>
          <w:sz w:val="18"/>
          <w:szCs w:val="18"/>
          <w:color w:val="auto"/>
        </w:rPr>
      </w:pPr>
    </w:p>
    <w:p>
      <w:pPr>
        <w:ind w:left="680" w:hanging="25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have the meaning set forth in Section 4(b).</w:t>
      </w:r>
    </w:p>
    <w:p>
      <w:pPr>
        <w:spacing w:after="0" w:line="117" w:lineRule="exact"/>
        <w:rPr>
          <w:rFonts w:ascii="Arial" w:cs="Arial" w:eastAsia="Arial" w:hAnsi="Arial"/>
          <w:sz w:val="18"/>
          <w:szCs w:val="18"/>
          <w:color w:val="auto"/>
        </w:rPr>
      </w:pPr>
    </w:p>
    <w:p>
      <w:pPr>
        <w:ind w:left="680" w:hanging="25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20" w:right="1100" w:firstLine="444"/>
        <w:spacing w:after="0" w:line="277" w:lineRule="auto"/>
        <w:tabs>
          <w:tab w:leader="none" w:pos="645"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62" w:lineRule="exact"/>
        <w:rPr>
          <w:rFonts w:ascii="Arial" w:cs="Arial" w:eastAsia="Arial" w:hAnsi="Arial"/>
          <w:sz w:val="18"/>
          <w:szCs w:val="18"/>
          <w:color w:val="auto"/>
        </w:rPr>
      </w:pPr>
    </w:p>
    <w:p>
      <w:pPr>
        <w:ind w:left="660" w:hanging="2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shall have the meaning set forth in Section 7(c)(i).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0" w:name="page11"/>
    <w:bookmarkEnd w:id="10"/>
    <w:p>
      <w:pPr>
        <w:ind w:right="180" w:firstLine="444"/>
        <w:spacing w:after="0" w:line="277" w:lineRule="auto"/>
        <w:tabs>
          <w:tab w:leader="none" w:pos="656"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Profit Sharing Plan as are then in effect.</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2(b).</w:t>
      </w:r>
    </w:p>
    <w:p>
      <w:pPr>
        <w:spacing w:after="0" w:line="117" w:lineRule="exact"/>
        <w:rPr>
          <w:rFonts w:ascii="Arial" w:cs="Arial" w:eastAsia="Arial" w:hAnsi="Arial"/>
          <w:sz w:val="18"/>
          <w:szCs w:val="18"/>
          <w:color w:val="auto"/>
        </w:rPr>
      </w:pPr>
    </w:p>
    <w:p>
      <w:pPr>
        <w:ind w:left="180" w:hanging="176"/>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60" w:firstLine="444"/>
        <w:spacing w:after="0" w:line="277" w:lineRule="auto"/>
        <w:tabs>
          <w:tab w:leader="none" w:pos="685"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Company shall employ the Executive, and the Executive shall be employed by the Company, for the period set forth in Section 2(b), in the position set forth in Section 2(c), and upon the other terms and conditions herein provided.</w:t>
      </w:r>
    </w:p>
    <w:p>
      <w:pPr>
        <w:spacing w:after="0" w:line="62" w:lineRule="exact"/>
        <w:rPr>
          <w:rFonts w:ascii="Arial" w:cs="Arial" w:eastAsia="Arial" w:hAnsi="Arial"/>
          <w:sz w:val="18"/>
          <w:szCs w:val="18"/>
          <w:color w:val="auto"/>
        </w:rPr>
      </w:pPr>
    </w:p>
    <w:p>
      <w:pPr>
        <w:ind w:firstLine="444"/>
        <w:spacing w:after="0" w:line="257" w:lineRule="auto"/>
        <w:tabs>
          <w:tab w:leader="none" w:pos="695"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initial term of employment under this Agreement (the “</w:t>
      </w:r>
      <w:r>
        <w:rPr>
          <w:rFonts w:ascii="Arial" w:cs="Arial" w:eastAsia="Arial" w:hAnsi="Arial"/>
          <w:sz w:val="18"/>
          <w:szCs w:val="18"/>
          <w:u w:val="single" w:color="auto"/>
          <w:color w:val="auto"/>
        </w:rPr>
        <w:t>Initial Term</w:t>
      </w:r>
      <w:r>
        <w:rPr>
          <w:rFonts w:ascii="Arial" w:cs="Arial" w:eastAsia="Arial" w:hAnsi="Arial"/>
          <w:sz w:val="18"/>
          <w:szCs w:val="18"/>
          <w:color w:val="auto"/>
        </w:rPr>
        <w:t>”) shall be for the period beginning on the Effective Date and ending on the third (3rd) anniversary of such date, unless earlier terminated as provided in Section 4. At the end of the Initial Term, the term of this Agreement shall automatically be extended for successive one (1) year periods (together with the Initial Term, the “</w:t>
      </w:r>
      <w:r>
        <w:rPr>
          <w:rFonts w:ascii="Arial" w:cs="Arial" w:eastAsia="Arial" w:hAnsi="Arial"/>
          <w:sz w:val="18"/>
          <w:szCs w:val="18"/>
          <w:u w:val="single" w:color="auto"/>
          <w:color w:val="auto"/>
        </w:rPr>
        <w:t>Term</w:t>
      </w:r>
      <w:r>
        <w:rPr>
          <w:rFonts w:ascii="Arial" w:cs="Arial" w:eastAsia="Arial" w:hAnsi="Arial"/>
          <w:sz w:val="18"/>
          <w:szCs w:val="18"/>
          <w:color w:val="auto"/>
        </w:rPr>
        <w:t>”), unless either party hereto gives notice of the non-extension of the Term to the other party no later than ninety (90) days prior to the expiration of the then-applicable Term.</w:t>
      </w:r>
    </w:p>
    <w:p>
      <w:pPr>
        <w:spacing w:after="0" w:line="188" w:lineRule="exact"/>
        <w:rPr>
          <w:rFonts w:ascii="Arial" w:cs="Arial" w:eastAsia="Arial" w:hAnsi="Arial"/>
          <w:sz w:val="18"/>
          <w:szCs w:val="18"/>
          <w:color w:val="auto"/>
        </w:rPr>
      </w:pPr>
    </w:p>
    <w:p>
      <w:pPr>
        <w:ind w:left="680" w:hanging="236"/>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5"/>
        <w:spacing w:after="0" w:line="284" w:lineRule="auto"/>
        <w:tabs>
          <w:tab w:leader="none" w:pos="1096" w:val="left"/>
        </w:tabs>
        <w:numPr>
          <w:ilvl w:val="2"/>
          <w:numId w:val="8"/>
        </w:numPr>
        <w:rPr>
          <w:rFonts w:ascii="Arial" w:cs="Arial" w:eastAsia="Arial" w:hAnsi="Arial"/>
          <w:sz w:val="16"/>
          <w:szCs w:val="16"/>
          <w:color w:val="auto"/>
        </w:rPr>
      </w:pPr>
      <w:r>
        <w:rPr>
          <w:rFonts w:ascii="Arial" w:cs="Arial" w:eastAsia="Arial" w:hAnsi="Arial"/>
          <w:sz w:val="16"/>
          <w:szCs w:val="16"/>
          <w:color w:val="auto"/>
        </w:rPr>
        <w:t xml:space="preserve">During the Term, the Executive shall serve as Chief Compliance Officer, Executive Vice President, General Counsel and Secretary of MagnaChip Semiconductor, Ltd., with responsibilities, duties, and authority customary for such position. The Executive shall also serve as an officer of other Affiliates of the Company as requested by the Board.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Chief Executive Officer of the Company. The Executive agrees to observe and comply with the Company’s rules and policies as adopted from time to time by the Company. The Executive shall devote his full business time, skill, attention, and best efforts to the performance of his duties 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Executive shall be entitled to (A) serve on civic, charitable, and religious boards and</w:t>
      </w:r>
    </w:p>
    <w:p>
      <w:pPr>
        <w:spacing w:after="0" w:line="2"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 The Executive may also serve on the boards of directors of for profit companies with the prior written consent of the Board, which consent shall be in the sole discretion of the Board.</w:t>
      </w:r>
    </w:p>
    <w:p>
      <w:pPr>
        <w:spacing w:after="0" w:line="68" w:lineRule="exact"/>
        <w:rPr>
          <w:rFonts w:ascii="Arial" w:cs="Arial" w:eastAsia="Arial" w:hAnsi="Arial"/>
          <w:sz w:val="16"/>
          <w:szCs w:val="16"/>
          <w:color w:val="auto"/>
        </w:rPr>
      </w:pPr>
    </w:p>
    <w:p>
      <w:pPr>
        <w:ind w:right="340" w:firstLine="885"/>
        <w:spacing w:after="0" w:line="286" w:lineRule="auto"/>
        <w:tabs>
          <w:tab w:leader="none" w:pos="1146"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Executive’s employment shall be principally based at the Company’s headquarters in the Seoul, South Korea area or Cheongju, South Korea. The Executive shall perform his duties and responsibilities to the Company at such principal place of employment and at such other location(s) to which the Company may reasonably require the Executive to travel for Company business purposes.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1" w:name="page12"/>
    <w:bookmarkEnd w:id="11"/>
    <w:p>
      <w:pPr>
        <w:ind w:left="180" w:hanging="176"/>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312" w:lineRule="auto"/>
        <w:tabs>
          <w:tab w:leader="none" w:pos="68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the Executive shall receive a base salary at a rate of three hundred thirty thousand dollars ($330,000) per annum, which shall be paid in accordance with the customary payroll practices of the Company; provided that the Board shall have the discretion to increase the Executive’s base salary from time to time (as adjusted from time to time in accordance with the terms hereof,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40" w:firstLine="444"/>
        <w:spacing w:after="0" w:line="264"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With respect to each calendar year that ends during the Term, the Executive shall be eligible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under the terms of the Company’s Profit Sharing Plan as are then in effect. It is currently intended that the Board will set the Executive’s target Annual Bonus at 75% of the Executive’s Annual Base Salary.</w:t>
      </w:r>
    </w:p>
    <w:p>
      <w:pPr>
        <w:spacing w:after="0" w:line="73" w:lineRule="exact"/>
        <w:rPr>
          <w:rFonts w:ascii="Arial" w:cs="Arial" w:eastAsia="Arial" w:hAnsi="Arial"/>
          <w:sz w:val="18"/>
          <w:szCs w:val="18"/>
          <w:color w:val="auto"/>
        </w:rPr>
      </w:pPr>
    </w:p>
    <w:p>
      <w:pPr>
        <w:ind w:right="20" w:firstLine="444"/>
        <w:spacing w:after="0" w:line="255" w:lineRule="auto"/>
        <w:tabs>
          <w:tab w:leader="none" w:pos="68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On or before October 31, 2018, subject to the Executive’s continued employment on such date, the Executive will receive equity grants in respect of 2018 in the form of (i) annual operation planning-based performance stock units (“</w:t>
      </w:r>
      <w:r>
        <w:rPr>
          <w:rFonts w:ascii="Arial" w:cs="Arial" w:eastAsia="Arial" w:hAnsi="Arial"/>
          <w:sz w:val="18"/>
          <w:szCs w:val="18"/>
          <w:u w:val="single" w:color="auto"/>
          <w:color w:val="auto"/>
        </w:rPr>
        <w:t>AOP PSUs</w:t>
      </w:r>
      <w:r>
        <w:rPr>
          <w:rFonts w:ascii="Arial" w:cs="Arial" w:eastAsia="Arial" w:hAnsi="Arial"/>
          <w:sz w:val="18"/>
          <w:szCs w:val="18"/>
          <w:color w:val="auto"/>
        </w:rPr>
        <w:t>”), (ii) relative total shareholder return-based performance stock units (“</w:t>
      </w:r>
      <w:r>
        <w:rPr>
          <w:rFonts w:ascii="Arial" w:cs="Arial" w:eastAsia="Arial" w:hAnsi="Arial"/>
          <w:sz w:val="18"/>
          <w:szCs w:val="18"/>
          <w:u w:val="single" w:color="auto"/>
          <w:color w:val="auto"/>
        </w:rPr>
        <w:t>TSR PSUs</w:t>
      </w:r>
      <w:r>
        <w:rPr>
          <w:rFonts w:ascii="Arial" w:cs="Arial" w:eastAsia="Arial" w:hAnsi="Arial"/>
          <w:sz w:val="18"/>
          <w:szCs w:val="18"/>
          <w:color w:val="auto"/>
        </w:rPr>
        <w:t xml:space="preserve">”), and (iii) time-based restricted stock units, in each case pursuant to an award agreement substantially in the form attached hereto as Exhibit B-1 (the “AOP </w:t>
      </w:r>
      <w:r>
        <w:rPr>
          <w:rFonts w:ascii="Arial" w:cs="Arial" w:eastAsia="Arial" w:hAnsi="Arial"/>
          <w:sz w:val="18"/>
          <w:szCs w:val="18"/>
          <w:u w:val="single" w:color="auto"/>
          <w:color w:val="auto"/>
        </w:rPr>
        <w:t>Award Agreement</w:t>
      </w:r>
      <w:r>
        <w:rPr>
          <w:rFonts w:ascii="Arial" w:cs="Arial" w:eastAsia="Arial" w:hAnsi="Arial"/>
          <w:sz w:val="18"/>
          <w:szCs w:val="18"/>
          <w:color w:val="auto"/>
        </w:rPr>
        <w:t>”), Exhibit B-2 and Exhibit B-3, respectively. Subject to the Executive’s continued employment with the Company, the Executive will receive additional AOP PSU grants with respect to 2019 and 2020 (the “</w:t>
      </w:r>
      <w:r>
        <w:rPr>
          <w:rFonts w:ascii="Arial" w:cs="Arial" w:eastAsia="Arial" w:hAnsi="Arial"/>
          <w:sz w:val="18"/>
          <w:szCs w:val="18"/>
          <w:u w:val="single" w:color="auto"/>
          <w:color w:val="auto"/>
        </w:rPr>
        <w:t>2019</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Grants</w:t>
      </w:r>
      <w:r>
        <w:rPr>
          <w:rFonts w:ascii="Arial" w:cs="Arial" w:eastAsia="Arial" w:hAnsi="Arial"/>
          <w:sz w:val="18"/>
          <w:szCs w:val="18"/>
          <w:color w:val="auto"/>
        </w:rPr>
        <w:t>” and the “</w:t>
      </w:r>
      <w:r>
        <w:rPr>
          <w:rFonts w:ascii="Arial" w:cs="Arial" w:eastAsia="Arial" w:hAnsi="Arial"/>
          <w:sz w:val="18"/>
          <w:szCs w:val="18"/>
          <w:u w:val="single" w:color="auto"/>
          <w:color w:val="auto"/>
        </w:rPr>
        <w:t>2020 Grants</w:t>
      </w:r>
      <w:r>
        <w:rPr>
          <w:rFonts w:ascii="Arial" w:cs="Arial" w:eastAsia="Arial" w:hAnsi="Arial"/>
          <w:sz w:val="18"/>
          <w:szCs w:val="18"/>
          <w:color w:val="auto"/>
        </w:rPr>
        <w:t>”, respectively) that are generally subject to same terms as in the AOP Award Agreement, except as otherwise set forth in Exhibit B-4.</w:t>
      </w:r>
    </w:p>
    <w:p>
      <w:pPr>
        <w:spacing w:after="0" w:line="81" w:lineRule="exact"/>
        <w:rPr>
          <w:rFonts w:ascii="Arial" w:cs="Arial" w:eastAsia="Arial" w:hAnsi="Arial"/>
          <w:sz w:val="18"/>
          <w:szCs w:val="18"/>
          <w:color w:val="auto"/>
        </w:rPr>
      </w:pPr>
    </w:p>
    <w:p>
      <w:pPr>
        <w:ind w:right="100" w:firstLine="444"/>
        <w:spacing w:after="0" w:line="257"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employee benefit plans, programs, and arrangements of the Company now (or, to the extent determined by the Board, hereafter) in effect, in accordance with their terms, including, without limitation, medical and welfare benefits and the Expatriate Benefits. For the avoidance of doubt, nothing in this Agreement shall limit or otherwise affect the rights that the Executive may have under any statutory pension under Korean law that is accrued to his account as of the effective date of his separation from the Company.</w:t>
      </w:r>
    </w:p>
    <w:p>
      <w:pPr>
        <w:spacing w:after="0" w:line="80" w:lineRule="exact"/>
        <w:rPr>
          <w:rFonts w:ascii="Arial" w:cs="Arial" w:eastAsia="Arial" w:hAnsi="Arial"/>
          <w:sz w:val="18"/>
          <w:szCs w:val="18"/>
          <w:color w:val="auto"/>
        </w:rPr>
      </w:pPr>
    </w:p>
    <w:p>
      <w:pPr>
        <w:ind w:right="140" w:firstLine="444"/>
        <w:spacing w:after="0" w:line="271" w:lineRule="auto"/>
        <w:tabs>
          <w:tab w:leader="none" w:pos="685"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Tax Equalization.</w:t>
      </w:r>
      <w:r>
        <w:rPr>
          <w:rFonts w:ascii="Arial" w:cs="Arial" w:eastAsia="Arial" w:hAnsi="Arial"/>
          <w:sz w:val="17"/>
          <w:szCs w:val="17"/>
          <w:color w:val="auto"/>
        </w:rPr>
        <w:t xml:space="preserve"> The Company shall provide for tax equalization and tax consulting/preparation services for the Executive for any compensation that he receives pursuant to this Agreement (regardless of whether the Executive is still employed by the Company at the time of any payment pursuant to this Agreement). Executive shall take all actions necessary to minimize taxes, subject to applicable law. For each taxable year, to the extent necessary, the Company shall make a tax equalization payment to the Executive in an amount equal to the amount necessary to put the Executive in the same after-tax position that he would been in if the Executive had been subject to only United States federal, state, and local income taxes. For the avoidance of doubt, tax equalization does not include indemnification or other payments relating to any additional tax, interest, or penalties that may be imposed on the Executive as a result of Section 409A of the Code or any damages for failing to comply with Section 409A of the Code, or any excise tax imposed by Section 4999 of the Code.</w:t>
      </w:r>
    </w:p>
    <w:p>
      <w:pPr>
        <w:spacing w:after="0" w:line="70" w:lineRule="exact"/>
        <w:rPr>
          <w:rFonts w:ascii="Arial" w:cs="Arial" w:eastAsia="Arial" w:hAnsi="Arial"/>
          <w:sz w:val="17"/>
          <w:szCs w:val="17"/>
          <w:color w:val="auto"/>
        </w:rPr>
      </w:pPr>
    </w:p>
    <w:p>
      <w:pPr>
        <w:jc w:val="both"/>
        <w:ind w:right="520" w:firstLine="444"/>
        <w:spacing w:after="0" w:line="264"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Visas and Work Permits</w:t>
      </w:r>
      <w:r>
        <w:rPr>
          <w:rFonts w:ascii="Arial" w:cs="Arial" w:eastAsia="Arial" w:hAnsi="Arial"/>
          <w:sz w:val="18"/>
          <w:szCs w:val="18"/>
          <w:color w:val="auto"/>
        </w:rPr>
        <w:t>. The Company shall provide the necessary services and cover the cost to obtain the necessary visas and/or work permits to enable the Executive and his family to legally work and stay or visit in Korea for the duration that the Executive is assigned to perform services in Korea.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 w:name="page13"/>
    <w:bookmarkEnd w:id="12"/>
    <w:p>
      <w:pPr>
        <w:ind w:left="700" w:hanging="256"/>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Transportation</w:t>
      </w:r>
      <w:r>
        <w:rPr>
          <w:rFonts w:ascii="Arial" w:cs="Arial" w:eastAsia="Arial" w:hAnsi="Arial"/>
          <w:sz w:val="18"/>
          <w:szCs w:val="18"/>
          <w:color w:val="auto"/>
        </w:rPr>
        <w:t>. The Company shall provide a vehicle with a driver for the Executive’s use while in Korea.</w:t>
      </w:r>
    </w:p>
    <w:p>
      <w:pPr>
        <w:spacing w:after="0" w:line="117" w:lineRule="exact"/>
        <w:rPr>
          <w:rFonts w:ascii="Arial" w:cs="Arial" w:eastAsia="Arial" w:hAnsi="Arial"/>
          <w:sz w:val="18"/>
          <w:szCs w:val="18"/>
          <w:color w:val="auto"/>
        </w:rPr>
      </w:pPr>
    </w:p>
    <w:p>
      <w:pPr>
        <w:jc w:val="both"/>
        <w:ind w:right="140" w:firstLine="444"/>
        <w:spacing w:after="0" w:line="312" w:lineRule="auto"/>
        <w:tabs>
          <w:tab w:leader="none" w:pos="69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Annual Vacation and Home Leave</w:t>
      </w:r>
      <w:r>
        <w:rPr>
          <w:rFonts w:ascii="Arial" w:cs="Arial" w:eastAsia="Arial" w:hAnsi="Arial"/>
          <w:sz w:val="16"/>
          <w:szCs w:val="16"/>
          <w:color w:val="auto"/>
        </w:rPr>
        <w:t>. During the Term, the Executive shall be entitled to two (2) weeks of vacation per year in accordance with the Company’s vacation policies, as well as ten business days of annual home leave in accordance with the Company’s expatriate benefit policy for its executives. Any vacation and any home leave shall be taken at the reasonable and mutual convenience of the Company and the Executive.</w:t>
      </w:r>
    </w:p>
    <w:p>
      <w:pPr>
        <w:spacing w:after="0" w:line="38" w:lineRule="exact"/>
        <w:rPr>
          <w:rFonts w:ascii="Arial" w:cs="Arial" w:eastAsia="Arial" w:hAnsi="Arial"/>
          <w:sz w:val="16"/>
          <w:szCs w:val="16"/>
          <w:color w:val="auto"/>
        </w:rPr>
      </w:pPr>
    </w:p>
    <w:p>
      <w:pPr>
        <w:ind w:firstLine="444"/>
        <w:spacing w:after="0" w:line="342" w:lineRule="auto"/>
        <w:tabs>
          <w:tab w:leader="none" w:pos="65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5" w:lineRule="exact"/>
        <w:rPr>
          <w:rFonts w:ascii="Arial" w:cs="Arial" w:eastAsia="Arial" w:hAnsi="Arial"/>
          <w:sz w:val="16"/>
          <w:szCs w:val="16"/>
          <w:color w:val="auto"/>
        </w:rPr>
      </w:pPr>
    </w:p>
    <w:p>
      <w:pPr>
        <w:ind w:right="100" w:firstLine="4"/>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prior to the expiration of the Term resulting from a non-renewal pursuant to Section 2(b) above without any breach of this Agreement only under the following circumstances:</w:t>
      </w:r>
    </w:p>
    <w:p>
      <w:pPr>
        <w:spacing w:after="0" w:line="170" w:lineRule="exact"/>
        <w:rPr>
          <w:rFonts w:ascii="Arial" w:cs="Arial" w:eastAsia="Arial" w:hAnsi="Arial"/>
          <w:sz w:val="18"/>
          <w:szCs w:val="18"/>
          <w:color w:val="auto"/>
        </w:rPr>
      </w:pPr>
    </w:p>
    <w:p>
      <w:pPr>
        <w:ind w:left="680" w:hanging="236"/>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117" w:lineRule="exact"/>
        <w:rPr>
          <w:rFonts w:ascii="Arial" w:cs="Arial" w:eastAsia="Arial" w:hAnsi="Arial"/>
          <w:sz w:val="18"/>
          <w:szCs w:val="18"/>
          <w:color w:val="auto"/>
        </w:rPr>
      </w:pPr>
    </w:p>
    <w:p>
      <w:pPr>
        <w:ind w:firstLine="885"/>
        <w:spacing w:after="0" w:line="259" w:lineRule="auto"/>
        <w:tabs>
          <w:tab w:leader="none" w:pos="1146"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 has incurred a Disability, the Company may give the Executive written notice of its intention to terminate the Executive’s employment. In that event, the Executive’s employment with the Company shall terminate effective on the later of the thirtieth (30th) day after receipt of such notice by the Executive and the date specified in such notice, provided that within the thirty (30) day period following receipt of such notice, the Executive shall not have returned to full-time performance of his duties hereunder.</w:t>
      </w:r>
    </w:p>
    <w:p>
      <w:pPr>
        <w:spacing w:after="0" w:line="78" w:lineRule="exact"/>
        <w:rPr>
          <w:rFonts w:ascii="Arial" w:cs="Arial" w:eastAsia="Arial" w:hAnsi="Arial"/>
          <w:sz w:val="18"/>
          <w:szCs w:val="18"/>
          <w:color w:val="auto"/>
        </w:rPr>
      </w:pPr>
    </w:p>
    <w:p>
      <w:pPr>
        <w:ind w:left="1200" w:hanging="315"/>
        <w:spacing w:after="0"/>
        <w:tabs>
          <w:tab w:leader="none" w:pos="120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employment with Cause.</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 The Executive may resign from his employment with Good Reason.</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2"/>
          <w:numId w:val="11"/>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his employment without Good Reason upon not less than thirty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 days’ advance written notice to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left="-4" w:firstLine="444"/>
        <w:spacing w:after="0" w:line="268" w:lineRule="auto"/>
        <w:tabs>
          <w:tab w:leader="none" w:pos="692"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Termination</w:t>
      </w:r>
      <w:r>
        <w:rPr>
          <w:rFonts w:ascii="Arial" w:cs="Arial" w:eastAsia="Arial" w:hAnsi="Arial"/>
          <w:sz w:val="17"/>
          <w:szCs w:val="17"/>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4(a)(iv) or (vi), setting forth in reasonable detail the facts and circumstances claimed to provide a basis for termination of the Executive’s employment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If the Company delivers a Notice of Termination under Section 4(a)(ii),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 date selected by the Company. If the Executive delivers a Notice of Termination under Section 4(a)(v) or (a)(vi),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75" w:lineRule="exact"/>
        <w:rPr>
          <w:rFonts w:ascii="Arial" w:cs="Arial" w:eastAsia="Arial" w:hAnsi="Arial"/>
          <w:sz w:val="17"/>
          <w:szCs w:val="17"/>
          <w:color w:val="auto"/>
        </w:rPr>
      </w:pPr>
    </w:p>
    <w:p>
      <w:pPr>
        <w:ind w:left="-4" w:right="20" w:firstLine="444"/>
        <w:spacing w:after="0" w:line="279" w:lineRule="auto"/>
        <w:tabs>
          <w:tab w:leader="none" w:pos="681"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Termination and Resignation of All Positions</w:t>
      </w:r>
      <w:r>
        <w:rPr>
          <w:rFonts w:ascii="Arial" w:cs="Arial" w:eastAsia="Arial" w:hAnsi="Arial"/>
          <w:sz w:val="17"/>
          <w:szCs w:val="17"/>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after written request from the Company, the Company shall be relieved of its obligations under Section 5(b) and Section 5(c) hereof.</w:t>
      </w:r>
    </w:p>
    <w:p>
      <w:pPr>
        <w:spacing w:after="0" w:line="171" w:lineRule="exact"/>
        <w:rPr>
          <w:rFonts w:ascii="Arial" w:cs="Arial" w:eastAsia="Arial" w:hAnsi="Arial"/>
          <w:sz w:val="17"/>
          <w:szCs w:val="17"/>
          <w:color w:val="auto"/>
        </w:rPr>
      </w:pPr>
    </w:p>
    <w:p>
      <w:pPr>
        <w:ind w:left="176" w:hanging="176"/>
        <w:spacing w:after="0"/>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44"/>
        <w:spacing w:after="0" w:line="289" w:lineRule="auto"/>
        <w:tabs>
          <w:tab w:leader="none" w:pos="68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Subject to Section 11(a), upon termination of the Executive’s employment for any reason, the Executive (or the Executive’s estate) shall be entitled to receive (i) any amount of the Executive’s Final Base Salary earned through the Date of Termination not theretofore paid, (ii) any Annual Bonus for the year prior to the year in which the Date of Termination occurred, that was earned but not yet paid, (iii) any expenses owed to the Executive under Section 3(i), and (iv) any vested payment or benefit arising from the Executive’s participation in, or benefits under, any qualified employee benefit plans, programs, or arrangements under Section 3(d) (other than severance plans, programs, or arrangements), which amounts shall be payable in accordance with the terms and conditions of such employee benefit plans, programs, or arrangements including, where applicable, any death and disability benefits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Notwithstanding anything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employee benefit plan, program or arrangement.</w:t>
      </w:r>
    </w:p>
    <w:p>
      <w:pPr>
        <w:spacing w:after="0" w:line="9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6"/>
          </w:cols>
          <w:pgMar w:left="444" w:top="274" w:right="459" w:bottom="1440" w:gutter="0" w:footer="0" w:header="0"/>
        </w:sectPr>
      </w:pPr>
    </w:p>
    <w:bookmarkStart w:id="14" w:name="page15"/>
    <w:bookmarkEnd w:id="14"/>
    <w:p>
      <w:pPr>
        <w:ind w:left="-4" w:right="20" w:firstLine="444"/>
        <w:spacing w:after="0" w:line="259" w:lineRule="auto"/>
        <w:tabs>
          <w:tab w:leader="none" w:pos="6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without Cause or Resignation with Good Reason</w:t>
      </w:r>
      <w:r>
        <w:rPr>
          <w:rFonts w:ascii="Arial" w:cs="Arial" w:eastAsia="Arial" w:hAnsi="Arial"/>
          <w:sz w:val="18"/>
          <w:szCs w:val="18"/>
          <w:color w:val="auto"/>
        </w:rPr>
        <w:t>. Subject to Section 11(a) and subject to the Executive’s continued compliance with the covenants contained in Sections 6, 7 and 10, if the Company terminates the Executive’s employment without Cause pursuant to Section 4(a)(iv) or the Executive resigns from his employment with Good Reason pursuant to Section 4(a)(v), the Company shall, in addition to the Accrued Obligations:</w:t>
      </w:r>
    </w:p>
    <w:p>
      <w:pPr>
        <w:spacing w:after="0" w:line="78" w:lineRule="exact"/>
        <w:rPr>
          <w:rFonts w:ascii="Arial" w:cs="Arial" w:eastAsia="Arial" w:hAnsi="Arial"/>
          <w:sz w:val="18"/>
          <w:szCs w:val="18"/>
          <w:color w:val="auto"/>
        </w:rPr>
      </w:pPr>
    </w:p>
    <w:p>
      <w:pPr>
        <w:ind w:left="-4" w:firstLine="885"/>
        <w:spacing w:after="0" w:line="283" w:lineRule="auto"/>
        <w:tabs>
          <w:tab w:leader="none" w:pos="1093" w:val="left"/>
        </w:tabs>
        <w:numPr>
          <w:ilvl w:val="2"/>
          <w:numId w:val="14"/>
        </w:numPr>
        <w:rPr>
          <w:rFonts w:ascii="Arial" w:cs="Arial" w:eastAsia="Arial" w:hAnsi="Arial"/>
          <w:sz w:val="16"/>
          <w:szCs w:val="16"/>
          <w:color w:val="auto"/>
        </w:rPr>
      </w:pPr>
      <w:r>
        <w:rPr>
          <w:rFonts w:ascii="Arial" w:cs="Arial" w:eastAsia="Arial" w:hAnsi="Arial"/>
          <w:sz w:val="16"/>
          <w:szCs w:val="16"/>
          <w:color w:val="auto"/>
        </w:rPr>
        <w:t>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Section 6 or 7 (the “</w:t>
      </w:r>
      <w:r>
        <w:rPr>
          <w:rFonts w:ascii="Arial" w:cs="Arial" w:eastAsia="Arial" w:hAnsi="Arial"/>
          <w:sz w:val="16"/>
          <w:szCs w:val="16"/>
          <w:u w:val="single" w:color="auto"/>
          <w:color w:val="auto"/>
        </w:rPr>
        <w:t>Salary Payment</w:t>
      </w:r>
      <w:r>
        <w:rPr>
          <w:rFonts w:ascii="Arial" w:cs="Arial" w:eastAsia="Arial" w:hAnsi="Arial"/>
          <w:sz w:val="16"/>
          <w:szCs w:val="16"/>
          <w:color w:val="auto"/>
        </w:rPr>
        <w:t>”), and if the Date of Termination occurs after June 30 of the calendar year in which the Date of Termination occurs, pay the Executive a prorated portion of the Annual Bonus payable with respect to the calendar year in which such termination occurs, determined on a daily basis, based on actual performance achievement for such year, and payable if and when annual bonuses are paid to other senior executives of the Company with respect to such year (the “</w:t>
      </w:r>
      <w:r>
        <w:rPr>
          <w:rFonts w:ascii="Arial" w:cs="Arial" w:eastAsia="Arial" w:hAnsi="Arial"/>
          <w:sz w:val="16"/>
          <w:szCs w:val="16"/>
          <w:u w:val="single" w:color="auto"/>
          <w:color w:val="auto"/>
        </w:rPr>
        <w:t>Pro Rata Bonus</w:t>
      </w:r>
      <w:r>
        <w:rPr>
          <w:rFonts w:ascii="Arial" w:cs="Arial" w:eastAsia="Arial" w:hAnsi="Arial"/>
          <w:sz w:val="16"/>
          <w:szCs w:val="16"/>
          <w:color w:val="auto"/>
        </w:rPr>
        <w:t>”, together with the Salary Payment, the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Notwithstanding the foregoing, if the Company terminates the Executive’s employment without Cause pursuant to Section 4(a)(iv) or the Executive resigns from his employment with Good Reason pursuant to Section 4(a)(v), in each case, either (x) during a period of time when the Company is party to a definitive corporate transaction agreement, the consummation of which would result in a Change in Control or (y) within eighteen</w:t>
      </w:r>
    </w:p>
    <w:p>
      <w:pPr>
        <w:spacing w:after="0" w:line="6" w:lineRule="exact"/>
        <w:rPr>
          <w:rFonts w:ascii="Arial" w:cs="Arial" w:eastAsia="Arial" w:hAnsi="Arial"/>
          <w:sz w:val="16"/>
          <w:szCs w:val="16"/>
          <w:color w:val="auto"/>
        </w:rPr>
      </w:pPr>
    </w:p>
    <w:p>
      <w:pPr>
        <w:ind w:left="-4" w:right="20" w:firstLine="4"/>
        <w:spacing w:after="0" w:line="287" w:lineRule="auto"/>
        <w:tabs>
          <w:tab w:leader="none" w:pos="3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months following a Change in Control (such a termination a “</w:t>
      </w:r>
      <w:r>
        <w:rPr>
          <w:rFonts w:ascii="Arial" w:cs="Arial" w:eastAsia="Arial" w:hAnsi="Arial"/>
          <w:sz w:val="16"/>
          <w:szCs w:val="16"/>
          <w:u w:val="single" w:color="auto"/>
          <w:color w:val="auto"/>
        </w:rPr>
        <w:t>CIC Qualified Termination</w:t>
      </w:r>
      <w:r>
        <w:rPr>
          <w:rFonts w:ascii="Arial" w:cs="Arial" w:eastAsia="Arial" w:hAnsi="Arial"/>
          <w:sz w:val="16"/>
          <w:szCs w:val="16"/>
          <w:color w:val="auto"/>
        </w:rPr>
        <w:t>”), then the Severance Payment shall instead equal the sum of (xx) one and one-half (1.5) times the Final Base Salary, payable (1) in a single cash lump sum on the sixtieth (60th) day following the Date of Termination in the event that the Change in Control is also a “change in control event” (within the meaning of Section 409A of the Code) or (2) in accordance with the schedule contemplated by the first sentence of this Section 5(b)(i) in the event that the Change in Control is not a “change in control event” and (yy) if the Date of Termination occurs after June 30th of the calendar year in which the Date of Termination occurs, an amount equal to an additional month of base salary for each month that has passed since July 1st through the Date of Termination (rounding up for any partial months), and payable in a lump sum on the sixtieth (60th) day following the Date of Termination, in each case, so long as the Release (as defined below) has become effective and the Executive has not violated any covenant contained in Section 6 or 7, in which case the Severance Payment shall be forfeited; for the avoidance of doubt, if the Date of Termination occurs in July, the payment described in clause (yy) above will be equal to one month’s base salary.</w:t>
      </w:r>
    </w:p>
    <w:p>
      <w:pPr>
        <w:spacing w:after="0" w:line="58" w:lineRule="exact"/>
        <w:rPr>
          <w:rFonts w:ascii="Arial" w:cs="Arial" w:eastAsia="Arial" w:hAnsi="Arial"/>
          <w:sz w:val="16"/>
          <w:szCs w:val="16"/>
          <w:color w:val="auto"/>
        </w:rPr>
      </w:pPr>
    </w:p>
    <w:p>
      <w:pPr>
        <w:ind w:left="-4" w:right="260" w:firstLine="885"/>
        <w:spacing w:after="0" w:line="286" w:lineRule="auto"/>
        <w:tabs>
          <w:tab w:leader="none" w:pos="1143" w:val="left"/>
        </w:tabs>
        <w:numPr>
          <w:ilvl w:val="2"/>
          <w:numId w:val="15"/>
        </w:numPr>
        <w:rPr>
          <w:rFonts w:ascii="Arial" w:cs="Arial" w:eastAsia="Arial" w:hAnsi="Arial"/>
          <w:sz w:val="17"/>
          <w:szCs w:val="17"/>
          <w:color w:val="auto"/>
        </w:rPr>
      </w:pPr>
      <w:r>
        <w:rPr>
          <w:rFonts w:ascii="Arial" w:cs="Arial" w:eastAsia="Arial" w:hAnsi="Arial"/>
          <w:sz w:val="17"/>
          <w:szCs w:val="17"/>
          <w:color w:val="auto"/>
        </w:rPr>
        <w:t>pay to the Executive on the sixtieth (60th) day following the Date of Termination a lump sum amount equal to twelve (12) times the employer portion of the monthly cost of maintaining medical, dental and/or vision benefits for the Executive under the then-current health plan of the Company for purposes of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right="60" w:firstLine="885"/>
        <w:spacing w:after="0" w:line="302" w:lineRule="auto"/>
        <w:tabs>
          <w:tab w:leader="none" w:pos="1193" w:val="left"/>
        </w:tabs>
        <w:numPr>
          <w:ilvl w:val="2"/>
          <w:numId w:val="15"/>
        </w:numPr>
        <w:rPr>
          <w:rFonts w:ascii="Arial" w:cs="Arial" w:eastAsia="Arial" w:hAnsi="Arial"/>
          <w:sz w:val="16"/>
          <w:szCs w:val="16"/>
          <w:color w:val="auto"/>
        </w:rPr>
      </w:pPr>
      <w:r>
        <w:rPr>
          <w:rFonts w:ascii="Arial" w:cs="Arial" w:eastAsia="Arial" w:hAnsi="Arial"/>
          <w:sz w:val="16"/>
          <w:szCs w:val="16"/>
          <w:color w:val="auto"/>
        </w:rPr>
        <w:t>notwithstanding the Company’s expatriate benefit policy for executives, continue to provide the Expatriate Benefits (as if the Executive were still an employed expatriate) as in effect immediately prior to the Date of Termination (or, if clause (i) or (ii) of “Good Reason” is implicated, immediately before any relevant diminution of the Executive’s Annual Base Salary, Target Annual Bonus, or Expatriate Benefits), during the 90-day period following the Date of Termination, or, if earlier, until the date on which the Executive’s primary residence is relocated back to the United States;</w:t>
      </w:r>
    </w:p>
    <w:p>
      <w:pPr>
        <w:spacing w:after="0" w:line="8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6"/>
          </w:cols>
          <w:pgMar w:left="444" w:top="274" w:right="439" w:bottom="1440" w:gutter="0" w:footer="0" w:header="0"/>
        </w:sectPr>
      </w:pPr>
    </w:p>
    <w:bookmarkStart w:id="15" w:name="page16"/>
    <w:bookmarkEnd w:id="15"/>
    <w:p>
      <w:pPr>
        <w:ind w:right="160" w:firstLine="885"/>
        <w:spacing w:after="0" w:line="277" w:lineRule="auto"/>
        <w:tabs>
          <w:tab w:leader="none" w:pos="1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the repatriation allowance and repatriation expenses, to the extent the Executive is eligible to receive such payments as part of the Expatriate Benefits; and</w:t>
      </w:r>
    </w:p>
    <w:p>
      <w:pPr>
        <w:spacing w:after="0" w:line="62" w:lineRule="exact"/>
        <w:rPr>
          <w:rFonts w:ascii="Arial" w:cs="Arial" w:eastAsia="Arial" w:hAnsi="Arial"/>
          <w:sz w:val="18"/>
          <w:szCs w:val="18"/>
          <w:color w:val="auto"/>
        </w:rPr>
      </w:pPr>
    </w:p>
    <w:p>
      <w:pPr>
        <w:ind w:right="180" w:firstLine="885"/>
        <w:spacing w:after="0" w:line="264" w:lineRule="auto"/>
        <w:tabs>
          <w:tab w:leader="none" w:pos="11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vesting of outstanding unvested equity awards (A) for any awards granted prior to January 1, 2018, in full as of the Date of Termination, and (B) for any awards granted on or following January 1, 2018, as set forth in the applicable award agreement or on Exhibit B-4, as applicable;</w:t>
      </w:r>
    </w:p>
    <w:p>
      <w:pPr>
        <w:spacing w:after="0" w:line="7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that all payments and benefits to be paid or provided pursuant to this Section 5(b) shall commence on the sixtieth (60th) day following the Date of Termination, and, only with respect to any cash payments, the initial installment of such payments shall include a lump-sum payment of all amounts accrued under this Section 5(b) from the Date of Termination through the date of such initial payment.</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Notwithstanding any provision in this Agreement to the contrary, if the Executive breaches any of the covenants contained in Sections 6 and 7 hereof, the Company shall have the right to cease providing any payments or benefits under this Section 5(b) and, if requested, the Executive shall repay to the Company within sixty (60) days of such request any previously paid payments or benefits under this Section 5(b);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unless the Company provides the Executive with written notice of the circumstances it believes constitutes a breach of such covenants within ninety (90) days after it becomes aware of such circumstances;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basis for the alleged breach is curable, then the Executive shall have fifteen (15) days after receipt of such written notice to cure such basis.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Payment of the amounts and benefits under this Section 5(b) or Section 5(c) below is in lieu of any other severance or separation pay payable to the Executive whether under any employment agreement, offer letter or severance program, plan or policy, applicable law (including the laws of the Republic of Korea) or other statute,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shall limit or otherwise affect the rights of the Executive may have under any statutory pension under Korean law that has accrued to the Executive’s account as of the Date of Termination.</w:t>
      </w:r>
    </w:p>
    <w:p>
      <w:pPr>
        <w:spacing w:after="0" w:line="63" w:lineRule="exact"/>
        <w:rPr>
          <w:sz w:val="20"/>
          <w:szCs w:val="20"/>
          <w:color w:val="auto"/>
        </w:rPr>
      </w:pPr>
    </w:p>
    <w:p>
      <w:pPr>
        <w:ind w:firstLine="444"/>
        <w:spacing w:after="0" w:line="284" w:lineRule="auto"/>
        <w:tabs>
          <w:tab w:leader="none" w:pos="68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xml:space="preserve">. In the event Executive’s employment terminates at the expiration of the Term after the Company has provided notice of the non-extension of the Term to Executive, Executive’s termination shall be treated, for all purposes under this Agreement and any equity agreements or plans, as a termination without Cause. Notwithstanding the foregoing, in the case of such non-renewal, the Salary Payment under Section 5(b)(i) and COBRA payments under Section 5(b)(ii) shall be reduced from twelve (12) months to the equivalent of six (6)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shall receive all other payments and consideration under Sections 5(b)(i)-(v), as applicable, including in the event of a non-renewal (x) during a period of time when the Company is party to a definitive corporate transaction agreement, the consummation of which would result in a Change in Control or</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within eighteen (18) months following a Change in Control, the enhanced payments triggered by a CIC Qualified Termination, if applicable.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6" w:name="page17"/>
    <w:bookmarkEnd w:id="16"/>
    <w:p>
      <w:pPr>
        <w:ind w:left="-4" w:right="40" w:firstLine="444"/>
        <w:spacing w:after="0" w:line="302" w:lineRule="auto"/>
        <w:tabs>
          <w:tab w:leader="none" w:pos="6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w:t>
      </w:r>
      <w:r>
        <w:rPr>
          <w:rFonts w:ascii="Arial" w:cs="Arial" w:eastAsia="Arial" w:hAnsi="Arial"/>
          <w:sz w:val="16"/>
          <w:szCs w:val="16"/>
          <w:color w:val="auto"/>
        </w:rPr>
        <w:t>. Notwithstanding anything herein to the contrary, the amounts payable and benefits to be provided to the Executive under Section 5(b) and Section 5(c), other than the Accrued Obligations, shall be contingent upon and subject to the Executive’s (or the Executive’s estate’s, if applicable) execution and non-revocation of a general waiver and release of claims agreement in substantially in the form attached as Exhibit C hereto (the “</w:t>
      </w:r>
      <w:r>
        <w:rPr>
          <w:rFonts w:ascii="Arial" w:cs="Arial" w:eastAsia="Arial" w:hAnsi="Arial"/>
          <w:sz w:val="16"/>
          <w:szCs w:val="16"/>
          <w:u w:val="single" w:color="auto"/>
          <w:color w:val="auto"/>
        </w:rPr>
        <w:t>Release</w:t>
      </w:r>
      <w:r>
        <w:rPr>
          <w:rFonts w:ascii="Arial" w:cs="Arial" w:eastAsia="Arial" w:hAnsi="Arial"/>
          <w:sz w:val="16"/>
          <w:szCs w:val="16"/>
          <w:color w:val="auto"/>
        </w:rPr>
        <w:t>”) (and the expiration of any applicable revocation period), on or prior to the sixtieth (60th) day following the Date of Termination.</w:t>
      </w:r>
    </w:p>
    <w:p>
      <w:pPr>
        <w:spacing w:after="0" w:line="46" w:lineRule="exact"/>
        <w:rPr>
          <w:rFonts w:ascii="Arial" w:cs="Arial" w:eastAsia="Arial" w:hAnsi="Arial"/>
          <w:sz w:val="16"/>
          <w:szCs w:val="16"/>
          <w:color w:val="auto"/>
        </w:rPr>
      </w:pPr>
    </w:p>
    <w:p>
      <w:pPr>
        <w:ind w:left="-4" w:right="80" w:firstLine="444"/>
        <w:spacing w:after="0" w:line="259" w:lineRule="auto"/>
        <w:tabs>
          <w:tab w:leader="none" w:pos="68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any of the parties under this Agreement which by their nature may require either partial or total performance after the termination of the Term or this Agreement (including those under Sections 3(e), 6, 7, 8, 9, and 10) will survive any termination of this Agreement. Further, the obligations under Section 5(c) that may require either partial or total performance after the termination of the Term will survive any termination of this Agreement for the length of the applicable severance benefit period.</w:t>
      </w:r>
    </w:p>
    <w:p>
      <w:pPr>
        <w:spacing w:after="0" w:line="186" w:lineRule="exact"/>
        <w:rPr>
          <w:rFonts w:ascii="Arial" w:cs="Arial" w:eastAsia="Arial" w:hAnsi="Arial"/>
          <w:sz w:val="18"/>
          <w:szCs w:val="18"/>
          <w:color w:val="auto"/>
        </w:rPr>
      </w:pPr>
    </w:p>
    <w:p>
      <w:pPr>
        <w:ind w:left="176" w:hanging="176"/>
        <w:spacing w:after="0"/>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444"/>
        <w:spacing w:after="0" w:line="273" w:lineRule="auto"/>
        <w:tabs>
          <w:tab w:leader="none" w:pos="682" w:val="left"/>
        </w:tabs>
        <w:numPr>
          <w:ilvl w:val="1"/>
          <w:numId w:val="2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employment with the Company, and for the twelve (12) month period following the Executive’s termination of employment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provided that the stock or other equity interest acquired is not more than five percent (5%) of the outstanding interest in such business;</w:t>
      </w:r>
    </w:p>
    <w:p>
      <w:pPr>
        <w:spacing w:after="0" w:line="70" w:lineRule="exact"/>
        <w:rPr>
          <w:rFonts w:ascii="Arial" w:cs="Arial" w:eastAsia="Arial" w:hAnsi="Arial"/>
          <w:sz w:val="17"/>
          <w:szCs w:val="17"/>
          <w:color w:val="auto"/>
        </w:rPr>
      </w:pPr>
    </w:p>
    <w:p>
      <w:pPr>
        <w:ind w:left="-4" w:firstLine="444"/>
        <w:spacing w:after="0" w:line="270" w:lineRule="auto"/>
        <w:tabs>
          <w:tab w:leader="none" w:pos="692" w:val="left"/>
        </w:tabs>
        <w:numPr>
          <w:ilvl w:val="1"/>
          <w:numId w:val="2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employment with the Company, and for the twelve (12) month period following the Executive’s termination of employment for any reason, the Executive will not, directly or indirectly, on the Executive’s own behalf or on behalf of another (i) solicit, induce or attempt to solicit or induce any officer, director, employee or consultant of the Company to terminate their relationship with or leave the employ of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twelve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73" w:lineRule="exact"/>
        <w:rPr>
          <w:rFonts w:ascii="Arial" w:cs="Arial" w:eastAsia="Arial" w:hAnsi="Arial"/>
          <w:sz w:val="17"/>
          <w:szCs w:val="17"/>
          <w:color w:val="auto"/>
        </w:rPr>
      </w:pPr>
    </w:p>
    <w:p>
      <w:pPr>
        <w:ind w:left="-4" w:firstLine="444"/>
        <w:spacing w:after="0" w:line="259" w:lineRule="auto"/>
        <w:tabs>
          <w:tab w:leader="none" w:pos="68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6"/>
          </w:cols>
          <w:pgMar w:left="444" w:top="274" w:right="439" w:bottom="1440" w:gutter="0" w:footer="0" w:header="0"/>
        </w:sectPr>
      </w:pPr>
    </w:p>
    <w:bookmarkStart w:id="17" w:name="page18"/>
    <w:bookmarkEnd w:id="1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63" w:lineRule="exact"/>
        <w:rPr>
          <w:sz w:val="20"/>
          <w:szCs w:val="20"/>
          <w:color w:val="auto"/>
        </w:rPr>
      </w:pPr>
    </w:p>
    <w:p>
      <w:pPr>
        <w:ind w:right="560" w:firstLine="444"/>
        <w:spacing w:after="0" w:line="277" w:lineRule="auto"/>
        <w:tabs>
          <w:tab w:leader="none" w:pos="6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used in this Section 6, the term “Company” shall include Parent, the Company, and any direct or indirect subsidiaries thereof or any successors thereto.</w:t>
      </w:r>
    </w:p>
    <w:p>
      <w:pPr>
        <w:spacing w:after="0" w:line="62" w:lineRule="exact"/>
        <w:rPr>
          <w:rFonts w:ascii="Arial" w:cs="Arial" w:eastAsia="Arial" w:hAnsi="Arial"/>
          <w:sz w:val="18"/>
          <w:szCs w:val="18"/>
          <w:color w:val="auto"/>
        </w:rPr>
      </w:pPr>
    </w:p>
    <w:p>
      <w:pPr>
        <w:ind w:left="180" w:hanging="176"/>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268" w:lineRule="auto"/>
        <w:tabs>
          <w:tab w:leader="none" w:pos="68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employment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77" w:lineRule="exact"/>
        <w:rPr>
          <w:rFonts w:ascii="Arial" w:cs="Arial" w:eastAsia="Arial" w:hAnsi="Arial"/>
          <w:sz w:val="17"/>
          <w:szCs w:val="17"/>
          <w:color w:val="auto"/>
        </w:rPr>
      </w:pPr>
    </w:p>
    <w:p>
      <w:pPr>
        <w:jc w:val="both"/>
        <w:ind w:right="40" w:firstLine="444"/>
        <w:spacing w:after="0" w:line="286" w:lineRule="auto"/>
        <w:tabs>
          <w:tab w:leader="none" w:pos="69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shall not, at any time during his employment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57" w:lineRule="exact"/>
        <w:rPr>
          <w:rFonts w:ascii="Arial" w:cs="Arial" w:eastAsia="Arial" w:hAnsi="Arial"/>
          <w:sz w:val="17"/>
          <w:szCs w:val="17"/>
          <w:color w:val="auto"/>
        </w:rPr>
      </w:pPr>
    </w:p>
    <w:p>
      <w:pPr>
        <w:ind w:left="680" w:hanging="236"/>
        <w:spacing w:after="0"/>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885"/>
        <w:spacing w:after="0" w:line="308" w:lineRule="auto"/>
        <w:tabs>
          <w:tab w:leader="none" w:pos="1096" w:val="left"/>
        </w:tabs>
        <w:numPr>
          <w:ilvl w:val="2"/>
          <w:numId w:val="22"/>
        </w:numPr>
        <w:rPr>
          <w:rFonts w:ascii="Arial" w:cs="Arial" w:eastAsia="Arial" w:hAnsi="Arial"/>
          <w:sz w:val="17"/>
          <w:szCs w:val="17"/>
          <w:color w:val="auto"/>
        </w:rPr>
      </w:pPr>
      <w:r>
        <w:rPr>
          <w:rFonts w:ascii="Arial" w:cs="Arial" w:eastAsia="Arial" w:hAnsi="Arial"/>
          <w:sz w:val="17"/>
          <w:szCs w:val="17"/>
          <w:color w:val="auto"/>
        </w:rPr>
        <w:t>The Executive agrees that the results and proceeds of the Executive’s services for the Company (including any trade secrets, products, services, processes, know-how, designs, developments, innovations, analyses, drawings, reports, techniques, formulas, methods,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Affiliates),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70" w:lineRule="exact"/>
        <w:rPr>
          <w:sz w:val="20"/>
          <w:szCs w:val="20"/>
          <w:color w:val="auto"/>
        </w:rPr>
      </w:pPr>
    </w:p>
    <w:p>
      <w:pPr>
        <w:ind w:right="40" w:firstLine="885"/>
        <w:spacing w:after="0" w:line="286" w:lineRule="auto"/>
        <w:tabs>
          <w:tab w:leader="none" w:pos="11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employment with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 w:name="page20"/>
    <w:bookmarkEnd w:id="19"/>
    <w:p>
      <w:pPr>
        <w:ind w:left="-4" w:right="560" w:firstLine="444"/>
        <w:spacing w:after="0" w:line="277" w:lineRule="auto"/>
        <w:tabs>
          <w:tab w:leader="none" w:pos="692"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Section 7, the term “Company” shall include Parent, the Company, and any direct or indirect subsidiaries thereof or any successors thereto.</w:t>
      </w:r>
    </w:p>
    <w:p>
      <w:pPr>
        <w:spacing w:after="0" w:line="62" w:lineRule="exact"/>
        <w:rPr>
          <w:rFonts w:ascii="Arial" w:cs="Arial" w:eastAsia="Arial" w:hAnsi="Arial"/>
          <w:sz w:val="18"/>
          <w:szCs w:val="18"/>
          <w:color w:val="auto"/>
        </w:rPr>
      </w:pPr>
    </w:p>
    <w:p>
      <w:pPr>
        <w:ind w:left="676" w:hanging="236"/>
        <w:spacing w:after="0"/>
        <w:tabs>
          <w:tab w:leader="none" w:pos="67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Protected Disclosures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885"/>
        <w:spacing w:after="0" w:line="259" w:lineRule="auto"/>
        <w:tabs>
          <w:tab w:leader="none" w:pos="1093"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78" w:lineRule="exact"/>
        <w:rPr>
          <w:rFonts w:ascii="Arial" w:cs="Arial" w:eastAsia="Arial" w:hAnsi="Arial"/>
          <w:sz w:val="18"/>
          <w:szCs w:val="18"/>
          <w:color w:val="auto"/>
        </w:rPr>
      </w:pPr>
    </w:p>
    <w:p>
      <w:pPr>
        <w:ind w:left="-4" w:right="40" w:firstLine="885"/>
        <w:spacing w:after="0" w:line="293" w:lineRule="auto"/>
        <w:tabs>
          <w:tab w:leader="none" w:pos="1143" w:val="left"/>
        </w:tabs>
        <w:numPr>
          <w:ilvl w:val="2"/>
          <w:numId w:val="24"/>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56" w:lineRule="exact"/>
        <w:rPr>
          <w:rFonts w:ascii="Arial" w:cs="Arial" w:eastAsia="Arial" w:hAnsi="Arial"/>
          <w:sz w:val="16"/>
          <w:szCs w:val="16"/>
          <w:color w:val="auto"/>
        </w:rPr>
      </w:pPr>
    </w:p>
    <w:p>
      <w:pPr>
        <w:ind w:left="-4" w:right="140" w:firstLine="885"/>
        <w:spacing w:after="0" w:line="288" w:lineRule="auto"/>
        <w:tabs>
          <w:tab w:leader="none" w:pos="1193" w:val="left"/>
        </w:tabs>
        <w:numPr>
          <w:ilvl w:val="2"/>
          <w:numId w:val="24"/>
        </w:numPr>
        <w:rPr>
          <w:rFonts w:ascii="Arial" w:cs="Arial" w:eastAsia="Arial" w:hAnsi="Arial"/>
          <w:sz w:val="16"/>
          <w:szCs w:val="16"/>
          <w:color w:val="auto"/>
        </w:rPr>
      </w:pPr>
      <w:r>
        <w:rPr>
          <w:rFonts w:ascii="Arial" w:cs="Arial" w:eastAsia="Arial" w:hAnsi="Arial"/>
          <w:sz w:val="16"/>
          <w:szCs w:val="16"/>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w:t>
      </w:r>
    </w:p>
    <w:p>
      <w:pPr>
        <w:ind w:left="-4" w:firstLine="4"/>
        <w:spacing w:after="0" w:line="255" w:lineRule="auto"/>
        <w:tabs>
          <w:tab w:leader="none" w:pos="2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82" w:lineRule="exact"/>
        <w:rPr>
          <w:rFonts w:ascii="Arial" w:cs="Arial" w:eastAsia="Arial" w:hAnsi="Arial"/>
          <w:sz w:val="18"/>
          <w:szCs w:val="18"/>
          <w:color w:val="auto"/>
        </w:rPr>
      </w:pPr>
    </w:p>
    <w:p>
      <w:pPr>
        <w:ind w:left="-4" w:right="440" w:firstLine="885"/>
        <w:spacing w:after="0" w:line="308" w:lineRule="auto"/>
        <w:tabs>
          <w:tab w:leader="none" w:pos="1183" w:val="left"/>
        </w:tabs>
        <w:numPr>
          <w:ilvl w:val="2"/>
          <w:numId w:val="25"/>
        </w:numPr>
        <w:rPr>
          <w:rFonts w:ascii="Arial" w:cs="Arial" w:eastAsia="Arial" w:hAnsi="Arial"/>
          <w:sz w:val="17"/>
          <w:szCs w:val="17"/>
          <w:color w:val="auto"/>
        </w:rPr>
      </w:pPr>
      <w:r>
        <w:rPr>
          <w:rFonts w:ascii="Arial" w:cs="Arial" w:eastAsia="Arial" w:hAnsi="Arial"/>
          <w:sz w:val="17"/>
          <w:szCs w:val="17"/>
          <w:color w:val="auto"/>
        </w:rPr>
        <w:t>The foregoing provisions regarding protected disclosures are intended to comply with all applicable laws. If any laws are adopted, amended or repealed after the execution of this Agreement, this Section 7(e) shall be deemed to be amended to reflect the same.</w:t>
      </w:r>
    </w:p>
    <w:p>
      <w:pPr>
        <w:spacing w:after="0" w:line="38" w:lineRule="exact"/>
        <w:rPr>
          <w:sz w:val="20"/>
          <w:szCs w:val="20"/>
          <w:color w:val="auto"/>
        </w:rPr>
      </w:pPr>
    </w:p>
    <w:p>
      <w:pPr>
        <w:ind w:left="-4" w:right="60" w:firstLine="4"/>
        <w:spacing w:after="0" w:line="279" w:lineRule="auto"/>
        <w:tabs>
          <w:tab w:leader="none" w:pos="17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The Executive recognizes and acknowledges that a breach of any of the covenants contained in Sections 6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Sections 6 and 7, in addition to any other remedy that may be available at law or in equity, the Company</w:t>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6"/>
          </w:cols>
          <w:pgMar w:left="444" w:top="274" w:right="459" w:bottom="1440" w:gutter="0" w:footer="0" w:header="0"/>
        </w:sectPr>
      </w:pPr>
    </w:p>
    <w:bookmarkStart w:id="20" w:name="page21"/>
    <w:bookmarkEnd w:id="2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be entitled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73" w:lineRule="exact"/>
        <w:rPr>
          <w:sz w:val="20"/>
          <w:szCs w:val="20"/>
          <w:color w:val="auto"/>
        </w:rPr>
      </w:pPr>
    </w:p>
    <w:p>
      <w:pPr>
        <w:ind w:right="100" w:firstLine="4"/>
        <w:spacing w:after="0" w:line="270"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During the Executive’s employment and service as a director or officer (or both) and at all times thereafter during which the Executive may be subject to liability, the Executive shall be entitled to the protection set forth in the Indemnification Agreement between the Executive and the Company, dated November 3, 2015, in addition to the protection of any insurance policies the Company may elect to maintain generally for the benefit of its directors and officers against all costs, charges, and expenses incurred or sustained by him in connection with any action, suit, or proceeding to which he may be made a party by reason of his being or having been a director, officer, or employee of the Company or any of its subsidiaries, as well as any rights the Executive may have under the Company’s articles of incorporation and bylaws (in each case, other than any dispute, claim, or controversy arising under or relating to this Agreement or otherwise arising under or relating to the Executive’s employment, equity ownership or compensation). Notwithstanding anything to the contrary herein, the Executive’s rights under this Section 9 shall survive the termination of his employment for any reason and the expiration of this Agreement for any reason.</w:t>
      </w:r>
    </w:p>
    <w:p>
      <w:pPr>
        <w:spacing w:after="0" w:line="73" w:lineRule="exact"/>
        <w:rPr>
          <w:rFonts w:ascii="Arial" w:cs="Arial" w:eastAsia="Arial" w:hAnsi="Arial"/>
          <w:sz w:val="17"/>
          <w:szCs w:val="17"/>
          <w:color w:val="auto"/>
        </w:rPr>
      </w:pPr>
    </w:p>
    <w:p>
      <w:pPr>
        <w:ind w:right="220" w:firstLine="4"/>
        <w:spacing w:after="0" w:line="270" w:lineRule="auto"/>
        <w:tabs>
          <w:tab w:leader="none" w:pos="27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Executive agrees that, subject to the Executive’s reasonable availability, during and after the Executive’s employment by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employment (including furnishing relevant information and materials to the Company or its designee and/or providing testimony at depositions and at trial);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reimburse the Executive for reasonable out-of-pocket expenses the Executive incurs that are associated with any such cooperation;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cooperation occurring after the termination of the Executive’s employment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69" w:lineRule="exact"/>
        <w:rPr>
          <w:rFonts w:ascii="Arial" w:cs="Arial" w:eastAsia="Arial" w:hAnsi="Arial"/>
          <w:sz w:val="17"/>
          <w:szCs w:val="17"/>
          <w:color w:val="auto"/>
        </w:rPr>
      </w:pPr>
    </w:p>
    <w:p>
      <w:pPr>
        <w:ind w:left="260" w:hanging="256"/>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273" w:lineRule="auto"/>
        <w:tabs>
          <w:tab w:leader="none" w:pos="685"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1" w:name="page22"/>
    <w:bookmarkEnd w:id="2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this Section 11(a)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58" w:lineRule="exact"/>
        <w:rPr>
          <w:sz w:val="20"/>
          <w:szCs w:val="20"/>
          <w:color w:val="auto"/>
        </w:rPr>
      </w:pPr>
    </w:p>
    <w:p>
      <w:pPr>
        <w:ind w:firstLine="444"/>
        <w:spacing w:after="0" w:line="284"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Notwithstanding any provision to the contrary in this Agreement: (i) no amount shall be payable pursuant to Section 5(a), (b) or (c) unless the termination of the Executive’s employment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5(a), (b) or (c),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earlier of such dates, all payments deferred pursuant to this Section 11(b)(ii)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1.409A-1(i)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2" w:name="page23"/>
    <w:bookmarkEnd w:id="22"/>
    <w:p>
      <w:pPr>
        <w:ind w:left="280" w:hanging="276"/>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280G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283" w:lineRule="auto"/>
        <w:tabs>
          <w:tab w:leader="none" w:pos="685"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(2)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w:t>
      </w:r>
    </w:p>
    <w:p>
      <w:pPr>
        <w:spacing w:after="0" w:line="3"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82" w:lineRule="exact"/>
        <w:rPr>
          <w:rFonts w:ascii="Arial" w:cs="Arial" w:eastAsia="Arial" w:hAnsi="Arial"/>
          <w:sz w:val="16"/>
          <w:szCs w:val="16"/>
          <w:color w:val="auto"/>
        </w:rPr>
      </w:pPr>
    </w:p>
    <w:p>
      <w:pPr>
        <w:jc w:val="both"/>
        <w:ind w:right="200" w:firstLine="444"/>
        <w:spacing w:after="0" w:line="286" w:lineRule="auto"/>
        <w:tabs>
          <w:tab w:leader="none" w:pos="696" w:val="left"/>
        </w:tabs>
        <w:numPr>
          <w:ilvl w:val="1"/>
          <w:numId w:val="29"/>
        </w:numPr>
        <w:rPr>
          <w:rFonts w:ascii="Arial" w:cs="Arial" w:eastAsia="Arial" w:hAnsi="Arial"/>
          <w:sz w:val="16"/>
          <w:szCs w:val="16"/>
          <w:color w:val="auto"/>
        </w:rPr>
      </w:pPr>
      <w:r>
        <w:rPr>
          <w:rFonts w:ascii="Arial" w:cs="Arial" w:eastAsia="Arial" w:hAnsi="Arial"/>
          <w:sz w:val="16"/>
          <w:szCs w:val="16"/>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w:t>
      </w:r>
    </w:p>
    <w:p>
      <w:pPr>
        <w:spacing w:after="0" w:line="1"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12(b).</w:t>
      </w:r>
    </w:p>
    <w:p>
      <w:pPr>
        <w:spacing w:after="0" w:line="81" w:lineRule="exact"/>
        <w:rPr>
          <w:rFonts w:ascii="Arial" w:cs="Arial" w:eastAsia="Arial" w:hAnsi="Arial"/>
          <w:sz w:val="16"/>
          <w:szCs w:val="16"/>
          <w:color w:val="auto"/>
        </w:rPr>
      </w:pPr>
    </w:p>
    <w:p>
      <w:pPr>
        <w:ind w:firstLine="4"/>
        <w:spacing w:after="0" w:line="308" w:lineRule="auto"/>
        <w:tabs>
          <w:tab w:leader="none" w:pos="27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Company may assign its rights and obligations under this Agreement to any entity, including any successor to all or substantially all the assets of the Company, by merger or otherwise, and may assign or encumber this Agreement and its rights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to the Executive (including under Section 5) shall be paid to his estate.</w:t>
      </w:r>
    </w:p>
    <w:p>
      <w:pPr>
        <w:spacing w:after="0" w:line="80" w:lineRule="exact"/>
        <w:rPr>
          <w:sz w:val="20"/>
          <w:szCs w:val="20"/>
          <w:color w:val="auto"/>
        </w:rPr>
      </w:pPr>
    </w:p>
    <w:p>
      <w:pPr>
        <w:jc w:val="both"/>
        <w:ind w:right="380" w:firstLine="4"/>
        <w:spacing w:after="0" w:line="264"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73" w:lineRule="exact"/>
        <w:rPr>
          <w:rFonts w:ascii="Arial" w:cs="Arial" w:eastAsia="Arial" w:hAnsi="Arial"/>
          <w:sz w:val="18"/>
          <w:szCs w:val="18"/>
          <w:color w:val="auto"/>
        </w:rPr>
      </w:pPr>
    </w:p>
    <w:p>
      <w:pPr>
        <w:ind w:right="360" w:firstLine="4"/>
        <w:spacing w:after="0" w:line="277"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color w:val="auto"/>
        </w:rPr>
      </w:pPr>
    </w:p>
    <w:p>
      <w:pPr>
        <w:ind w:right="40" w:firstLine="4"/>
        <w:spacing w:after="0" w:line="259"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79" w:lineRule="exact"/>
        <w:rPr>
          <w:sz w:val="20"/>
          <w:szCs w:val="20"/>
          <w:color w:val="auto"/>
        </w:rPr>
      </w:pPr>
    </w:p>
    <w:p>
      <w:pPr>
        <w:ind w:left="1440" w:right="4220" w:hanging="996"/>
        <w:spacing w:after="0" w:line="375"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Chairman of the Board, and a copy (which shall not constitute notice) to:</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Milbank, Tweed, Hadley &amp;M</w:t>
      </w:r>
      <w:r>
        <w:rPr>
          <w:rFonts w:ascii="Arial" w:cs="Arial" w:eastAsia="Arial" w:hAnsi="Arial"/>
          <w:sz w:val="15"/>
          <w:szCs w:val="15"/>
          <w:u w:val="single" w:color="auto"/>
          <w:color w:val="auto"/>
        </w:rPr>
        <w:t>c</w:t>
      </w:r>
      <w:r>
        <w:rPr>
          <w:rFonts w:ascii="Arial" w:cs="Arial" w:eastAsia="Arial" w:hAnsi="Arial"/>
          <w:sz w:val="18"/>
          <w:szCs w:val="18"/>
          <w:color w:val="auto"/>
        </w:rPr>
        <w:t>Cloy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 (212) 822-5501</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Manan Shah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mdshah@milbank.com</w:t>
      </w:r>
    </w:p>
    <w:p>
      <w:pPr>
        <w:spacing w:after="0" w:line="103" w:lineRule="exact"/>
        <w:rPr>
          <w:sz w:val="20"/>
          <w:szCs w:val="20"/>
          <w:color w:val="auto"/>
        </w:rPr>
      </w:pPr>
    </w:p>
    <w:p>
      <w:pPr>
        <w:ind w:left="700" w:hanging="256"/>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117" w:lineRule="exact"/>
        <w:rPr>
          <w:rFonts w:ascii="Arial" w:cs="Arial" w:eastAsia="Arial" w:hAnsi="Arial"/>
          <w:sz w:val="18"/>
          <w:szCs w:val="18"/>
          <w:color w:val="auto"/>
        </w:rPr>
      </w:pPr>
    </w:p>
    <w:p>
      <w:pPr>
        <w:ind w:right="220" w:firstLine="4"/>
        <w:spacing w:after="0" w:line="277"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62" w:lineRule="exact"/>
        <w:rPr>
          <w:rFonts w:ascii="Arial" w:cs="Arial" w:eastAsia="Arial" w:hAnsi="Arial"/>
          <w:sz w:val="18"/>
          <w:szCs w:val="18"/>
          <w:color w:val="auto"/>
        </w:rPr>
      </w:pPr>
    </w:p>
    <w:p>
      <w:pPr>
        <w:ind w:right="80" w:firstLine="4"/>
        <w:spacing w:after="0" w:line="264"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 w:name="page25"/>
    <w:bookmarkEnd w:id="24"/>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offer letter, dated September 27, 2014, by and between the Executive and the Company, and the Prior Agreement),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57" w:lineRule="exact"/>
        <w:rPr>
          <w:sz w:val="20"/>
          <w:szCs w:val="20"/>
          <w:color w:val="auto"/>
        </w:rPr>
      </w:pPr>
    </w:p>
    <w:p>
      <w:pPr>
        <w:ind w:firstLine="4"/>
        <w:spacing w:after="0" w:line="255"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81" w:lineRule="exact"/>
        <w:rPr>
          <w:rFonts w:ascii="Arial" w:cs="Arial" w:eastAsia="Arial" w:hAnsi="Arial"/>
          <w:sz w:val="18"/>
          <w:szCs w:val="18"/>
          <w:color w:val="auto"/>
        </w:rPr>
      </w:pPr>
    </w:p>
    <w:p>
      <w:pPr>
        <w:jc w:val="both"/>
        <w:ind w:right="180" w:firstLine="4"/>
        <w:spacing w:after="0" w:line="264"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73" w:lineRule="exact"/>
        <w:rPr>
          <w:rFonts w:ascii="Arial" w:cs="Arial" w:eastAsia="Arial" w:hAnsi="Arial"/>
          <w:sz w:val="18"/>
          <w:szCs w:val="18"/>
          <w:color w:val="auto"/>
        </w:rPr>
      </w:pPr>
    </w:p>
    <w:p>
      <w:pPr>
        <w:ind w:right="20" w:firstLine="4"/>
        <w:spacing w:after="0" w:line="285" w:lineRule="auto"/>
        <w:tabs>
          <w:tab w:leader="none" w:pos="27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w:t>
      </w:r>
    </w:p>
    <w:p>
      <w:pPr>
        <w:spacing w:after="0" w:line="2" w:lineRule="exact"/>
        <w:rPr>
          <w:rFonts w:ascii="Arial" w:cs="Arial" w:eastAsia="Arial" w:hAnsi="Arial"/>
          <w:sz w:val="16"/>
          <w:szCs w:val="16"/>
          <w:color w:val="auto"/>
        </w:rPr>
      </w:pPr>
    </w:p>
    <w:p>
      <w:pPr>
        <w:ind w:right="320"/>
        <w:spacing w:after="0" w:line="255" w:lineRule="auto"/>
        <w:rPr>
          <w:rFonts w:ascii="Arial" w:cs="Arial" w:eastAsia="Arial" w:hAnsi="Arial"/>
          <w:sz w:val="16"/>
          <w:szCs w:val="16"/>
          <w:color w:val="auto"/>
        </w:rPr>
      </w:pPr>
      <w:r>
        <w:rPr>
          <w:rFonts w:ascii="Arial" w:cs="Arial" w:eastAsia="Arial" w:hAnsi="Arial"/>
          <w:sz w:val="18"/>
          <w:szCs w:val="18"/>
          <w:color w:val="auto"/>
        </w:rPr>
        <w:t>(c)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82" w:lineRule="exact"/>
        <w:rPr>
          <w:rFonts w:ascii="Arial" w:cs="Arial" w:eastAsia="Arial" w:hAnsi="Arial"/>
          <w:sz w:val="16"/>
          <w:szCs w:val="16"/>
          <w:color w:val="auto"/>
        </w:rPr>
      </w:pPr>
    </w:p>
    <w:p>
      <w:pPr>
        <w:ind w:right="20" w:firstLine="4"/>
        <w:spacing w:after="0" w:line="257"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such proceeding. EACH PARTY HEREBY IRREVOCABLY WAIVES ALL RIGHT TO A TRIAL BY JURY IN ANY SUIT,</w:t>
      </w:r>
    </w:p>
    <w:p>
      <w:pPr>
        <w:spacing w:after="0" w:line="3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ACTION OR OTHER PROCEEDING INSTITUTED BY OR AGAINST SUCH PARTY IN RESPECT OF ITS RIGHTS OR OBLIGATIONS HEREUNDER.</w:t>
      </w:r>
    </w:p>
    <w:p>
      <w:pPr>
        <w:spacing w:after="0" w:line="76" w:lineRule="exact"/>
        <w:rPr>
          <w:sz w:val="20"/>
          <w:szCs w:val="20"/>
          <w:color w:val="auto"/>
        </w:rPr>
      </w:pPr>
    </w:p>
    <w:p>
      <w:pPr>
        <w:ind w:right="40" w:firstLine="4"/>
        <w:spacing w:after="0" w:line="273"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70" w:lineRule="exact"/>
        <w:rPr>
          <w:rFonts w:ascii="Arial" w:cs="Arial" w:eastAsia="Arial" w:hAnsi="Arial"/>
          <w:sz w:val="17"/>
          <w:szCs w:val="17"/>
          <w:color w:val="auto"/>
        </w:rPr>
      </w:pPr>
    </w:p>
    <w:p>
      <w:pPr>
        <w:ind w:right="20" w:firstLine="4"/>
        <w:spacing w:after="0" w:line="264"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73" w:lineRule="exact"/>
        <w:rPr>
          <w:rFonts w:ascii="Arial" w:cs="Arial" w:eastAsia="Arial" w:hAnsi="Arial"/>
          <w:sz w:val="18"/>
          <w:szCs w:val="18"/>
          <w:color w:val="auto"/>
        </w:rPr>
      </w:pPr>
    </w:p>
    <w:p>
      <w:pPr>
        <w:ind w:right="160" w:firstLine="4"/>
        <w:spacing w:after="0" w:line="273"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To the extent required by applicable law (including, without limitation,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70" w:lineRule="exact"/>
        <w:rPr>
          <w:rFonts w:ascii="Arial" w:cs="Arial" w:eastAsia="Arial" w:hAnsi="Arial"/>
          <w:sz w:val="17"/>
          <w:szCs w:val="17"/>
          <w:color w:val="auto"/>
        </w:rPr>
      </w:pPr>
    </w:p>
    <w:p>
      <w:pPr>
        <w:ind w:right="80" w:firstLine="4"/>
        <w:spacing w:after="0" w:line="308" w:lineRule="auto"/>
        <w:tabs>
          <w:tab w:leader="none" w:pos="27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38" w:lineRule="exact"/>
        <w:rPr>
          <w:rFonts w:ascii="Arial" w:cs="Arial" w:eastAsia="Arial" w:hAnsi="Arial"/>
          <w:sz w:val="17"/>
          <w:szCs w:val="17"/>
          <w:color w:val="auto"/>
        </w:rPr>
      </w:pPr>
    </w:p>
    <w:p>
      <w:pPr>
        <w:ind w:firstLine="4"/>
        <w:spacing w:after="0" w:line="284" w:lineRule="auto"/>
        <w:tabs>
          <w:tab w:leader="none" w:pos="27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Employee Representations</w:t>
      </w:r>
      <w:r>
        <w:rPr>
          <w:rFonts w:ascii="Arial" w:cs="Arial" w:eastAsia="Arial" w:hAnsi="Arial"/>
          <w:sz w:val="16"/>
          <w:szCs w:val="16"/>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w:t>
      </w:r>
    </w:p>
    <w:p>
      <w:pPr>
        <w:spacing w:after="0" w:line="4"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(v) the Executive shall keep all terms of this Agreement confidential, except with respect to disclosure to the Executive’s spouse, accountants or attorneys, each of whom shall agree to keep all terms of this Agreement confidential.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6" w:name="page27"/>
    <w:bookmarkEnd w:id="26"/>
    <w:p>
      <w:pPr>
        <w:ind w:left="-4" w:firstLine="4"/>
        <w:spacing w:after="0" w:line="277" w:lineRule="auto"/>
        <w:tabs>
          <w:tab w:leader="none" w:pos="26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170"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6"/>
          </w:cols>
          <w:pgMar w:left="444"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executed this Agreement as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Representative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Theodore Kim</w:t>
      </w:r>
    </w:p>
    <w:p>
      <w:pPr>
        <w:sectPr>
          <w:pgSz w:w="11900" w:h="16838" w:orient="portrait"/>
          <w:cols w:equalWidth="0" w:num="1">
            <w:col w:w="10860"/>
          </w:cols>
          <w:pgMar w:left="440" w:top="274" w:right="5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060" w:type="dxa"/>
            <w:vAlign w:val="bottom"/>
            <w:gridSpan w:val="4"/>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9"/>
              </w:rPr>
              <w:t>EXPATRIATE BENEFITS</w:t>
            </w:r>
          </w:p>
        </w:tc>
      </w:tr>
      <w:tr>
        <w:trPr>
          <w:trHeight w:val="43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Benefit</w:t>
            </w: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4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8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Housing Support</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7"/>
              </w:rPr>
              <w:t>The Executive will receive housing support/reimbursement from the Company while the Executive</w:t>
            </w:r>
          </w:p>
        </w:tc>
      </w:tr>
      <w:tr>
        <w:trPr>
          <w:trHeight w:val="190"/>
        </w:trPr>
        <w:tc>
          <w:tcPr>
            <w:tcW w:w="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420" w:type="dxa"/>
            <w:vAlign w:val="bottom"/>
            <w:gridSpan w:val="8"/>
          </w:tcPr>
          <w:p>
            <w:pPr>
              <w:ind w:left="800"/>
              <w:spacing w:after="0" w:line="190" w:lineRule="exact"/>
              <w:rPr>
                <w:sz w:val="20"/>
                <w:szCs w:val="20"/>
                <w:color w:val="auto"/>
              </w:rPr>
            </w:pPr>
            <w:r>
              <w:rPr>
                <w:rFonts w:ascii="Arial" w:cs="Arial" w:eastAsia="Arial" w:hAnsi="Arial"/>
                <w:sz w:val="18"/>
                <w:szCs w:val="18"/>
                <w:color w:val="auto"/>
                <w:w w:val="93"/>
              </w:rPr>
              <w:t>remains in (i) the same housing as he maintains as of the Effective Date or (ii) other housing, provided</w:t>
            </w:r>
          </w:p>
        </w:tc>
      </w:tr>
      <w:tr>
        <w:trPr>
          <w:trHeight w:val="20"/>
        </w:trPr>
        <w:tc>
          <w:tcPr>
            <w:tcW w:w="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540" w:type="dxa"/>
            <w:vAlign w:val="bottom"/>
            <w:gridSpan w:val="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1"/>
              </w:rPr>
              <w:t>that the total amount of housing support/reimbursement for such other housing (taking into account rent,</w:t>
            </w:r>
          </w:p>
        </w:tc>
      </w:tr>
      <w:tr>
        <w:trPr>
          <w:trHeight w:val="216"/>
        </w:trPr>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1"/>
              </w:rPr>
              <w:t>deposit and other similar expenses arising out of the lease) shall not exceed the total amount of housing</w:t>
            </w:r>
          </w:p>
        </w:tc>
      </w:tr>
      <w:tr>
        <w:trPr>
          <w:trHeight w:val="216"/>
        </w:trPr>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2"/>
              </w:rPr>
              <w:t>support/reimbursement applicable to the housing he maintains as of the Effective Date. The Board shall</w:t>
            </w:r>
          </w:p>
        </w:tc>
      </w:tr>
      <w:tr>
        <w:trPr>
          <w:trHeight w:val="216"/>
        </w:trPr>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have sole discretion to increase (or not increase) the cost limitation set forth in the immediately</w:t>
            </w:r>
          </w:p>
        </w:tc>
      </w:tr>
      <w:tr>
        <w:trPr>
          <w:trHeight w:val="230"/>
        </w:trPr>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preceding sentence.</w:t>
            </w:r>
          </w:p>
        </w:tc>
      </w:tr>
      <w:tr>
        <w:trPr>
          <w:trHeight w:val="31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Housing Expenses</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2"/>
              </w:rPr>
              <w:t>The Executive will receive support/reimbursement from the Company for reasonable housing expenses,</w:t>
            </w:r>
          </w:p>
        </w:tc>
      </w:tr>
      <w:tr>
        <w:trPr>
          <w:trHeight w:val="230"/>
        </w:trPr>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including management fees and utilities.</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Tuition for Children</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Gross tuition, including bus fees, as applicable from time to time.</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Tax EQ</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Federal and, if applicable, state.</w:t>
            </w:r>
          </w:p>
        </w:tc>
      </w:tr>
      <w:tr>
        <w:trPr>
          <w:trHeight w:val="31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Life insurance coverage ($2 million) for Executive.</w:t>
            </w:r>
          </w:p>
        </w:tc>
      </w:tr>
      <w:tr>
        <w:trPr>
          <w:trHeight w:val="230"/>
        </w:trPr>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Health insurance coverage for Executive and family.</w:t>
            </w:r>
          </w:p>
        </w:tc>
      </w:tr>
      <w:tr>
        <w:trPr>
          <w:trHeight w:val="33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Vehicle (commensurate with title) and driver.</w:t>
            </w:r>
          </w:p>
        </w:tc>
      </w:tr>
      <w:tr>
        <w:trPr>
          <w:trHeight w:val="31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Home Leave Expense</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4"/>
              </w:rPr>
              <w:t>Round-trip business class airfare for (i) Executive to visit his family in the U.S. once a year and (ii) his</w:t>
            </w:r>
          </w:p>
        </w:tc>
      </w:tr>
      <w:tr>
        <w:trPr>
          <w:trHeight w:val="216"/>
        </w:trPr>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2"/>
              </w:rPr>
              <w:t>family to visit him in Korea once a year. For the avoidance of doubt, in Executive’s case and as used in</w:t>
            </w:r>
          </w:p>
        </w:tc>
      </w:tr>
      <w:tr>
        <w:trPr>
          <w:trHeight w:val="230"/>
        </w:trPr>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this section, the term “family” includes his parents and his son.</w:t>
            </w:r>
          </w:p>
        </w:tc>
      </w:tr>
      <w:tr>
        <w:trPr>
          <w:trHeight w:val="310"/>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Repatriation Expense</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Actual cost of relocation (including disassembly, packing, shipping, unpacking and assembly of</w:t>
            </w:r>
          </w:p>
        </w:tc>
      </w:tr>
      <w:tr>
        <w:trPr>
          <w:trHeight w:val="216"/>
        </w:trPr>
        <w:tc>
          <w:tcPr>
            <w:tcW w:w="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household goods) up to $50,000.</w:t>
            </w:r>
          </w:p>
        </w:tc>
      </w:tr>
      <w:tr>
        <w:trPr>
          <w:trHeight w:val="230"/>
        </w:trPr>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One-way business class airfare for Executive and family.</w:t>
            </w:r>
          </w:p>
        </w:tc>
      </w:tr>
      <w:tr>
        <w:trPr>
          <w:trHeight w:val="33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Repatriation Allowance</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rPr>
              <w:t>One-time lump sum allowance in the amount of one months’ base salary.</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Exception</w:t>
            </w:r>
          </w:p>
        </w:tc>
        <w:tc>
          <w:tcPr>
            <w:tcW w:w="8420" w:type="dxa"/>
            <w:vAlign w:val="bottom"/>
            <w:gridSpan w:val="8"/>
          </w:tcPr>
          <w:p>
            <w:pPr>
              <w:ind w:left="800"/>
              <w:spacing w:after="0"/>
              <w:rPr>
                <w:sz w:val="20"/>
                <w:szCs w:val="20"/>
                <w:color w:val="auto"/>
              </w:rPr>
            </w:pPr>
            <w:r>
              <w:rPr>
                <w:rFonts w:ascii="Arial" w:cs="Arial" w:eastAsia="Arial" w:hAnsi="Arial"/>
                <w:sz w:val="18"/>
                <w:szCs w:val="18"/>
                <w:color w:val="auto"/>
                <w:w w:val="99"/>
              </w:rPr>
              <w:t>If termination is for Cause, then Repatriation Expense and Repatriation Allowance will not apply.</w:t>
            </w:r>
          </w:p>
        </w:tc>
      </w:tr>
      <w:tr>
        <w:trPr>
          <w:trHeight w:val="365"/>
        </w:trPr>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360" w:type="dxa"/>
            <w:vAlign w:val="bottom"/>
            <w:gridSpan w:val="4"/>
          </w:tcPr>
          <w:p>
            <w:pPr>
              <w:jc w:val="center"/>
              <w:ind w:left="2330"/>
              <w:spacing w:after="0"/>
              <w:rPr>
                <w:sz w:val="20"/>
                <w:szCs w:val="20"/>
                <w:color w:val="auto"/>
              </w:rPr>
            </w:pPr>
            <w:r>
              <w:rPr>
                <w:rFonts w:ascii="Arial" w:cs="Arial" w:eastAsia="Arial" w:hAnsi="Arial"/>
                <w:sz w:val="18"/>
                <w:szCs w:val="18"/>
                <w:color w:val="auto"/>
                <w:w w:val="89"/>
              </w:rPr>
              <w:t>22</w:t>
            </w: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9" w:name="page30"/>
    <w:bookmarkEnd w:id="2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AOP PSU NOTICE OF GRANT AND AWARD AGREEMENT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270"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GRANT OF AOP RESTRICTED STOCK UNITS</w:t>
      </w:r>
    </w:p>
    <w:p>
      <w:pPr>
        <w:spacing w:after="0" w:line="21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Participant has been granted an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of certain Restricted Stock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of MagnaChip Semiconductor Corporation pursuant to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MagnaChip Semiconductor Corporation Restricted Stock Units Agreement (AOP Performance) (the “</w:t>
      </w:r>
      <w:r>
        <w:rPr>
          <w:rFonts w:ascii="Arial" w:cs="Arial" w:eastAsia="Arial" w:hAnsi="Arial"/>
          <w:sz w:val="17"/>
          <w:szCs w:val="17"/>
          <w:b w:val="1"/>
          <w:bCs w:val="1"/>
          <w:i w:val="1"/>
          <w:iCs w:val="1"/>
          <w:color w:val="auto"/>
        </w:rPr>
        <w:t>Restricted Stock Units Agreement</w:t>
      </w:r>
      <w:r>
        <w:rPr>
          <w:rFonts w:ascii="Arial" w:cs="Arial" w:eastAsia="Arial" w:hAnsi="Arial"/>
          <w:sz w:val="17"/>
          <w:szCs w:val="17"/>
          <w:color w:val="auto"/>
        </w:rPr>
        <w:t>”) as follows:</w:t>
      </w:r>
    </w:p>
    <w:p>
      <w:pPr>
        <w:sectPr>
          <w:pgSz w:w="11900" w:h="16838" w:orient="portrait"/>
          <w:cols w:equalWidth="0" w:num="1">
            <w:col w:w="11000"/>
          </w:cols>
          <w:pgMar w:left="440" w:top="270"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Theodore Kim</w:t>
      </w:r>
    </w:p>
    <w:p>
      <w:pPr>
        <w:spacing w:after="0" w:line="13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2018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w:t>
      </w:r>
    </w:p>
    <w:p>
      <w:pPr>
        <w:spacing w:after="0" w:line="135" w:lineRule="exact"/>
        <w:rPr>
          <w:sz w:val="20"/>
          <w:szCs w:val="20"/>
          <w:color w:val="auto"/>
        </w:rPr>
      </w:pPr>
    </w:p>
    <w:p>
      <w:pPr>
        <w:sectPr>
          <w:pgSz w:w="11900" w:h="16838" w:orient="portrait"/>
          <w:cols w:equalWidth="0" w:num="3">
            <w:col w:w="2480" w:space="720"/>
            <w:col w:w="60" w:space="360"/>
            <w:col w:w="7380"/>
          </w:cols>
          <w:pgMar w:left="440" w:top="270" w:right="4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Total Number of Restricted Stock Units: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At maximum achievement, 9,320 Restricted Stock Units (the “</w:t>
      </w:r>
      <w:r>
        <w:rPr>
          <w:rFonts w:ascii="Arial" w:cs="Arial" w:eastAsia="Arial" w:hAnsi="Arial"/>
          <w:sz w:val="18"/>
          <w:szCs w:val="18"/>
          <w:b w:val="1"/>
          <w:bCs w:val="1"/>
          <w:i w:val="1"/>
          <w:iCs w:val="1"/>
          <w:color w:val="auto"/>
        </w:rPr>
        <w:t>Maximum Award</w:t>
      </w:r>
      <w:r>
        <w:rPr>
          <w:rFonts w:ascii="Arial" w:cs="Arial" w:eastAsia="Arial" w:hAnsi="Arial"/>
          <w:sz w:val="18"/>
          <w:szCs w:val="18"/>
          <w:color w:val="auto"/>
        </w:rPr>
        <w:t>”), subject to adjustment as provided by the Restricted Stock Units Agreement. The Participant’s overall target-level award hereunder is equal to 8,000 Restricted Stock Units (the “</w:t>
      </w:r>
      <w:r>
        <w:rPr>
          <w:rFonts w:ascii="Arial" w:cs="Arial" w:eastAsia="Arial" w:hAnsi="Arial"/>
          <w:sz w:val="18"/>
          <w:szCs w:val="18"/>
          <w:b w:val="1"/>
          <w:bCs w:val="1"/>
          <w:i w:val="1"/>
          <w:iCs w:val="1"/>
          <w:color w:val="auto"/>
        </w:rPr>
        <w:t>Target Award</w:t>
      </w:r>
      <w:r>
        <w:rPr>
          <w:rFonts w:ascii="Arial" w:cs="Arial" w:eastAsia="Arial" w:hAnsi="Arial"/>
          <w:sz w:val="18"/>
          <w:szCs w:val="18"/>
          <w:color w:val="auto"/>
        </w:rPr>
        <w:t>”).</w:t>
      </w:r>
    </w:p>
    <w:p>
      <w:pPr>
        <w:spacing w:after="0" w:line="100" w:lineRule="exact"/>
        <w:rPr>
          <w:sz w:val="20"/>
          <w:szCs w:val="20"/>
          <w:color w:val="auto"/>
        </w:rPr>
      </w:pPr>
    </w:p>
    <w:p>
      <w:pPr>
        <w:sectPr>
          <w:pgSz w:w="11900" w:h="16838" w:orient="portrait"/>
          <w:cols w:equalWidth="0" w:num="2">
            <w:col w:w="2580" w:space="620"/>
            <w:col w:w="7800"/>
          </w:cols>
          <w:pgMar w:left="440" w:top="270" w:right="459" w:bottom="1440" w:gutter="0" w:footer="0" w:header="0"/>
          <w:type w:val="continuous"/>
        </w:sectPr>
      </w:pPr>
    </w:p>
    <w:p>
      <w:pPr>
        <w:ind w:right="180"/>
        <w:spacing w:after="0" w:line="277" w:lineRule="auto"/>
        <w:rPr>
          <w:sz w:val="20"/>
          <w:szCs w:val="20"/>
          <w:color w:val="auto"/>
        </w:rPr>
      </w:pPr>
      <w:r>
        <w:rPr>
          <w:rFonts w:ascii="Arial" w:cs="Arial" w:eastAsia="Arial" w:hAnsi="Arial"/>
          <w:sz w:val="18"/>
          <w:szCs w:val="18"/>
          <w:color w:val="auto"/>
        </w:rPr>
        <w:t>Initial Vesting Date and Vesting Conditions:</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Participant’s right to receive all or any portion of the Units granted hereunder is contingent upon the Company’s achievement of the performance goals (the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specified in the performance matrix attached as Exhibit A to this Grant Notice (the “</w:t>
      </w:r>
      <w:r>
        <w:rPr>
          <w:rFonts w:ascii="Arial" w:cs="Arial" w:eastAsia="Arial" w:hAnsi="Arial"/>
          <w:sz w:val="18"/>
          <w:szCs w:val="18"/>
          <w:b w:val="1"/>
          <w:bCs w:val="1"/>
          <w:i w:val="1"/>
          <w:iCs w:val="1"/>
          <w:color w:val="auto"/>
        </w:rPr>
        <w:t>Performance Matrix</w:t>
      </w:r>
      <w:r>
        <w:rPr>
          <w:rFonts w:ascii="Arial" w:cs="Arial" w:eastAsia="Arial" w:hAnsi="Arial"/>
          <w:sz w:val="18"/>
          <w:szCs w:val="18"/>
          <w:color w:val="auto"/>
        </w:rPr>
        <w:t>”), measured over the “Performance Period” indicated in the Performance Matrix.</w:t>
      </w:r>
    </w:p>
    <w:p>
      <w:pPr>
        <w:spacing w:after="0" w:line="9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right="20"/>
        <w:spacing w:after="0" w:line="284" w:lineRule="auto"/>
        <w:rPr>
          <w:sz w:val="20"/>
          <w:szCs w:val="20"/>
          <w:color w:val="auto"/>
        </w:rPr>
      </w:pPr>
      <w:r>
        <w:rPr>
          <w:rFonts w:ascii="Arial" w:cs="Arial" w:eastAsia="Arial" w:hAnsi="Arial"/>
          <w:sz w:val="16"/>
          <w:szCs w:val="16"/>
          <w:color w:val="auto"/>
        </w:rPr>
        <w:t>Within 60 days following the end of the Performance Period, the Committee shall certify whether and to what extent the Units have been earned for each Performance Goal for the Performance Period (the actual date of such Committee certification, the “</w:t>
      </w:r>
      <w:r>
        <w:rPr>
          <w:rFonts w:ascii="Arial" w:cs="Arial" w:eastAsia="Arial" w:hAnsi="Arial"/>
          <w:sz w:val="16"/>
          <w:szCs w:val="16"/>
          <w:b w:val="1"/>
          <w:bCs w:val="1"/>
          <w:i w:val="1"/>
          <w:iCs w:val="1"/>
          <w:color w:val="auto"/>
        </w:rPr>
        <w:t>Certification Date</w:t>
      </w:r>
      <w:r>
        <w:rPr>
          <w:rFonts w:ascii="Arial" w:cs="Arial" w:eastAsia="Arial" w:hAnsi="Arial"/>
          <w:sz w:val="16"/>
          <w:szCs w:val="16"/>
          <w:color w:val="auto"/>
        </w:rPr>
        <w:t>”). The Committee’s determination of the foregoing shall be final and binding on the Participant absent a showing of manifest error or that the Committee acted in bad faith. Upon such determinations by the Committee, the applicable portion of the Units determined by the Cumulative Payout Percentage (as defined in the Performance Matrix) as a fraction of the Target Award shall vest and become non-forfeitable (subject to the Participant’s continuous Service from the Grant Date through the end of the Performance Period except as provided by Section 2.2(b) or</w:t>
      </w:r>
    </w:p>
    <w:p>
      <w:pPr>
        <w:spacing w:after="0" w:line="1" w:lineRule="exact"/>
        <w:rPr>
          <w:sz w:val="20"/>
          <w:szCs w:val="20"/>
          <w:color w:val="auto"/>
        </w:rPr>
      </w:pPr>
    </w:p>
    <w:p>
      <w:pPr>
        <w:ind w:left="3200" w:firstLine="5"/>
        <w:spacing w:after="0" w:line="270" w:lineRule="auto"/>
        <w:tabs>
          <w:tab w:leader="none" w:pos="34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of the Restricted Stock Units Agreement) (each such Unit, a “</w:t>
      </w:r>
      <w:r>
        <w:rPr>
          <w:rFonts w:ascii="Arial" w:cs="Arial" w:eastAsia="Arial" w:hAnsi="Arial"/>
          <w:sz w:val="17"/>
          <w:szCs w:val="17"/>
          <w:b w:val="1"/>
          <w:bCs w:val="1"/>
          <w:i w:val="1"/>
          <w:iCs w:val="1"/>
          <w:color w:val="auto"/>
        </w:rPr>
        <w:t>Vested Unit</w:t>
      </w:r>
      <w:r>
        <w:rPr>
          <w:rFonts w:ascii="Arial" w:cs="Arial" w:eastAsia="Arial" w:hAnsi="Arial"/>
          <w:sz w:val="17"/>
          <w:szCs w:val="17"/>
          <w:color w:val="auto"/>
        </w:rPr>
        <w:t>”). On the Certification Date, any Units which do not vest in accordance with the immediately preceding sentence shall immediately be forfeited and cancelled, and the Participant shall not be entitled to any compensation or other amount with respect thereto. Notwithstanding any other provision of this Grant Notice or the Restricted Stock Units Agreement, but subject to Section 2.2 of the Restricted Stock Units Agreement, no portion of the Units shall vest until the Committee has made the foregoing determinations.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Local Law:</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laws, rules and regulations of South Korea and the United States, of which the Participant is a resident or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-387985</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2480" w:space="720"/>
            <w:col w:w="7700"/>
          </w:cols>
          <w:pgMar w:left="440" w:top="274" w:right="559" w:bottom="1440" w:gutter="0" w:footer="0" w:header="0"/>
        </w:sect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00"/>
          </w:cols>
          <w:pgMar w:left="440" w:top="274" w:right="559" w:bottom="1440" w:gutter="0" w:footer="0" w:header="0"/>
          <w:type w:val="continuous"/>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MAGNACHIP SEMICONDUCTOR CORPORATION</w:t>
      </w:r>
      <w:r>
        <w:rPr>
          <w:sz w:val="20"/>
          <w:szCs w:val="20"/>
          <w:color w:val="auto"/>
        </w:rPr>
        <w:tab/>
      </w:r>
      <w:r>
        <w:rPr>
          <w:rFonts w:ascii="Arial" w:cs="Arial" w:eastAsia="Arial" w:hAnsi="Arial"/>
          <w:sz w:val="16"/>
          <w:szCs w:val="16"/>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67576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3215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-1905</wp:posOffset>
            </wp:positionV>
            <wp:extent cx="32156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152400</wp:posOffset>
            </wp:positionV>
            <wp:extent cx="3215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152400</wp:posOffset>
            </wp:positionV>
            <wp:extent cx="3215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ATTACHMENTS: 2011 Equity Incentive Plan, as amended to the Date of Grant, and Restricted Stock Units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40" w:top="274" w:right="5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Performance Matrix</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means the Company’s GAAP net income (loss) before interest expense, net, income tax expenses (benefits), depreciation and amortization, adjusted to exclude (i) restructuring, impairment and other (gain), (ii) equity-based compensation expense, (iii) foreign currency loss (gain), net, (iv) derivative valuation loss (gain), net, and (v) restatement related expense. Specific determination of Adjusted EBITDA shall be based solely upon the judgment of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Gross Margin</w:t>
      </w:r>
      <w:r>
        <w:rPr>
          <w:rFonts w:ascii="Arial" w:cs="Arial" w:eastAsia="Arial" w:hAnsi="Arial"/>
          <w:sz w:val="16"/>
          <w:szCs w:val="16"/>
          <w:color w:val="auto"/>
        </w:rPr>
        <w:t>” means the aggregate consolidated gross profit for the Performance Period as a percentage of the Revenue for the Performance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means the dollar amount net product revenue recognized by the Company on a consolidated basis for the Performance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shall be January 1, 2018 through December 31, 2018.</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shall be Adjusted EBITDA (weighted 1/3), Revenue (weighted 1/3) and Gross Margin (weighted 1/3), each as measured on a cumulative basis over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w:t>
      </w:r>
      <w:r>
        <w:rPr>
          <w:rFonts w:ascii="Arial" w:cs="Arial" w:eastAsia="Arial" w:hAnsi="Arial"/>
          <w:sz w:val="18"/>
          <w:szCs w:val="18"/>
          <w:b w:val="1"/>
          <w:bCs w:val="1"/>
          <w:i w:val="1"/>
          <w:iCs w:val="1"/>
          <w:color w:val="auto"/>
        </w:rPr>
        <w:t>Payout Percentage</w:t>
      </w:r>
      <w:r>
        <w:rPr>
          <w:rFonts w:ascii="Arial" w:cs="Arial" w:eastAsia="Arial" w:hAnsi="Arial"/>
          <w:sz w:val="18"/>
          <w:szCs w:val="18"/>
          <w:color w:val="auto"/>
        </w:rPr>
        <w:t>” shall be determined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8"/>
              </w:rPr>
              <w:t>Payout Percentage (as a</w:t>
            </w:r>
          </w:p>
        </w:tc>
      </w:t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Achievement</w:t>
            </w:r>
          </w:p>
        </w:tc>
        <w:tc>
          <w:tcPr>
            <w:tcW w:w="3220" w:type="dxa"/>
            <w:vAlign w:val="bottom"/>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Gross Margin</w:t>
            </w: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fraction of Target Award)</w:t>
            </w:r>
          </w:p>
        </w:tc>
      </w:tr>
      <w:tr>
        <w:trPr>
          <w:trHeight w:val="298"/>
        </w:trPr>
        <w:tc>
          <w:tcPr>
            <w:tcW w:w="780" w:type="dxa"/>
            <w:vAlign w:val="bottom"/>
          </w:tcPr>
          <w:p>
            <w:pPr>
              <w:spacing w:after="0"/>
              <w:rPr>
                <w:sz w:val="20"/>
                <w:szCs w:val="20"/>
                <w:color w:val="auto"/>
              </w:rPr>
            </w:pPr>
            <w:r>
              <w:rPr>
                <w:rFonts w:ascii="Arial" w:cs="Arial" w:eastAsia="Arial" w:hAnsi="Arial"/>
                <w:sz w:val="18"/>
                <w:szCs w:val="18"/>
                <w:color w:val="auto"/>
                <w:w w:val="94"/>
              </w:rPr>
              <w:t>Threshold</w:t>
            </w:r>
          </w:p>
        </w:tc>
        <w:tc>
          <w:tcPr>
            <w:tcW w:w="322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Target</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7"/>
              </w:rPr>
              <w:t>Maximum</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46"/>
        </w:trPr>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8"/>
              </w:rPr>
              <w:t>Payout Percentage (as a</w:t>
            </w:r>
          </w:p>
        </w:tc>
      </w:t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Achievement</w:t>
            </w:r>
          </w:p>
        </w:tc>
        <w:tc>
          <w:tcPr>
            <w:tcW w:w="3220" w:type="dxa"/>
            <w:vAlign w:val="bottom"/>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rPr>
              <w:t>Adjusted EBITDA</w:t>
            </w: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fraction of Target Award)</w:t>
            </w:r>
          </w:p>
        </w:tc>
      </w:tr>
      <w:tr>
        <w:trPr>
          <w:trHeight w:val="298"/>
        </w:trPr>
        <w:tc>
          <w:tcPr>
            <w:tcW w:w="780" w:type="dxa"/>
            <w:vAlign w:val="bottom"/>
          </w:tcPr>
          <w:p>
            <w:pPr>
              <w:spacing w:after="0"/>
              <w:rPr>
                <w:sz w:val="20"/>
                <w:szCs w:val="20"/>
                <w:color w:val="auto"/>
              </w:rPr>
            </w:pPr>
            <w:r>
              <w:rPr>
                <w:rFonts w:ascii="Arial" w:cs="Arial" w:eastAsia="Arial" w:hAnsi="Arial"/>
                <w:sz w:val="18"/>
                <w:szCs w:val="18"/>
                <w:color w:val="auto"/>
                <w:w w:val="94"/>
              </w:rPr>
              <w:t>Threshold</w:t>
            </w:r>
          </w:p>
        </w:tc>
        <w:tc>
          <w:tcPr>
            <w:tcW w:w="322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Target</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7"/>
              </w:rPr>
              <w:t>Maximum</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65"/>
        </w:trPr>
        <w:tc>
          <w:tcPr>
            <w:tcW w:w="780" w:type="dxa"/>
            <w:vAlign w:val="bottom"/>
          </w:tcPr>
          <w:p>
            <w:pPr>
              <w:spacing w:after="0"/>
              <w:rPr>
                <w:sz w:val="24"/>
                <w:szCs w:val="24"/>
                <w:color w:val="auto"/>
              </w:rPr>
            </w:pPr>
          </w:p>
        </w:tc>
        <w:tc>
          <w:tcPr>
            <w:tcW w:w="6740" w:type="dxa"/>
            <w:vAlign w:val="bottom"/>
            <w:gridSpan w:val="2"/>
          </w:tcPr>
          <w:p>
            <w:pPr>
              <w:jc w:val="right"/>
              <w:ind w:right="184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88"/>
              </w:rPr>
              <w:t>Payout Percentage (as a</w:t>
            </w:r>
          </w:p>
        </w:tc>
      </w:tr>
      <w:tr>
        <w:trPr>
          <w:trHeight w:val="18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Achievement</w:t>
            </w:r>
          </w:p>
        </w:tc>
        <w:tc>
          <w:tcPr>
            <w:tcW w:w="3220" w:type="dxa"/>
            <w:vAlign w:val="bottom"/>
          </w:tcPr>
          <w:p>
            <w:pPr>
              <w:spacing w:after="0"/>
              <w:rPr>
                <w:sz w:val="16"/>
                <w:szCs w:val="16"/>
                <w:color w:val="auto"/>
              </w:rPr>
            </w:pPr>
          </w:p>
        </w:tc>
        <w:tc>
          <w:tcPr>
            <w:tcW w:w="3620" w:type="dxa"/>
            <w:vAlign w:val="bottom"/>
            <w:gridSpan w:val="2"/>
          </w:tcPr>
          <w:p>
            <w:pPr>
              <w:ind w:left="1500"/>
              <w:spacing w:after="0"/>
              <w:rPr>
                <w:sz w:val="20"/>
                <w:szCs w:val="20"/>
                <w:color w:val="auto"/>
              </w:rPr>
            </w:pPr>
            <w:r>
              <w:rPr>
                <w:rFonts w:ascii="Arial" w:cs="Arial" w:eastAsia="Arial" w:hAnsi="Arial"/>
                <w:sz w:val="14"/>
                <w:szCs w:val="14"/>
                <w:color w:val="auto"/>
              </w:rPr>
              <w:t>Revenue</w:t>
            </w: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fraction of Target Award)</w:t>
            </w:r>
          </w:p>
        </w:tc>
      </w:tr>
      <w:tr>
        <w:trPr>
          <w:trHeight w:val="204"/>
        </w:trPr>
        <w:tc>
          <w:tcPr>
            <w:tcW w:w="780" w:type="dxa"/>
            <w:vAlign w:val="bottom"/>
          </w:tcPr>
          <w:p>
            <w:pPr>
              <w:spacing w:after="0" w:line="204" w:lineRule="exact"/>
              <w:rPr>
                <w:sz w:val="20"/>
                <w:szCs w:val="20"/>
                <w:color w:val="auto"/>
              </w:rPr>
            </w:pPr>
            <w:r>
              <w:rPr>
                <w:rFonts w:ascii="Arial" w:cs="Arial" w:eastAsia="Arial" w:hAnsi="Arial"/>
                <w:sz w:val="18"/>
                <w:szCs w:val="18"/>
                <w:color w:val="auto"/>
                <w:w w:val="94"/>
              </w:rPr>
              <w:t>Threshold</w:t>
            </w:r>
          </w:p>
        </w:tc>
        <w:tc>
          <w:tcPr>
            <w:tcW w:w="32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Target</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7"/>
              </w:rPr>
              <w:t>Maximum</w:t>
            </w:r>
          </w:p>
        </w:tc>
        <w:tc>
          <w:tcPr>
            <w:tcW w:w="3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40" w:hanging="436"/>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the Payout Percentage determined by dividing the Maximum Award by the Target Award.</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Straight-line interpolation shall be used to determine the Payout Percentage for any level of achievement between threshold performance and the target performance and between target achievement and maximum achievement, based upon the Payout Percentages set forth above.</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 determine the total number of Restricted Stock Units that become Vested Units in respect of the Performance Period, the Committee shall add the Payout Percentage achieved for each Performance Goal, and divide such amount by 3 (the resulting percentage, the “</w:t>
      </w:r>
      <w:r>
        <w:rPr>
          <w:rFonts w:ascii="Arial" w:cs="Arial" w:eastAsia="Arial" w:hAnsi="Arial"/>
          <w:sz w:val="17"/>
          <w:szCs w:val="17"/>
          <w:b w:val="1"/>
          <w:bCs w:val="1"/>
          <w:i w:val="1"/>
          <w:iCs w:val="1"/>
          <w:color w:val="auto"/>
        </w:rPr>
        <w:t>Cumulative Payout Percentage</w:t>
      </w:r>
      <w:r>
        <w:rPr>
          <w:rFonts w:ascii="Arial" w:cs="Arial" w:eastAsia="Arial" w:hAnsi="Arial"/>
          <w:sz w:val="17"/>
          <w:szCs w:val="17"/>
          <w:color w:val="auto"/>
        </w:rPr>
        <w:t>”), and then multiply the Cumulative Payout Percentage (expressed as a fraction) by the Target Award; provided, that in the event that “threshold” level is not achieved for a Performance Goal, then the Payout Percentage for such Performance Goal for purposes of the foregoing calculation shall be 0%. For the avoidance of doubt, no Restricted Stock Units shall vest in respect of a Performance Goal unless the “threshold” level of achievement shown above for such Performance Goal has been achieved.</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40" w:top="257" w:right="41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(AOP PERFORMANCE)</w:t>
      </w:r>
    </w:p>
    <w:p>
      <w:pPr>
        <w:spacing w:after="0" w:line="211" w:lineRule="exact"/>
        <w:rPr>
          <w:sz w:val="20"/>
          <w:szCs w:val="20"/>
          <w:color w:val="auto"/>
        </w:rPr>
      </w:pPr>
    </w:p>
    <w:p>
      <w:pPr>
        <w:ind w:right="22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AOP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82" w:lineRule="exact"/>
        <w:rPr>
          <w:sz w:val="20"/>
          <w:szCs w:val="20"/>
          <w:color w:val="auto"/>
        </w:rPr>
      </w:pPr>
    </w:p>
    <w:p>
      <w:pPr>
        <w:ind w:left="620" w:hanging="1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44"/>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117" w:lineRule="exact"/>
        <w:rPr>
          <w:rFonts w:ascii="Arial" w:cs="Arial" w:eastAsia="Arial" w:hAnsi="Arial"/>
          <w:sz w:val="18"/>
          <w:szCs w:val="18"/>
          <w:color w:val="auto"/>
        </w:rPr>
      </w:pPr>
    </w:p>
    <w:p>
      <w:pPr>
        <w:ind w:right="220" w:firstLine="1436"/>
        <w:spacing w:after="0" w:line="277" w:lineRule="auto"/>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58" w:lineRule="exact"/>
        <w:rPr>
          <w:sz w:val="20"/>
          <w:szCs w:val="20"/>
          <w:color w:val="auto"/>
        </w:rPr>
      </w:pPr>
    </w:p>
    <w:p>
      <w:pPr>
        <w:ind w:right="24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66" w:lineRule="exact"/>
        <w:rPr>
          <w:sz w:val="20"/>
          <w:szCs w:val="20"/>
          <w:color w:val="auto"/>
        </w:rPr>
      </w:pPr>
    </w:p>
    <w:p>
      <w:pPr>
        <w:ind w:left="620" w:hanging="176"/>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8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0" w:right="499" w:bottom="1440" w:gutter="0" w:footer="0" w:header="0"/>
        </w:sectPr>
      </w:pPr>
    </w:p>
    <w:bookmarkStart w:id="36" w:name="page37"/>
    <w:bookmarkEnd w:id="36"/>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0" w:right="80" w:firstLine="1436"/>
        <w:spacing w:after="0" w:line="257" w:lineRule="auto"/>
        <w:tabs>
          <w:tab w:leader="none" w:pos="16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left="-40" w:firstLine="1436"/>
        <w:spacing w:after="0" w:line="269" w:lineRule="auto"/>
        <w:tabs>
          <w:tab w:leader="none" w:pos="16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October 22,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w:t>
      </w:r>
    </w:p>
    <w:p>
      <w:pPr>
        <w:spacing w:after="0" w:line="71" w:lineRule="exact"/>
        <w:rPr>
          <w:rFonts w:ascii="Arial" w:cs="Arial" w:eastAsia="Arial" w:hAnsi="Arial"/>
          <w:sz w:val="17"/>
          <w:szCs w:val="17"/>
          <w:color w:val="auto"/>
        </w:rPr>
      </w:pPr>
    </w:p>
    <w:p>
      <w:pPr>
        <w:ind w:left="-40" w:right="200" w:firstLine="1436"/>
        <w:spacing w:after="0" w:line="277" w:lineRule="auto"/>
        <w:tabs>
          <w:tab w:leader="none" w:pos="16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w:t>
      </w:r>
    </w:p>
    <w:p>
      <w:pPr>
        <w:spacing w:after="0" w:line="62" w:lineRule="exact"/>
        <w:rPr>
          <w:rFonts w:ascii="Arial" w:cs="Arial" w:eastAsia="Arial" w:hAnsi="Arial"/>
          <w:sz w:val="18"/>
          <w:szCs w:val="18"/>
          <w:color w:val="auto"/>
        </w:rPr>
      </w:pPr>
    </w:p>
    <w:p>
      <w:pPr>
        <w:ind w:left="-40" w:right="160" w:firstLine="1436"/>
        <w:spacing w:after="0" w:line="264" w:lineRule="auto"/>
        <w:tabs>
          <w:tab w:leader="none" w:pos="1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73" w:lineRule="exact"/>
        <w:rPr>
          <w:rFonts w:ascii="Arial" w:cs="Arial" w:eastAsia="Arial" w:hAnsi="Arial"/>
          <w:sz w:val="18"/>
          <w:szCs w:val="18"/>
          <w:color w:val="auto"/>
        </w:rPr>
      </w:pPr>
    </w:p>
    <w:p>
      <w:pPr>
        <w:ind w:left="-40" w:right="80" w:firstLine="1436"/>
        <w:spacing w:after="0" w:line="277" w:lineRule="auto"/>
        <w:tabs>
          <w:tab w:leader="none" w:pos="16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0" w:right="180" w:firstLine="1436"/>
        <w:spacing w:after="0" w:line="277" w:lineRule="auto"/>
        <w:tabs>
          <w:tab w:leader="none" w:pos="16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80" w:top="270" w:right="459" w:bottom="1440" w:gutter="0" w:footer="0" w:header="0"/>
        </w:sectPr>
      </w:pPr>
    </w:p>
    <w:bookmarkStart w:id="37" w:name="page38"/>
    <w:bookmarkEnd w:id="37"/>
    <w:p>
      <w:pPr>
        <w:ind w:left="1660" w:hanging="264"/>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firstLine="1436"/>
        <w:spacing w:after="0" w:line="264" w:lineRule="auto"/>
        <w:tabs>
          <w:tab w:leader="none" w:pos="1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ind w:left="-40" w:firstLine="1436"/>
        <w:spacing w:after="0" w:line="308" w:lineRule="auto"/>
        <w:tabs>
          <w:tab w:leader="none" w:pos="16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40" w:right="180" w:firstLine="1436"/>
        <w:spacing w:after="0" w:line="264" w:lineRule="auto"/>
        <w:tabs>
          <w:tab w:leader="none" w:pos="1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40" w:right="160" w:firstLine="1436"/>
        <w:spacing w:after="0" w:line="264" w:lineRule="auto"/>
        <w:tabs>
          <w:tab w:leader="none" w:pos="16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40" w:right="240" w:firstLine="1436"/>
        <w:spacing w:after="0" w:line="277" w:lineRule="auto"/>
        <w:tabs>
          <w:tab w:leader="none" w:pos="16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40" w:right="100" w:firstLine="1436"/>
        <w:spacing w:after="0" w:line="297" w:lineRule="auto"/>
        <w:tabs>
          <w:tab w:leader="none" w:pos="1648"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p>
    <w:p>
      <w:pPr>
        <w:spacing w:after="0" w:line="117" w:lineRule="exact"/>
        <w:rPr>
          <w:sz w:val="20"/>
          <w:szCs w:val="20"/>
          <w:color w:val="auto"/>
        </w:rPr>
      </w:pPr>
    </w:p>
    <w:p>
      <w:pPr>
        <w:jc w:val="both"/>
        <w:ind w:left="-40" w:firstLine="1436"/>
        <w:spacing w:after="0" w:line="261" w:lineRule="auto"/>
        <w:tabs>
          <w:tab w:leader="none" w:pos="163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80" w:top="274" w:right="479" w:bottom="1440" w:gutter="0" w:footer="0" w:header="0"/>
        </w:sectPr>
      </w:pPr>
    </w:p>
    <w:bookmarkStart w:id="38" w:name="page39"/>
    <w:bookmarkEnd w:id="38"/>
    <w:p>
      <w:pPr>
        <w:ind w:firstLine="1436"/>
        <w:spacing w:after="0" w:line="252" w:lineRule="auto"/>
        <w:tabs>
          <w:tab w:leader="none" w:pos="1687"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WHICH MAY INCLUDE AREAS OUTSIDE THE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 REQUEST A LIST WITH THE NAMES AND ADDRESSES OF ANY POTENTIAL RECIPIENTS OF</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OR MORE INFORMATION ON THE CONSEQUENCES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CONTACT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color w:val="auto"/>
        </w:rPr>
      </w:pPr>
    </w:p>
    <w:p>
      <w:pPr>
        <w:ind w:left="620" w:hanging="17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9" w:name="page40"/>
    <w:bookmarkEnd w:id="39"/>
    <w:p>
      <w:pPr>
        <w:ind w:left="620" w:hanging="176"/>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0" w:lineRule="exact"/>
        <w:rPr>
          <w:sz w:val="20"/>
          <w:szCs w:val="20"/>
          <w:color w:val="auto"/>
        </w:rPr>
      </w:pPr>
    </w:p>
    <w:p>
      <w:pPr>
        <w:ind w:left="620" w:hanging="176"/>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28" w:lineRule="exact"/>
        <w:rPr>
          <w:sz w:val="20"/>
          <w:szCs w:val="20"/>
          <w:color w:val="auto"/>
        </w:rPr>
      </w:pPr>
    </w:p>
    <w:p>
      <w:pPr>
        <w:ind w:left="620" w:hanging="176"/>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0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0" w:name="page41"/>
    <w:bookmarkEnd w:id="40"/>
    <w:p>
      <w:pPr>
        <w:ind w:left="620" w:hanging="176"/>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80"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333" w:lineRule="exact"/>
        <w:rPr>
          <w:sz w:val="20"/>
          <w:szCs w:val="20"/>
          <w:color w:val="auto"/>
        </w:rPr>
      </w:pPr>
    </w:p>
    <w:p>
      <w:pPr>
        <w:ind w:left="620" w:hanging="176"/>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Regardless of any action the Company or the Participant’s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takes with respect to any or all income tax, social insurance, payroll tax, payment on account or other tax-related withholding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Participant acknowledges and agrees that the ultimate liability for all Tax-Related Items legally due by the Participant is and remains the Participant’s responsibility and that the Company and or the Employer (i) make no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2" w:lineRule="exact"/>
        <w:rPr>
          <w:sz w:val="20"/>
          <w:szCs w:val="20"/>
          <w:color w:val="auto"/>
        </w:rPr>
      </w:pPr>
    </w:p>
    <w:p>
      <w:pPr>
        <w:ind w:right="10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120" w:firstLine="4"/>
        <w:spacing w:after="0" w:line="269"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“Retained Share Amount”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620" w:hanging="176"/>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80" w:firstLine="881"/>
        <w:spacing w:after="0" w:line="28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Upon the occurrence of a Change in Control during the Performance Period where a Replacement Award (as defined below) is provided to the Participant at the time of the Change in Control in lieu of the Units, the Units that remain outstanding and unvested as of immediately prior to the Change in Control shall remain outstanding and unvested, but the performance conditions with respect thereto shall be deemed satisfied at the target level of achievement. Upon the occurrence of a Change in Control where 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2" w:name="page43"/>
    <w:bookmarkEnd w:id="42"/>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Award is not provided to the Participant in lieu of the Units, the Units shall immediately vest at the target level of achievement. In either case, all Units in excess of the Target Award shall immediately be forfeited and cancelled, unless otherwise determined by the Committee, and Participant shall not be entitled to any compensation or other amount with respect thereto.</w:t>
      </w:r>
    </w:p>
    <w:p>
      <w:pPr>
        <w:spacing w:after="0" w:line="69"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or is of the same type as the Award that is replaced or adjusted by a Replacement Award (the “</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 (iii) 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277" w:lineRule="exact"/>
        <w:rPr>
          <w:sz w:val="20"/>
          <w:szCs w:val="20"/>
          <w:color w:val="auto"/>
        </w:rPr>
      </w:pPr>
    </w:p>
    <w:p>
      <w:pPr>
        <w:ind w:left="720" w:hanging="27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3" w:name="page44"/>
    <w:bookmarkEnd w:id="43"/>
    <w:p>
      <w:pPr>
        <w:ind w:left="700" w:hanging="2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720" w:hanging="27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20" w:hanging="27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57" w:lineRule="exact"/>
        <w:rPr>
          <w:sz w:val="20"/>
          <w:szCs w:val="20"/>
          <w:color w:val="auto"/>
        </w:rPr>
      </w:pPr>
    </w:p>
    <w:p>
      <w:pPr>
        <w:ind w:right="120" w:firstLine="88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6"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44" w:name="page45"/>
    <w:bookmarkEnd w:id="44"/>
    <w:p>
      <w:pPr>
        <w:ind w:right="80" w:firstLine="88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88" w:lineRule="auto"/>
        <w:tabs>
          <w:tab w:leader="none" w:pos="1687"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57"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45" w:name="page46"/>
    <w:bookmarkEnd w:id="45"/>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69"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13.10:</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TSR PSU NOTICE OF GRANT AND AWARD AGREEMENT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019"/>
          </w:cols>
          <w:pgMar w:left="1440" w:top="270" w:right="1440"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GRANT OF TSR RESTRICTED STOCK UNITS</w:t>
      </w:r>
    </w:p>
    <w:p>
      <w:pPr>
        <w:spacing w:after="0" w:line="21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Participant has been granted an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of certain Restricted Stock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of MagnaChip Semiconductor Corporation pursuant to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MagnaChip Semiconductor Corporation Restricted Stock Units Agreement (TSR) (the “</w:t>
      </w:r>
      <w:r>
        <w:rPr>
          <w:rFonts w:ascii="Arial" w:cs="Arial" w:eastAsia="Arial" w:hAnsi="Arial"/>
          <w:sz w:val="17"/>
          <w:szCs w:val="17"/>
          <w:b w:val="1"/>
          <w:bCs w:val="1"/>
          <w:i w:val="1"/>
          <w:iCs w:val="1"/>
          <w:color w:val="auto"/>
        </w:rPr>
        <w:t>Restricted Stock Units Agreement</w:t>
      </w:r>
      <w:r>
        <w:rPr>
          <w:rFonts w:ascii="Arial" w:cs="Arial" w:eastAsia="Arial" w:hAnsi="Arial"/>
          <w:sz w:val="17"/>
          <w:szCs w:val="17"/>
          <w:color w:val="auto"/>
        </w:rPr>
        <w:t>”), as follows:</w:t>
      </w:r>
    </w:p>
    <w:p>
      <w:pPr>
        <w:sectPr>
          <w:pgSz w:w="11900" w:h="16838" w:orient="portrait"/>
          <w:cols w:equalWidth="0" w:num="1">
            <w:col w:w="11000"/>
          </w:cols>
          <w:pgMar w:left="440" w:top="270"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Theodore Kim</w:t>
      </w:r>
    </w:p>
    <w:p>
      <w:pPr>
        <w:spacing w:after="0" w:line="13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2018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w:t>
      </w:r>
    </w:p>
    <w:p>
      <w:pPr>
        <w:spacing w:after="0" w:line="135" w:lineRule="exact"/>
        <w:rPr>
          <w:sz w:val="20"/>
          <w:szCs w:val="20"/>
          <w:color w:val="auto"/>
        </w:rPr>
      </w:pPr>
    </w:p>
    <w:p>
      <w:pPr>
        <w:sectPr>
          <w:pgSz w:w="11900" w:h="16838" w:orient="portrait"/>
          <w:cols w:equalWidth="0" w:num="3">
            <w:col w:w="2480" w:space="720"/>
            <w:col w:w="60" w:space="360"/>
            <w:col w:w="7380"/>
          </w:cols>
          <w:pgMar w:left="440" w:top="270" w:right="4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Total Number of Restricted Stock Units:</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At supermaximum achievement, 12,000, subject to adjustment as provided by the Restricted Stock Units Agreement. The Participant’s overall target-level award hereunder is equal to 6,000 Restricted Stock Units (the “</w:t>
      </w:r>
      <w:r>
        <w:rPr>
          <w:rFonts w:ascii="Arial" w:cs="Arial" w:eastAsia="Arial" w:hAnsi="Arial"/>
          <w:sz w:val="18"/>
          <w:szCs w:val="18"/>
          <w:b w:val="1"/>
          <w:bCs w:val="1"/>
          <w:i w:val="1"/>
          <w:iCs w:val="1"/>
          <w:color w:val="auto"/>
        </w:rPr>
        <w:t>Target Award</w:t>
      </w:r>
      <w:r>
        <w:rPr>
          <w:rFonts w:ascii="Arial" w:cs="Arial" w:eastAsia="Arial" w:hAnsi="Arial"/>
          <w:sz w:val="18"/>
          <w:szCs w:val="18"/>
          <w:color w:val="auto"/>
        </w:rPr>
        <w:t>”).</w:t>
      </w:r>
    </w:p>
    <w:p>
      <w:pPr>
        <w:spacing w:after="0" w:line="69" w:lineRule="exact"/>
        <w:rPr>
          <w:sz w:val="20"/>
          <w:szCs w:val="20"/>
          <w:color w:val="auto"/>
        </w:rPr>
      </w:pPr>
    </w:p>
    <w:p>
      <w:pPr>
        <w:sectPr>
          <w:pgSz w:w="11900" w:h="16838" w:orient="portrait"/>
          <w:cols w:equalWidth="0" w:num="2">
            <w:col w:w="2580" w:space="620"/>
            <w:col w:w="7800"/>
          </w:cols>
          <w:pgMar w:left="440" w:top="270" w:right="459" w:bottom="1440" w:gutter="0" w:footer="0" w:header="0"/>
          <w:type w:val="continuous"/>
        </w:sectPr>
      </w:pPr>
    </w:p>
    <w:p>
      <w:pPr>
        <w:ind w:right="40"/>
        <w:spacing w:after="0" w:line="282" w:lineRule="auto"/>
        <w:rPr>
          <w:sz w:val="20"/>
          <w:szCs w:val="20"/>
          <w:color w:val="auto"/>
        </w:rPr>
      </w:pPr>
      <w:r>
        <w:rPr>
          <w:rFonts w:ascii="Arial" w:cs="Arial" w:eastAsia="Arial" w:hAnsi="Arial"/>
          <w:sz w:val="18"/>
          <w:szCs w:val="18"/>
          <w:b w:val="1"/>
          <w:bCs w:val="1"/>
          <w:color w:val="auto"/>
        </w:rPr>
        <w:t>Initial Vesting Date and Vesting Conditions:</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The Participant’s right to receive all or any portion of the Units granted hereunder is contingent upon the Company’s achievement of the performance goal (the “</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specified in the performance matrix attached as Exhibit A to this Grant Notice (the “</w:t>
      </w:r>
      <w:r>
        <w:rPr>
          <w:rFonts w:ascii="Arial" w:cs="Arial" w:eastAsia="Arial" w:hAnsi="Arial"/>
          <w:sz w:val="18"/>
          <w:szCs w:val="18"/>
          <w:b w:val="1"/>
          <w:bCs w:val="1"/>
          <w:i w:val="1"/>
          <w:iCs w:val="1"/>
          <w:color w:val="auto"/>
        </w:rPr>
        <w:t>Performance Matrix</w:t>
      </w:r>
      <w:r>
        <w:rPr>
          <w:rFonts w:ascii="Arial" w:cs="Arial" w:eastAsia="Arial" w:hAnsi="Arial"/>
          <w:sz w:val="18"/>
          <w:szCs w:val="18"/>
          <w:color w:val="auto"/>
        </w:rPr>
        <w:t>”), measured over the “Performance Period” indicated in the Performance Matrix.</w:t>
      </w:r>
    </w:p>
    <w:p>
      <w:pPr>
        <w:spacing w:after="0" w:line="7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line="268" w:lineRule="auto"/>
        <w:rPr>
          <w:sz w:val="20"/>
          <w:szCs w:val="20"/>
          <w:color w:val="auto"/>
        </w:rPr>
      </w:pPr>
      <w:r>
        <w:rPr>
          <w:rFonts w:ascii="Arial" w:cs="Arial" w:eastAsia="Arial" w:hAnsi="Arial"/>
          <w:sz w:val="17"/>
          <w:szCs w:val="17"/>
          <w:color w:val="auto"/>
        </w:rPr>
        <w:t>Within 60 days following the end of the Performance Period, the Committee shall certify whether and to what extent the Units have been earned for the Performance Period (the actual date of such Committee certification, the “</w:t>
      </w:r>
      <w:r>
        <w:rPr>
          <w:rFonts w:ascii="Arial" w:cs="Arial" w:eastAsia="Arial" w:hAnsi="Arial"/>
          <w:sz w:val="17"/>
          <w:szCs w:val="17"/>
          <w:b w:val="1"/>
          <w:bCs w:val="1"/>
          <w:i w:val="1"/>
          <w:iCs w:val="1"/>
          <w:color w:val="auto"/>
        </w:rPr>
        <w:t>Certification Date</w:t>
      </w:r>
      <w:r>
        <w:rPr>
          <w:rFonts w:ascii="Arial" w:cs="Arial" w:eastAsia="Arial" w:hAnsi="Arial"/>
          <w:sz w:val="17"/>
          <w:szCs w:val="17"/>
          <w:color w:val="auto"/>
        </w:rPr>
        <w:t>”). The Committee’s determination of the foregoing shall be final and binding on the Participant absent a showing of manifest error or that the Committee acted in bad faith. Upon such determinations by the Committee, the applicable portion of the Units determined by the Payout Percentage (as defined in the Performance Matrix) as a fraction of the Target Award shall vest and become non-forfeitable (subject to the Participant’s continuous Service from the Grant Date through the end of the Performance Period except as provided by Section 2.2(b) or (c) of the Restricted Stock Units Agreement) (each such Unit, a “</w:t>
      </w:r>
      <w:r>
        <w:rPr>
          <w:rFonts w:ascii="Arial" w:cs="Arial" w:eastAsia="Arial" w:hAnsi="Arial"/>
          <w:sz w:val="17"/>
          <w:szCs w:val="17"/>
          <w:b w:val="1"/>
          <w:bCs w:val="1"/>
          <w:i w:val="1"/>
          <w:iCs w:val="1"/>
          <w:color w:val="auto"/>
        </w:rPr>
        <w:t>Vested Unit</w:t>
      </w:r>
      <w:r>
        <w:rPr>
          <w:rFonts w:ascii="Arial" w:cs="Arial" w:eastAsia="Arial" w:hAnsi="Arial"/>
          <w:sz w:val="17"/>
          <w:szCs w:val="17"/>
          <w:color w:val="auto"/>
        </w:rPr>
        <w:t>”). On the Certification Date, any Units which do not vest in accordance with the immediately preceding sentence shall immediately be forfeited and cancelled, and the Participant shall not be entitled to any compensation or other amount with respect thereto. Notwithstanding any other provision of this Grant Notice or the Restricted Stock Units Agreement, but subject to Section 2.2 of the Restricted Stock Units Agreement, no portion of the Units shall vest until the Committee has made the foregoing determinations.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Local Law:</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laws, rules and regulations of South Korea and the United States, of which the Participant is a resident or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-456565</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2480" w:space="720"/>
            <w:col w:w="7700"/>
          </w:cols>
          <w:pgMar w:left="440" w:top="378" w:right="559" w:bottom="1440" w:gutter="0" w:footer="0" w:header="0"/>
        </w:sect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900"/>
          </w:cols>
          <w:pgMar w:left="440" w:top="378" w:right="559" w:bottom="1440" w:gutter="0" w:footer="0" w:header="0"/>
          <w:type w:val="continuous"/>
        </w:sectPr>
      </w:pPr>
    </w:p>
    <w:bookmarkStart w:id="51" w:name="page52"/>
    <w:bookmarkEnd w:id="5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MAGNACHIP SEMICONDUCTOR CORPORATION</w:t>
            </w:r>
          </w:p>
        </w:tc>
        <w:tc>
          <w:tcPr>
            <w:tcW w:w="5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1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Its: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1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5"/>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Address:</w:t>
            </w:r>
          </w:p>
        </w:tc>
        <w:tc>
          <w:tcPr>
            <w:tcW w:w="520" w:type="dxa"/>
            <w:vAlign w:val="bottom"/>
          </w:tcPr>
          <w:p>
            <w:pPr>
              <w:spacing w:after="0"/>
              <w:rPr>
                <w:sz w:val="18"/>
                <w:szCs w:val="18"/>
                <w:color w:val="auto"/>
              </w:rPr>
            </w:pPr>
          </w:p>
        </w:tc>
        <w:tc>
          <w:tcPr>
            <w:tcW w:w="49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ATTACHMENTS: 2011 Equity Incentive Plan, as amended to the Date of Grant, and Restricted Stock Units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440" w:top="274" w:right="4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Performance Matrix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shall be January 1, 2018 through December 31, 2020.</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shall be the three-year total shareholder return (“</w:t>
      </w:r>
      <w:r>
        <w:rPr>
          <w:rFonts w:ascii="Arial" w:cs="Arial" w:eastAsia="Arial" w:hAnsi="Arial"/>
          <w:sz w:val="18"/>
          <w:szCs w:val="18"/>
          <w:b w:val="1"/>
          <w:bCs w:val="1"/>
          <w:i w:val="1"/>
          <w:iCs w:val="1"/>
          <w:color w:val="auto"/>
        </w:rPr>
        <w:t>TSR</w:t>
      </w:r>
      <w:r>
        <w:rPr>
          <w:rFonts w:ascii="Arial" w:cs="Arial" w:eastAsia="Arial" w:hAnsi="Arial"/>
          <w:sz w:val="18"/>
          <w:szCs w:val="18"/>
          <w:color w:val="auto"/>
        </w:rPr>
        <w:t>”) of the Company relative to the other entities in the S&amp;P Semiconductor Index (the “</w:t>
      </w:r>
      <w:r>
        <w:rPr>
          <w:rFonts w:ascii="Arial" w:cs="Arial" w:eastAsia="Arial" w:hAnsi="Arial"/>
          <w:sz w:val="18"/>
          <w:szCs w:val="18"/>
          <w:b w:val="1"/>
          <w:bCs w:val="1"/>
          <w:i w:val="1"/>
          <w:iCs w:val="1"/>
          <w:color w:val="auto"/>
        </w:rPr>
        <w:t>TSR Index</w:t>
      </w:r>
      <w:r>
        <w:rPr>
          <w:rFonts w:ascii="Arial" w:cs="Arial" w:eastAsia="Arial" w:hAnsi="Arial"/>
          <w:sz w:val="18"/>
          <w:szCs w:val="18"/>
          <w:color w:val="auto"/>
        </w:rPr>
        <w:t>”). Achievement of the Performance Goal shall be determined by the percentile rank of the Company’s TSR relative to the TSR of each other entity in the TSR Index.</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Determination of TSR: TSR for the Company and each other entity in the TSR Index shall be determined in accordance with the following formula.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TSR shall be equal to the quotient of (a) divided by (b), expressed as a percentage, where:</w:t>
      </w:r>
    </w:p>
    <w:p>
      <w:pPr>
        <w:spacing w:after="0" w:line="103" w:lineRule="exact"/>
        <w:rPr>
          <w:sz w:val="20"/>
          <w:szCs w:val="20"/>
          <w:color w:val="auto"/>
        </w:rPr>
      </w:pPr>
    </w:p>
    <w:p>
      <w:pPr>
        <w:ind w:left="240" w:hanging="236"/>
        <w:spacing w:after="0"/>
        <w:tabs>
          <w:tab w:leader="none" w:pos="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is equal to the sum of (i) and (ii), where (i) is the difference determined by the Ending Price minus the Starting Price (each as defined below); and</w:t>
      </w:r>
    </w:p>
    <w:p>
      <w:pPr>
        <w:spacing w:after="0" w:line="46" w:lineRule="exact"/>
        <w:rPr>
          <w:rFonts w:ascii="Arial" w:cs="Arial" w:eastAsia="Arial" w:hAnsi="Arial"/>
          <w:sz w:val="16"/>
          <w:szCs w:val="16"/>
          <w:color w:val="auto"/>
        </w:rPr>
      </w:pPr>
    </w:p>
    <w:p>
      <w:pPr>
        <w:ind w:firstLine="4"/>
        <w:spacing w:after="0" w:line="261"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the sum of all dividends paid on one share of common stock during the Performance Period, provided that all dividends are treated as reinvested at the time paid; and</w:t>
      </w:r>
    </w:p>
    <w:p>
      <w:pPr>
        <w:spacing w:after="0" w:line="75" w:lineRule="exact"/>
        <w:rPr>
          <w:rFonts w:ascii="Arial" w:cs="Arial" w:eastAsia="Arial" w:hAnsi="Arial"/>
          <w:sz w:val="18"/>
          <w:szCs w:val="18"/>
          <w:color w:val="auto"/>
        </w:rPr>
      </w:pPr>
    </w:p>
    <w:p>
      <w:pPr>
        <w:ind w:left="260" w:hanging="256"/>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equal to the Starting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TSR:</w:t>
      </w:r>
    </w:p>
    <w:p>
      <w:pPr>
        <w:spacing w:after="0" w:line="117" w:lineRule="exact"/>
        <w:rPr>
          <w:sz w:val="20"/>
          <w:szCs w:val="20"/>
          <w:color w:val="auto"/>
        </w:rPr>
      </w:pPr>
    </w:p>
    <w:p>
      <w:pPr>
        <w:ind w:right="480" w:firstLine="4"/>
        <w:spacing w:after="0" w:line="277"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Starting Price</w:t>
      </w:r>
      <w:r>
        <w:rPr>
          <w:rFonts w:ascii="Arial" w:cs="Arial" w:eastAsia="Arial" w:hAnsi="Arial"/>
          <w:sz w:val="18"/>
          <w:szCs w:val="18"/>
          <w:color w:val="auto"/>
        </w:rPr>
        <w:t>” means the volume-weighted average price of one share of common stock on the applicable stock exchange during the 30 days immediately preceding the first day of the Performance Period.</w:t>
      </w:r>
    </w:p>
    <w:p>
      <w:pPr>
        <w:spacing w:after="0" w:line="62" w:lineRule="exact"/>
        <w:rPr>
          <w:rFonts w:ascii="Arial" w:cs="Arial" w:eastAsia="Arial" w:hAnsi="Arial"/>
          <w:sz w:val="18"/>
          <w:szCs w:val="18"/>
          <w:color w:val="auto"/>
        </w:rPr>
      </w:pPr>
    </w:p>
    <w:p>
      <w:pPr>
        <w:ind w:right="480" w:firstLine="4"/>
        <w:spacing w:after="0" w:line="277"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Ending Price</w:t>
      </w:r>
      <w:r>
        <w:rPr>
          <w:rFonts w:ascii="Arial" w:cs="Arial" w:eastAsia="Arial" w:hAnsi="Arial"/>
          <w:sz w:val="18"/>
          <w:szCs w:val="18"/>
          <w:color w:val="auto"/>
        </w:rPr>
        <w:t>” means the volume-weighted average price of one share of common stock on the applicable stock exchange during the 30 days immediately preceding the last day of the Performance Period.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w:t>
      </w:r>
      <w:r>
        <w:rPr>
          <w:rFonts w:ascii="Arial" w:cs="Arial" w:eastAsia="Arial" w:hAnsi="Arial"/>
          <w:sz w:val="18"/>
          <w:szCs w:val="18"/>
          <w:b w:val="1"/>
          <w:bCs w:val="1"/>
          <w:i w:val="1"/>
          <w:iCs w:val="1"/>
          <w:color w:val="auto"/>
        </w:rPr>
        <w:t>Percentile</w:t>
      </w:r>
      <w:r>
        <w:rPr>
          <w:rFonts w:ascii="Arial" w:cs="Arial" w:eastAsia="Arial" w:hAnsi="Arial"/>
          <w:sz w:val="18"/>
          <w:szCs w:val="18"/>
          <w:color w:val="auto"/>
        </w:rPr>
        <w:t>” shall be equal to the absolute value of the difference obtained by (I) the quotient of (A) the Rank (as defined below), divided by (B) the total number of entities in the TSR Index (including the Company, but after removal of any entities in accordance with calculation of the Rank), expressed as a percentage, minus (II) 100%.</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w:t>
      </w:r>
      <w:r>
        <w:rPr>
          <w:rFonts w:ascii="Arial" w:cs="Arial" w:eastAsia="Arial" w:hAnsi="Arial"/>
          <w:sz w:val="16"/>
          <w:szCs w:val="16"/>
          <w:b w:val="1"/>
          <w:bCs w:val="1"/>
          <w:i w:val="1"/>
          <w:iCs w:val="1"/>
          <w:color w:val="auto"/>
        </w:rPr>
        <w:t>Rank</w:t>
      </w:r>
      <w:r>
        <w:rPr>
          <w:rFonts w:ascii="Arial" w:cs="Arial" w:eastAsia="Arial" w:hAnsi="Arial"/>
          <w:sz w:val="16"/>
          <w:szCs w:val="16"/>
          <w:color w:val="auto"/>
        </w:rPr>
        <w:t>” shall be determined by the Company’s position within the ranking of each entity in the TSR Index (including the Company) in descending order based on their respective TSRs (with the highest TSR having a Rank of one). For purposes of developing the ordering provided in the immediately-preceding sentence, (A) any entity that filed for bankruptcy protection under the United States Bankruptcy Code during the Performance Period shall be assigned the lowest order of any entity in the TSR Index, and (B) any entity that is acquired during the Performance Period, or otherwise no longer listed on a national securities exchange at the end of the Performance Period (other than the Company), shall be removed from the TSR Index and shall be excluded for purposes of ordering the entities in the TSR Index (and for purposes of calculating the Company’s Percentile).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i w:val="1"/>
          <w:iCs w:val="1"/>
          <w:color w:val="auto"/>
        </w:rPr>
        <w:t>Payout Percentage</w:t>
      </w:r>
      <w:r>
        <w:rPr>
          <w:rFonts w:ascii="Arial" w:cs="Arial" w:eastAsia="Arial" w:hAnsi="Arial"/>
          <w:sz w:val="18"/>
          <w:szCs w:val="18"/>
          <w:color w:val="auto"/>
        </w:rPr>
        <w:t>” shall be determined as follows, subject to the exceptions below:</w:t>
      </w:r>
    </w:p>
    <w:p>
      <w:pPr>
        <w:spacing w:after="0" w:line="131" w:lineRule="exact"/>
        <w:rPr>
          <w:sz w:val="20"/>
          <w:szCs w:val="20"/>
          <w:color w:val="auto"/>
        </w:rPr>
      </w:pPr>
    </w:p>
    <w:p>
      <w:pPr>
        <w:ind w:left="860" w:right="120" w:hanging="316"/>
        <w:spacing w:after="0" w:line="277" w:lineRule="auto"/>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Threshold Performance: If the Company’s Percentile equals 35% (the “</w:t>
      </w:r>
      <w:r>
        <w:rPr>
          <w:rFonts w:ascii="Arial" w:cs="Arial" w:eastAsia="Arial" w:hAnsi="Arial"/>
          <w:sz w:val="18"/>
          <w:szCs w:val="18"/>
          <w:b w:val="1"/>
          <w:bCs w:val="1"/>
          <w:i w:val="1"/>
          <w:iCs w:val="1"/>
          <w:color w:val="auto"/>
        </w:rPr>
        <w:t>Threshold Percentile</w:t>
      </w:r>
      <w:r>
        <w:rPr>
          <w:rFonts w:ascii="Arial" w:cs="Arial" w:eastAsia="Arial" w:hAnsi="Arial"/>
          <w:sz w:val="18"/>
          <w:szCs w:val="18"/>
          <w:color w:val="auto"/>
        </w:rPr>
        <w:t>”), the Payout Percentage shall be 50%. The Payout Percentage shall equal zero if the Company Percentile is less than 35%.</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Target Performance: If the Company’s Percentile equals 60% (the “</w:t>
      </w:r>
      <w:r>
        <w:rPr>
          <w:rFonts w:ascii="Arial" w:cs="Arial" w:eastAsia="Arial" w:hAnsi="Arial"/>
          <w:sz w:val="17"/>
          <w:szCs w:val="17"/>
          <w:b w:val="1"/>
          <w:bCs w:val="1"/>
          <w:i w:val="1"/>
          <w:iCs w:val="1"/>
          <w:color w:val="auto"/>
        </w:rPr>
        <w:t>Target Percentile</w:t>
      </w:r>
      <w:r>
        <w:rPr>
          <w:rFonts w:ascii="Arial" w:cs="Arial" w:eastAsia="Arial" w:hAnsi="Arial"/>
          <w:sz w:val="17"/>
          <w:szCs w:val="17"/>
          <w:color w:val="auto"/>
        </w:rPr>
        <w:t>”), the Payout Percentage shall be 100%.</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Maximum Performance: If the Company’s Percentile equals 75% (the “</w:t>
      </w:r>
      <w:r>
        <w:rPr>
          <w:rFonts w:ascii="Arial" w:cs="Arial" w:eastAsia="Arial" w:hAnsi="Arial"/>
          <w:sz w:val="16"/>
          <w:szCs w:val="16"/>
          <w:b w:val="1"/>
          <w:bCs w:val="1"/>
          <w:i w:val="1"/>
          <w:iCs w:val="1"/>
          <w:color w:val="auto"/>
        </w:rPr>
        <w:t>Maximum Percentile</w:t>
      </w:r>
      <w:r>
        <w:rPr>
          <w:rFonts w:ascii="Arial" w:cs="Arial" w:eastAsia="Arial" w:hAnsi="Arial"/>
          <w:sz w:val="16"/>
          <w:szCs w:val="16"/>
          <w:color w:val="auto"/>
        </w:rPr>
        <w:t>”), the Payout Percentage shall be 150%.</w:t>
      </w:r>
    </w:p>
    <w:p>
      <w:pPr>
        <w:spacing w:after="0" w:line="153" w:lineRule="exact"/>
        <w:rPr>
          <w:rFonts w:ascii="Arial" w:cs="Arial" w:eastAsia="Arial" w:hAnsi="Arial"/>
          <w:sz w:val="16"/>
          <w:szCs w:val="16"/>
          <w:color w:val="auto"/>
        </w:rPr>
      </w:pPr>
    </w:p>
    <w:p>
      <w:pPr>
        <w:ind w:left="860" w:right="140" w:hanging="316"/>
        <w:spacing w:after="0" w:line="277" w:lineRule="auto"/>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Supermaximum Performance: If the Company’s Percentile equals the Percentile achieved by a Rank of one in the TSR Index, the Payout Percentage shall be 200%.</w:t>
      </w:r>
    </w:p>
    <w:p>
      <w:pPr>
        <w:spacing w:after="0" w:line="75" w:lineRule="exact"/>
        <w:rPr>
          <w:rFonts w:ascii="Arial" w:cs="Arial" w:eastAsia="Arial" w:hAnsi="Arial"/>
          <w:sz w:val="18"/>
          <w:szCs w:val="18"/>
          <w:color w:val="auto"/>
        </w:rPr>
      </w:pPr>
    </w:p>
    <w:p>
      <w:pPr>
        <w:ind w:left="860" w:right="40" w:hanging="316"/>
        <w:spacing w:after="0" w:line="264" w:lineRule="auto"/>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Straight-line interpolation shall be used to determine the Payout Percentage for any Company Percentile between the Threshold Percentile and the Target Percentile and between the Target Percentile and the Maximum Percentile, based upon the Payout Percentages set forth above.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exception exists with respect to the Payout Percentage determination set forth above: If the Company’s absolute TSR (irrespective of its Rank or Percentile) is less than 0%, then the Payout Percentage shall be 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60"/>
          </w:cols>
          <w:pgMar w:left="440" w:top="274" w:right="59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66" w:lineRule="exact"/>
        <w:rPr>
          <w:sz w:val="20"/>
          <w:szCs w:val="20"/>
          <w:color w:val="auto"/>
        </w:rPr>
      </w:pPr>
    </w:p>
    <w:p>
      <w:pPr>
        <w:ind w:left="620" w:hanging="176"/>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140" w:hanging="255"/>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117"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58" w:lineRule="exact"/>
        <w:rPr>
          <w:sz w:val="20"/>
          <w:szCs w:val="20"/>
          <w:color w:val="auto"/>
        </w:rPr>
      </w:pPr>
    </w:p>
    <w:p>
      <w:pPr>
        <w:ind w:right="24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66" w:lineRule="exact"/>
        <w:rPr>
          <w:sz w:val="20"/>
          <w:szCs w:val="20"/>
          <w:color w:val="auto"/>
        </w:rPr>
      </w:pPr>
    </w:p>
    <w:p>
      <w:pPr>
        <w:ind w:left="620" w:hanging="176"/>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8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0" w:right="499" w:bottom="1440" w:gutter="0" w:footer="0" w:header="0"/>
        </w:sectPr>
      </w:pPr>
    </w:p>
    <w:bookmarkStart w:id="55" w:name="page56"/>
    <w:bookmarkEnd w:id="55"/>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0" w:right="80" w:firstLine="1436"/>
        <w:spacing w:after="0" w:line="257" w:lineRule="auto"/>
        <w:tabs>
          <w:tab w:leader="none" w:pos="16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left="-40" w:firstLine="1436"/>
        <w:spacing w:after="0" w:line="268" w:lineRule="auto"/>
        <w:tabs>
          <w:tab w:leader="none" w:pos="16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October 22,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portion of the Restricted Stock Units remaining outstanding and unvested immediately prior to the Change in Control (after application of the foregoing provisions of this Section 2.2(b)) that are eligible to vest and become non-forfeitable (“</w:t>
      </w:r>
      <w:r>
        <w:rPr>
          <w:rFonts w:ascii="Arial" w:cs="Arial" w:eastAsia="Arial" w:hAnsi="Arial"/>
          <w:sz w:val="17"/>
          <w:szCs w:val="17"/>
          <w:b w:val="1"/>
          <w:bCs w:val="1"/>
          <w:i w:val="1"/>
          <w:iCs w:val="1"/>
          <w:color w:val="auto"/>
        </w:rPr>
        <w:t>CIC Post-Termination Units</w:t>
      </w:r>
      <w:r>
        <w:rPr>
          <w:rFonts w:ascii="Arial" w:cs="Arial" w:eastAsia="Arial" w:hAnsi="Arial"/>
          <w:sz w:val="17"/>
          <w:szCs w:val="17"/>
          <w:color w:val="auto"/>
        </w:rPr>
        <w:t>”) will be determined as of the date of the Change in Control in accordance with Exhibit A to the Grant Notice and the date of the Change in Control will serve as the last day of the Performance Period for purposes of such determination. The CIC Post-Termination Units, if any, will vest immediately upon the occurrence of the Change in Control.</w:t>
      </w:r>
    </w:p>
    <w:p>
      <w:pPr>
        <w:spacing w:after="0" w:line="77" w:lineRule="exact"/>
        <w:rPr>
          <w:rFonts w:ascii="Arial" w:cs="Arial" w:eastAsia="Arial" w:hAnsi="Arial"/>
          <w:sz w:val="17"/>
          <w:szCs w:val="17"/>
          <w:color w:val="auto"/>
        </w:rPr>
      </w:pPr>
    </w:p>
    <w:p>
      <w:pPr>
        <w:ind w:left="-40" w:right="200" w:firstLine="1436"/>
        <w:spacing w:after="0" w:line="277" w:lineRule="auto"/>
        <w:tabs>
          <w:tab w:leader="none" w:pos="16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w:t>
      </w:r>
    </w:p>
    <w:p>
      <w:pPr>
        <w:spacing w:after="0" w:line="62" w:lineRule="exact"/>
        <w:rPr>
          <w:rFonts w:ascii="Arial" w:cs="Arial" w:eastAsia="Arial" w:hAnsi="Arial"/>
          <w:sz w:val="18"/>
          <w:szCs w:val="18"/>
          <w:color w:val="auto"/>
        </w:rPr>
      </w:pPr>
    </w:p>
    <w:p>
      <w:pPr>
        <w:ind w:left="-40" w:right="160" w:firstLine="1436"/>
        <w:spacing w:after="0" w:line="264" w:lineRule="auto"/>
        <w:tabs>
          <w:tab w:leader="none" w:pos="1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73" w:lineRule="exact"/>
        <w:rPr>
          <w:rFonts w:ascii="Arial" w:cs="Arial" w:eastAsia="Arial" w:hAnsi="Arial"/>
          <w:sz w:val="18"/>
          <w:szCs w:val="18"/>
          <w:color w:val="auto"/>
        </w:rPr>
      </w:pPr>
    </w:p>
    <w:p>
      <w:pPr>
        <w:ind w:left="-40" w:right="80" w:firstLine="1436"/>
        <w:spacing w:after="0" w:line="277" w:lineRule="auto"/>
        <w:tabs>
          <w:tab w:leader="none" w:pos="16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80" w:top="270" w:right="459" w:bottom="1440" w:gutter="0" w:footer="0" w:header="0"/>
        </w:sectPr>
      </w:pPr>
    </w:p>
    <w:bookmarkStart w:id="56" w:name="page57"/>
    <w:bookmarkEnd w:id="56"/>
    <w:p>
      <w:pPr>
        <w:ind w:left="-40" w:right="160" w:firstLine="1436"/>
        <w:spacing w:after="0" w:line="277" w:lineRule="auto"/>
        <w:tabs>
          <w:tab w:leader="none" w:pos="1617"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60" w:hanging="264"/>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firstLine="1436"/>
        <w:spacing w:after="0" w:line="264" w:lineRule="auto"/>
        <w:tabs>
          <w:tab w:leader="none" w:pos="1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ind w:left="-40" w:firstLine="1436"/>
        <w:spacing w:after="0" w:line="308" w:lineRule="auto"/>
        <w:tabs>
          <w:tab w:leader="none" w:pos="160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40" w:right="180" w:firstLine="1436"/>
        <w:spacing w:after="0" w:line="264" w:lineRule="auto"/>
        <w:tabs>
          <w:tab w:leader="none" w:pos="1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40" w:right="160" w:firstLine="1436"/>
        <w:spacing w:after="0" w:line="264" w:lineRule="auto"/>
        <w:tabs>
          <w:tab w:leader="none" w:pos="16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40" w:right="240" w:firstLine="1436"/>
        <w:spacing w:after="0" w:line="277" w:lineRule="auto"/>
        <w:tabs>
          <w:tab w:leader="none" w:pos="16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40" w:right="100" w:firstLine="1436"/>
        <w:spacing w:after="0" w:line="297" w:lineRule="auto"/>
        <w:tabs>
          <w:tab w:leader="none" w:pos="1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2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r>
        <w:rPr>
          <w:rFonts w:ascii="Arial" w:cs="Arial" w:eastAsia="Arial" w:hAnsi="Arial"/>
          <w:sz w:val="18"/>
          <w:szCs w:val="18"/>
          <w:color w:val="auto"/>
        </w:rPr>
        <w:t>.</w:t>
      </w:r>
    </w:p>
    <w:p>
      <w:pPr>
        <w:spacing w:after="0" w:line="117" w:lineRule="exact"/>
        <w:rPr>
          <w:sz w:val="20"/>
          <w:szCs w:val="20"/>
          <w:color w:val="auto"/>
        </w:rPr>
      </w:pPr>
    </w:p>
    <w:p>
      <w:pPr>
        <w:jc w:val="both"/>
        <w:ind w:left="-40" w:firstLine="1436"/>
        <w:spacing w:after="0" w:line="261" w:lineRule="auto"/>
        <w:tabs>
          <w:tab w:leader="none" w:pos="1637"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80" w:top="274" w:right="479" w:bottom="1440" w:gutter="0" w:footer="0" w:header="0"/>
        </w:sectPr>
      </w:pPr>
    </w:p>
    <w:bookmarkStart w:id="57" w:name="page58"/>
    <w:bookmarkEnd w:id="57"/>
    <w:p>
      <w:pPr>
        <w:ind w:firstLine="1436"/>
        <w:spacing w:after="0" w:line="252" w:lineRule="auto"/>
        <w:tabs>
          <w:tab w:leader="none" w:pos="1687"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WHICH MAY INCLUDE AREAS OUTSIDE THE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 REQUEST A LIST WITH THE NAMES AND ADDRESSES OF ANY POTENTIAL RECIPIENTS OF</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OR MORE INFORMATION ON THE CONSEQUENCES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CONTACT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color w:val="auto"/>
        </w:rPr>
      </w:pPr>
    </w:p>
    <w:p>
      <w:pPr>
        <w:ind w:left="620" w:hanging="176"/>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58" w:name="page59"/>
    <w:bookmarkEnd w:id="5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77" w:lineRule="exact"/>
        <w:rPr>
          <w:sz w:val="20"/>
          <w:szCs w:val="20"/>
          <w:color w:val="auto"/>
        </w:rPr>
      </w:pPr>
    </w:p>
    <w:p>
      <w:pPr>
        <w:ind w:left="620" w:hanging="176"/>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54" w:lineRule="exact"/>
        <w:rPr>
          <w:sz w:val="20"/>
          <w:szCs w:val="20"/>
          <w:color w:val="auto"/>
        </w:rPr>
      </w:pPr>
    </w:p>
    <w:p>
      <w:pPr>
        <w:ind w:left="620" w:hanging="176"/>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 w:lineRule="exact"/>
        <w:rPr>
          <w:sz w:val="20"/>
          <w:szCs w:val="20"/>
          <w:color w:val="auto"/>
        </w:rPr>
      </w:pPr>
    </w:p>
    <w:p>
      <w:pPr>
        <w:ind w:left="620" w:hanging="176"/>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0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59" w:name="page60"/>
    <w:bookmarkEnd w:id="59"/>
    <w:p>
      <w:pPr>
        <w:ind w:left="620" w:hanging="176"/>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80"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0" w:right="439" w:bottom="1440" w:gutter="0" w:footer="0" w:header="0"/>
        </w:sectPr>
      </w:pPr>
    </w:p>
    <w:bookmarkStart w:id="60" w:name="page61"/>
    <w:bookmarkEnd w:id="60"/>
    <w:p>
      <w:pPr>
        <w:ind w:left="620" w:hanging="176"/>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0"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40" w:firstLine="4"/>
        <w:spacing w:after="0" w:line="269"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7"/>
          <w:szCs w:val="17"/>
          <w:b w:val="1"/>
          <w:bCs w:val="1"/>
          <w:i w:val="1"/>
          <w:iCs w:val="1"/>
          <w:color w:val="auto"/>
        </w:rPr>
        <w:t>Retained Share Amount</w:t>
      </w:r>
      <w:r>
        <w:rPr>
          <w:rFonts w:ascii="Arial" w:cs="Arial" w:eastAsia="Arial" w:hAnsi="Arial"/>
          <w:sz w:val="17"/>
          <w:szCs w:val="17"/>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20"/>
          </w:cols>
          <w:pgMar w:left="440" w:top="270" w:right="539" w:bottom="1440" w:gutter="0" w:footer="0" w:header="0"/>
        </w:sectPr>
      </w:pPr>
    </w:p>
    <w:bookmarkStart w:id="61" w:name="page62"/>
    <w:bookmarkEnd w:id="61"/>
    <w:p>
      <w:pPr>
        <w:ind w:left="620" w:hanging="176"/>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Change in Control</w:t>
      </w:r>
      <w:r>
        <w:rPr>
          <w:rFonts w:ascii="Arial" w:cs="Arial" w:eastAsia="Arial" w:hAnsi="Arial"/>
          <w:sz w:val="18"/>
          <w:szCs w:val="18"/>
          <w:color w:val="auto"/>
        </w:rPr>
        <w:t>. Upon the occurrence of a Change in Control during the Performance Period where a Replacement Award (as defined below) is provided to the Participant at the time of the Change in Control in lieu of the Units, the Units that remain outstanding and unvested as of immediately prior to the Change in Control shall remain outstanding and unvested, but the performance conditions with respect thereto shall be deemed satisfied at the target level of achievement. Upon the occurrence of a Change in Control where a Replacement Award is not provided to the Participant in lieu of the Units, the Units shall immediately vest at the target level of achievement. In either case, all Units in excess of the Target Award shall immediately be forfeited and cancelled, unless otherwise determined by the Committee, and Participant shall not be entitled to any compensation or other amount with respect thereto.</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other than with respect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performance conditions as set forth in Section 9.1) or is of the same type as the Award that is replaced or adjusted by a Replacement Award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w:t>
      </w:r>
    </w:p>
    <w:p>
      <w:pPr>
        <w:spacing w:after="0" w:line="32" w:lineRule="exact"/>
        <w:rPr>
          <w:sz w:val="20"/>
          <w:szCs w:val="20"/>
          <w:color w:val="auto"/>
        </w:rPr>
      </w:pPr>
    </w:p>
    <w:p>
      <w:pPr>
        <w:ind w:firstLine="4"/>
        <w:spacing w:after="0" w:line="268" w:lineRule="auto"/>
        <w:tabs>
          <w:tab w:leader="none" w:pos="3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68" w:lineRule="exact"/>
        <w:rPr>
          <w:sz w:val="20"/>
          <w:szCs w:val="20"/>
          <w:color w:val="auto"/>
        </w:rPr>
      </w:pPr>
    </w:p>
    <w:p>
      <w:pPr>
        <w:ind w:left="720" w:hanging="27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0" w:lineRule="exact"/>
        <w:rPr>
          <w:sz w:val="20"/>
          <w:szCs w:val="20"/>
          <w:color w:val="auto"/>
        </w:rPr>
      </w:pPr>
    </w:p>
    <w:p>
      <w:pPr>
        <w:ind w:left="5420" w:right="5400" w:hanging="5416"/>
        <w:spacing w:after="0" w:line="388" w:lineRule="auto"/>
        <w:tabs>
          <w:tab w:leader="none" w:pos="432" w:val="left"/>
        </w:tabs>
        <w:numPr>
          <w:ilvl w:val="0"/>
          <w:numId w:val="81"/>
        </w:numPr>
        <w:rPr>
          <w:rFonts w:ascii="Arial" w:cs="Arial" w:eastAsia="Arial" w:hAnsi="Arial"/>
          <w:sz w:val="14"/>
          <w:szCs w:val="14"/>
          <w:color w:val="auto"/>
        </w:rPr>
      </w:pPr>
      <w:r>
        <w:rPr>
          <w:rFonts w:ascii="Arial" w:cs="Arial" w:eastAsia="Arial" w:hAnsi="Arial"/>
          <w:sz w:val="16"/>
          <w:szCs w:val="16"/>
          <w:color w:val="auto"/>
        </w:rPr>
        <w:t>NTD: Last day of performance period, to be updated for future grants. 55</w:t>
      </w:r>
    </w:p>
    <w:p>
      <w:pPr>
        <w:sectPr>
          <w:pgSz w:w="11900" w:h="16838" w:orient="portrait"/>
          <w:cols w:equalWidth="0" w:num="1">
            <w:col w:w="11000"/>
          </w:cols>
          <w:pgMar w:left="440" w:top="270" w:right="459" w:bottom="1440" w:gutter="0" w:footer="0" w:header="0"/>
        </w:sectPr>
      </w:pPr>
    </w:p>
    <w:bookmarkStart w:id="62" w:name="page63"/>
    <w:bookmarkEnd w:id="6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53" w:lineRule="exact"/>
        <w:rPr>
          <w:sz w:val="20"/>
          <w:szCs w:val="20"/>
          <w:color w:val="auto"/>
        </w:rPr>
      </w:pPr>
    </w:p>
    <w:p>
      <w:pPr>
        <w:ind w:left="700" w:hanging="2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80" w:lineRule="exact"/>
        <w:rPr>
          <w:sz w:val="20"/>
          <w:szCs w:val="20"/>
          <w:color w:val="auto"/>
        </w:rPr>
      </w:pPr>
    </w:p>
    <w:p>
      <w:pPr>
        <w:ind w:left="720" w:hanging="27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75" w:lineRule="exact"/>
        <w:rPr>
          <w:sz w:val="20"/>
          <w:szCs w:val="20"/>
          <w:color w:val="auto"/>
        </w:rPr>
      </w:pPr>
    </w:p>
    <w:p>
      <w:pPr>
        <w:ind w:left="720" w:hanging="27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57" w:lineRule="exact"/>
        <w:rPr>
          <w:sz w:val="20"/>
          <w:szCs w:val="20"/>
          <w:color w:val="auto"/>
        </w:rPr>
      </w:pPr>
    </w:p>
    <w:p>
      <w:pPr>
        <w:ind w:right="120" w:firstLine="88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3" w:name="page64"/>
    <w:bookmarkEnd w:id="63"/>
    <w:p>
      <w:pPr>
        <w:ind w:right="180" w:firstLine="88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80" w:firstLine="88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71" w:lineRule="auto"/>
        <w:tabs>
          <w:tab w:leader="none" w:pos="1687"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Consent to Electronic Delivery. </w:t>
      </w:r>
      <w:r>
        <w:rPr>
          <w:rFonts w:ascii="Arial" w:cs="Arial" w:eastAsia="Arial" w:hAnsi="Arial"/>
          <w:sz w:val="17"/>
          <w:szCs w:val="17"/>
          <w:color w:val="auto"/>
        </w:rPr>
        <w:t>The Participant acknowledges that the Participant has read Section 13.5(a)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0" w:right="439" w:bottom="1440" w:gutter="0" w:footer="0" w:header="0"/>
        </w:sectPr>
      </w:pPr>
    </w:p>
    <w:bookmarkStart w:id="64" w:name="page65"/>
    <w:bookmarkEnd w:id="6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69"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6"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0"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w:t>
      </w:r>
      <w:r>
        <w:rPr>
          <w:rFonts w:ascii="Arial" w:cs="Arial" w:eastAsia="Arial" w:hAnsi="Arial"/>
          <w:sz w:val="18"/>
          <w:szCs w:val="18"/>
          <w:color w:val="auto"/>
        </w:rPr>
        <w:t>s</w:t>
      </w:r>
    </w:p>
    <w:p>
      <w:pPr>
        <w:spacing w:after="0" w:line="131" w:lineRule="exact"/>
        <w:rPr>
          <w:sz w:val="20"/>
          <w:szCs w:val="20"/>
          <w:color w:val="auto"/>
        </w:rPr>
      </w:pPr>
    </w:p>
    <w:p>
      <w:pPr>
        <w:ind w:left="440" w:hanging="436"/>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4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0" w:right="4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TIME-BASED NOTICE OF GRANT AND RESTRICTED STOCK UNIT AWARD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AGREEMENT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019"/>
          </w:cols>
          <w:pgMar w:left="1440" w:top="270" w:right="1440" w:bottom="144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Participant has been granted an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of certain Restricted Stock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of MagnaChip Semiconductor Corporation pursuant to the MagnaChip Semiconductor Corporation 2011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MagnaChip Semiconductor Corporation Restricted Stock Units Agreement (the “</w:t>
      </w:r>
      <w:r>
        <w:rPr>
          <w:rFonts w:ascii="Arial" w:cs="Arial" w:eastAsia="Arial" w:hAnsi="Arial"/>
          <w:sz w:val="18"/>
          <w:szCs w:val="18"/>
          <w:b w:val="1"/>
          <w:bCs w:val="1"/>
          <w:i w:val="1"/>
          <w:iCs w:val="1"/>
          <w:color w:val="auto"/>
        </w:rPr>
        <w:t>Restricted Stock Units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Theodore Kim</w:t>
            </w:r>
          </w:p>
        </w:tc>
        <w:tc>
          <w:tcPr>
            <w:tcW w:w="41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670"/>
              <w:spacing w:after="0"/>
              <w:rPr>
                <w:sz w:val="20"/>
                <w:szCs w:val="20"/>
                <w:color w:val="auto"/>
              </w:rPr>
            </w:pPr>
            <w:r>
              <w:rPr>
                <w:rFonts w:ascii="Arial" w:cs="Arial" w:eastAsia="Arial" w:hAnsi="Arial"/>
                <w:sz w:val="18"/>
                <w:szCs w:val="18"/>
                <w:color w:val="auto"/>
              </w:rPr>
              <w:t>], 2018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w:t>
            </w:r>
          </w:p>
        </w:tc>
        <w:tc>
          <w:tcPr>
            <w:tcW w:w="41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Number of Restricted Stock Units:</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30,000, subject to adjustment as provided by the Restricted Stock Units Agreement.</w:t>
            </w:r>
          </w:p>
        </w:tc>
      </w:tr>
      <w:tr>
        <w:trPr>
          <w:trHeight w:val="418"/>
        </w:trPr>
        <w:tc>
          <w:tcPr>
            <w:tcW w:w="3500" w:type="dxa"/>
            <w:vAlign w:val="bottom"/>
          </w:tcPr>
          <w:p>
            <w:pPr>
              <w:spacing w:after="0"/>
              <w:rPr>
                <w:sz w:val="20"/>
                <w:szCs w:val="20"/>
                <w:color w:val="auto"/>
              </w:rPr>
            </w:pPr>
            <w:r>
              <w:rPr>
                <w:rFonts w:ascii="Arial" w:cs="Arial" w:eastAsia="Arial" w:hAnsi="Arial"/>
                <w:sz w:val="18"/>
                <w:szCs w:val="18"/>
                <w:b w:val="1"/>
                <w:bCs w:val="1"/>
                <w:color w:val="auto"/>
                <w:w w:val="93"/>
              </w:rPr>
              <w:t>Initial Vesting Date and Vesting Conditions:</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w w:val="90"/>
              </w:rPr>
              <w:t>Subject to the terms of the Restricted Stock Units Agreement and the Participant’s continued Service</w:t>
            </w:r>
          </w:p>
        </w:tc>
      </w:tr>
      <w:tr>
        <w:trPr>
          <w:trHeight w:val="216"/>
        </w:trPr>
        <w:tc>
          <w:tcPr>
            <w:tcW w:w="350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w w:val="96"/>
              </w:rPr>
              <w:t>on the applicable vesting date, except as provided by Section 2.2 of the Restricted Stock Units</w:t>
            </w:r>
          </w:p>
        </w:tc>
      </w:tr>
      <w:tr>
        <w:trPr>
          <w:trHeight w:val="230"/>
        </w:trPr>
        <w:tc>
          <w:tcPr>
            <w:tcW w:w="3500" w:type="dxa"/>
            <w:vAlign w:val="bottom"/>
          </w:tcPr>
          <w:p>
            <w:pPr>
              <w:spacing w:after="0"/>
              <w:rPr>
                <w:sz w:val="20"/>
                <w:szCs w:val="20"/>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Agreement, the Restricted Stock Units will vest (becoming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as follows:</w:t>
            </w:r>
          </w:p>
        </w:tc>
      </w:tr>
      <w:tr>
        <w:trPr>
          <w:trHeight w:val="418"/>
        </w:trPr>
        <w:tc>
          <w:tcPr>
            <w:tcW w:w="3500" w:type="dxa"/>
            <w:vAlign w:val="bottom"/>
          </w:tcPr>
          <w:p>
            <w:pPr>
              <w:spacing w:after="0"/>
              <w:rPr>
                <w:sz w:val="24"/>
                <w:szCs w:val="24"/>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Vesting Date</w:t>
            </w:r>
          </w:p>
        </w:tc>
        <w:tc>
          <w:tcPr>
            <w:tcW w:w="4140" w:type="dxa"/>
            <w:vAlign w:val="bottom"/>
          </w:tcPr>
          <w:p>
            <w:pPr>
              <w:ind w:left="740"/>
              <w:spacing w:after="0"/>
              <w:rPr>
                <w:sz w:val="20"/>
                <w:szCs w:val="20"/>
                <w:color w:val="auto"/>
              </w:rPr>
            </w:pPr>
            <w:r>
              <w:rPr>
                <w:rFonts w:ascii="Arial" w:cs="Arial" w:eastAsia="Arial" w:hAnsi="Arial"/>
                <w:sz w:val="18"/>
                <w:szCs w:val="18"/>
                <w:color w:val="auto"/>
              </w:rPr>
              <w:t>Restricted Stock Units</w:t>
            </w:r>
          </w:p>
        </w:tc>
      </w:tr>
      <w:tr>
        <w:trPr>
          <w:trHeight w:val="216"/>
        </w:trPr>
        <w:tc>
          <w:tcPr>
            <w:tcW w:w="350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10/31/18</w:t>
            </w:r>
          </w:p>
        </w:tc>
        <w:tc>
          <w:tcPr>
            <w:tcW w:w="4140" w:type="dxa"/>
            <w:vAlign w:val="bottom"/>
          </w:tcPr>
          <w:p>
            <w:pPr>
              <w:ind w:left="740"/>
              <w:spacing w:after="0"/>
              <w:rPr>
                <w:sz w:val="20"/>
                <w:szCs w:val="20"/>
                <w:color w:val="auto"/>
              </w:rPr>
            </w:pPr>
            <w:r>
              <w:rPr>
                <w:rFonts w:ascii="Arial" w:cs="Arial" w:eastAsia="Arial" w:hAnsi="Arial"/>
                <w:sz w:val="18"/>
                <w:szCs w:val="18"/>
                <w:color w:val="auto"/>
              </w:rPr>
              <w:t>9,000</w:t>
            </w:r>
          </w:p>
        </w:tc>
      </w:tr>
      <w:tr>
        <w:trPr>
          <w:trHeight w:val="216"/>
        </w:trPr>
        <w:tc>
          <w:tcPr>
            <w:tcW w:w="350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12/31/18</w:t>
            </w:r>
          </w:p>
        </w:tc>
        <w:tc>
          <w:tcPr>
            <w:tcW w:w="4140" w:type="dxa"/>
            <w:vAlign w:val="bottom"/>
          </w:tcPr>
          <w:p>
            <w:pPr>
              <w:ind w:left="740"/>
              <w:spacing w:after="0"/>
              <w:rPr>
                <w:sz w:val="20"/>
                <w:szCs w:val="20"/>
                <w:color w:val="auto"/>
              </w:rPr>
            </w:pPr>
            <w:r>
              <w:rPr>
                <w:rFonts w:ascii="Arial" w:cs="Arial" w:eastAsia="Arial" w:hAnsi="Arial"/>
                <w:sz w:val="18"/>
                <w:szCs w:val="18"/>
                <w:color w:val="auto"/>
              </w:rPr>
              <w:t>2,640</w:t>
            </w:r>
          </w:p>
        </w:tc>
      </w:tr>
      <w:tr>
        <w:trPr>
          <w:trHeight w:val="216"/>
        </w:trPr>
        <w:tc>
          <w:tcPr>
            <w:tcW w:w="350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12/31/19</w:t>
            </w:r>
          </w:p>
        </w:tc>
        <w:tc>
          <w:tcPr>
            <w:tcW w:w="4140" w:type="dxa"/>
            <w:vAlign w:val="bottom"/>
          </w:tcPr>
          <w:p>
            <w:pPr>
              <w:ind w:left="740"/>
              <w:spacing w:after="0"/>
              <w:rPr>
                <w:sz w:val="20"/>
                <w:szCs w:val="20"/>
                <w:color w:val="auto"/>
              </w:rPr>
            </w:pPr>
            <w:r>
              <w:rPr>
                <w:rFonts w:ascii="Arial" w:cs="Arial" w:eastAsia="Arial" w:hAnsi="Arial"/>
                <w:sz w:val="18"/>
                <w:szCs w:val="18"/>
                <w:color w:val="auto"/>
              </w:rPr>
              <w:t>9,360</w:t>
            </w:r>
          </w:p>
        </w:tc>
      </w:tr>
      <w:tr>
        <w:trPr>
          <w:trHeight w:val="230"/>
        </w:trPr>
        <w:tc>
          <w:tcPr>
            <w:tcW w:w="3500" w:type="dxa"/>
            <w:vAlign w:val="bottom"/>
          </w:tcPr>
          <w:p>
            <w:pPr>
              <w:spacing w:after="0"/>
              <w:rPr>
                <w:sz w:val="20"/>
                <w:szCs w:val="20"/>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12/31/20</w:t>
            </w:r>
          </w:p>
        </w:tc>
        <w:tc>
          <w:tcPr>
            <w:tcW w:w="4140" w:type="dxa"/>
            <w:vAlign w:val="bottom"/>
          </w:tcPr>
          <w:p>
            <w:pPr>
              <w:ind w:left="740"/>
              <w:spacing w:after="0"/>
              <w:rPr>
                <w:sz w:val="20"/>
                <w:szCs w:val="20"/>
                <w:color w:val="auto"/>
              </w:rPr>
            </w:pPr>
            <w:r>
              <w:rPr>
                <w:rFonts w:ascii="Arial" w:cs="Arial" w:eastAsia="Arial" w:hAnsi="Arial"/>
                <w:sz w:val="18"/>
                <w:szCs w:val="18"/>
                <w:color w:val="auto"/>
              </w:rPr>
              <w:t>9,000</w:t>
            </w:r>
          </w:p>
        </w:tc>
      </w:tr>
      <w:tr>
        <w:trPr>
          <w:trHeight w:val="418"/>
        </w:trPr>
        <w:tc>
          <w:tcPr>
            <w:tcW w:w="3500" w:type="dxa"/>
            <w:vAlign w:val="bottom"/>
          </w:tcPr>
          <w:p>
            <w:pPr>
              <w:spacing w:after="0"/>
              <w:rPr>
                <w:sz w:val="20"/>
                <w:szCs w:val="20"/>
                <w:color w:val="auto"/>
              </w:rPr>
            </w:pPr>
            <w:r>
              <w:rPr>
                <w:rFonts w:ascii="Arial" w:cs="Arial" w:eastAsia="Arial" w:hAnsi="Arial"/>
                <w:sz w:val="18"/>
                <w:szCs w:val="18"/>
                <w:b w:val="1"/>
                <w:bCs w:val="1"/>
                <w:color w:val="auto"/>
              </w:rPr>
              <w:t>Local Law:</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w w:val="92"/>
              </w:rPr>
              <w:t>The laws, rules and regulations of South Korea and the United States, of which the Participant is a</w:t>
            </w:r>
          </w:p>
        </w:tc>
      </w:tr>
      <w:tr>
        <w:trPr>
          <w:trHeight w:val="230"/>
        </w:trPr>
        <w:tc>
          <w:tcPr>
            <w:tcW w:w="3500" w:type="dxa"/>
            <w:vAlign w:val="bottom"/>
          </w:tcPr>
          <w:p>
            <w:pPr>
              <w:spacing w:after="0"/>
              <w:rPr>
                <w:sz w:val="20"/>
                <w:szCs w:val="20"/>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resident or taxpayer.</w:t>
            </w:r>
          </w:p>
        </w:tc>
        <w:tc>
          <w:tcPr>
            <w:tcW w:w="4140" w:type="dxa"/>
            <w:vAlign w:val="bottom"/>
          </w:tcPr>
          <w:p>
            <w:pPr>
              <w:spacing w:after="0"/>
              <w:rPr>
                <w:sz w:val="20"/>
                <w:szCs w:val="20"/>
                <w:color w:val="auto"/>
              </w:rPr>
            </w:pPr>
          </w:p>
        </w:tc>
      </w:tr>
      <w:tr>
        <w:trPr>
          <w:trHeight w:val="365"/>
        </w:trPr>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Pr>
          <w:p>
            <w:pPr>
              <w:jc w:val="right"/>
              <w:ind w:right="1050"/>
              <w:spacing w:after="0"/>
              <w:rPr>
                <w:sz w:val="20"/>
                <w:szCs w:val="20"/>
                <w:color w:val="auto"/>
              </w:rPr>
            </w:pPr>
            <w:r>
              <w:rPr>
                <w:rFonts w:ascii="Arial" w:cs="Arial" w:eastAsia="Arial" w:hAnsi="Arial"/>
                <w:sz w:val="18"/>
                <w:szCs w:val="18"/>
                <w:color w:val="auto"/>
              </w:rPr>
              <w:t>62</w:t>
            </w:r>
          </w:p>
        </w:tc>
        <w:tc>
          <w:tcPr>
            <w:tcW w:w="4140" w:type="dxa"/>
            <w:vAlign w:val="bottom"/>
          </w:tcPr>
          <w:p>
            <w:pPr>
              <w:spacing w:after="0"/>
              <w:rPr>
                <w:sz w:val="24"/>
                <w:szCs w:val="24"/>
                <w:color w:val="auto"/>
              </w:rPr>
            </w:pPr>
          </w:p>
        </w:tc>
      </w:tr>
    </w:tbl>
    <w:p>
      <w:pPr>
        <w:sectPr>
          <w:pgSz w:w="11900" w:h="16838" w:orient="portrait"/>
          <w:cols w:equalWidth="0" w:num="1">
            <w:col w:w="10880"/>
          </w:cols>
          <w:pgMar w:left="440" w:top="270" w:right="579" w:bottom="1440" w:gutter="0" w:footer="0" w:header="0"/>
        </w:sectPr>
      </w:pPr>
    </w:p>
    <w:bookmarkStart w:id="69" w:name="page70"/>
    <w:bookmarkEnd w:id="6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MAGNACHIP SEMICONDUCTOR CORPORATION</w:t>
      </w:r>
      <w:r>
        <w:rPr>
          <w:sz w:val="20"/>
          <w:szCs w:val="20"/>
          <w:color w:val="auto"/>
        </w:rPr>
        <w:tab/>
      </w:r>
      <w:r>
        <w:rPr>
          <w:rFonts w:ascii="Arial" w:cs="Arial" w:eastAsia="Arial" w:hAnsi="Arial"/>
          <w:sz w:val="17"/>
          <w:szCs w:val="17"/>
          <w:color w:val="auto"/>
        </w:rPr>
        <w:t>PARTICIPANT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23495</wp:posOffset>
            </wp:positionV>
            <wp:extent cx="31470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-10160</wp:posOffset>
            </wp:positionV>
            <wp:extent cx="20859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-10795</wp:posOffset>
            </wp:positionV>
            <wp:extent cx="20859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ATTACHMENTS:2011 Equity Incentive Plan, as amended to the Date of Grant, and Restricted Stock Units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440" w:top="274" w:right="53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66" w:lineRule="exact"/>
        <w:rPr>
          <w:sz w:val="20"/>
          <w:szCs w:val="20"/>
          <w:color w:val="auto"/>
        </w:rPr>
      </w:pPr>
    </w:p>
    <w:p>
      <w:pPr>
        <w:ind w:left="620" w:hanging="176"/>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44"/>
        <w:spacing w:after="0"/>
        <w:tabs>
          <w:tab w:leader="none" w:pos="1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117" w:lineRule="exact"/>
        <w:rPr>
          <w:rFonts w:ascii="Arial" w:cs="Arial" w:eastAsia="Arial" w:hAnsi="Arial"/>
          <w:sz w:val="18"/>
          <w:szCs w:val="18"/>
          <w:color w:val="auto"/>
        </w:rPr>
      </w:pPr>
    </w:p>
    <w:p>
      <w:pPr>
        <w:ind w:right="220" w:firstLine="1436"/>
        <w:spacing w:after="0" w:line="277" w:lineRule="auto"/>
        <w:tabs>
          <w:tab w:leader="none" w:pos="16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58" w:lineRule="exact"/>
        <w:rPr>
          <w:sz w:val="20"/>
          <w:szCs w:val="20"/>
          <w:color w:val="auto"/>
        </w:rPr>
      </w:pPr>
    </w:p>
    <w:p>
      <w:pPr>
        <w:ind w:right="24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50" w:lineRule="exact"/>
        <w:rPr>
          <w:sz w:val="20"/>
          <w:szCs w:val="20"/>
          <w:color w:val="auto"/>
        </w:rPr>
      </w:pPr>
    </w:p>
    <w:p>
      <w:pPr>
        <w:ind w:left="620" w:hanging="176"/>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8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0" w:right="499" w:bottom="1440" w:gutter="0" w:footer="0" w:header="0"/>
        </w:sectPr>
      </w:pPr>
    </w:p>
    <w:bookmarkStart w:id="71" w:name="page72"/>
    <w:bookmarkEnd w:id="71"/>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0" w:right="80" w:firstLine="1436"/>
        <w:spacing w:after="0" w:line="257" w:lineRule="auto"/>
        <w:tabs>
          <w:tab w:leader="none" w:pos="16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left="-40" w:firstLine="1436"/>
        <w:spacing w:after="0" w:line="293" w:lineRule="auto"/>
        <w:tabs>
          <w:tab w:leader="none" w:pos="1648"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October 22, 2018) and prior to the settlement of the Award, the Participant will vest in a pro rata portion of the next tranche of Restricted Stock Units scheduled to vest hereunder, determined by multiplying the number of unvested Restricted Stock Units in such tranche by a fraction, the numerator of which is the number of full months from the last vesting date (or, if none, the Grant Date) to the date of such termination and the denominator of which is the number of full months from the last vesting date (or, if none, the Grant Date) to the next vesting date.</w:t>
      </w:r>
    </w:p>
    <w:p>
      <w:pPr>
        <w:spacing w:after="0" w:line="56" w:lineRule="exact"/>
        <w:rPr>
          <w:rFonts w:ascii="Arial" w:cs="Arial" w:eastAsia="Arial" w:hAnsi="Arial"/>
          <w:sz w:val="16"/>
          <w:szCs w:val="16"/>
          <w:color w:val="auto"/>
        </w:rPr>
      </w:pPr>
    </w:p>
    <w:p>
      <w:pPr>
        <w:ind w:left="1640" w:hanging="244"/>
        <w:spacing w:after="0"/>
        <w:tabs>
          <w:tab w:leader="none" w:pos="1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unvested Units will fully vest on the date of such termination.</w:t>
      </w:r>
    </w:p>
    <w:p>
      <w:pPr>
        <w:spacing w:after="0" w:line="117" w:lineRule="exact"/>
        <w:rPr>
          <w:rFonts w:ascii="Arial" w:cs="Arial" w:eastAsia="Arial" w:hAnsi="Arial"/>
          <w:sz w:val="18"/>
          <w:szCs w:val="18"/>
          <w:color w:val="auto"/>
        </w:rPr>
      </w:pPr>
    </w:p>
    <w:p>
      <w:pPr>
        <w:ind w:left="-40" w:right="20" w:firstLine="1436"/>
        <w:spacing w:after="0" w:line="264" w:lineRule="auto"/>
        <w:tabs>
          <w:tab w:leader="none" w:pos="1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2.2(b) or (c). Further, all unvested Units will be forfeited and cancelled and the Participant will not be entitled to any compensation or other amount with respect thereto.</w:t>
      </w:r>
    </w:p>
    <w:p>
      <w:pPr>
        <w:spacing w:after="0" w:line="73" w:lineRule="exact"/>
        <w:rPr>
          <w:rFonts w:ascii="Arial" w:cs="Arial" w:eastAsia="Arial" w:hAnsi="Arial"/>
          <w:sz w:val="18"/>
          <w:szCs w:val="18"/>
          <w:color w:val="auto"/>
        </w:rPr>
      </w:pPr>
    </w:p>
    <w:p>
      <w:pPr>
        <w:ind w:left="-40" w:right="80" w:firstLine="1436"/>
        <w:spacing w:after="0" w:line="277" w:lineRule="auto"/>
        <w:tabs>
          <w:tab w:leader="none" w:pos="16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0" w:right="180" w:firstLine="1436"/>
        <w:spacing w:after="0" w:line="277" w:lineRule="auto"/>
        <w:tabs>
          <w:tab w:leader="none" w:pos="16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60" w:hanging="264"/>
        <w:spacing w:after="0"/>
        <w:tabs>
          <w:tab w:leader="none" w:pos="1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right="20" w:firstLine="1436"/>
        <w:spacing w:after="0" w:line="264" w:lineRule="auto"/>
        <w:tabs>
          <w:tab w:leader="none" w:pos="1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80" w:top="270" w:right="459" w:bottom="1440" w:gutter="0" w:footer="0" w:header="0"/>
        </w:sectPr>
      </w:pPr>
    </w:p>
    <w:bookmarkStart w:id="72" w:name="page73"/>
    <w:bookmarkEnd w:id="72"/>
    <w:p>
      <w:pPr>
        <w:ind w:left="-20" w:right="20" w:firstLine="1436"/>
        <w:spacing w:after="0" w:line="308" w:lineRule="auto"/>
        <w:tabs>
          <w:tab w:leader="none" w:pos="1628"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20" w:right="200" w:firstLine="1436"/>
        <w:spacing w:after="0" w:line="264" w:lineRule="auto"/>
        <w:tabs>
          <w:tab w:leader="none" w:pos="16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20" w:right="180" w:firstLine="1436"/>
        <w:spacing w:after="0" w:line="264" w:lineRule="auto"/>
        <w:tabs>
          <w:tab w:leader="none" w:pos="16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20" w:right="260" w:firstLine="1436"/>
        <w:spacing w:after="0" w:line="277" w:lineRule="auto"/>
        <w:tabs>
          <w:tab w:leader="none" w:pos="17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20" w:right="120" w:firstLine="1436"/>
        <w:spacing w:after="0" w:line="297" w:lineRule="auto"/>
        <w:tabs>
          <w:tab w:leader="none" w:pos="16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r>
        <w:rPr>
          <w:rFonts w:ascii="Arial" w:cs="Arial" w:eastAsia="Arial" w:hAnsi="Arial"/>
          <w:sz w:val="18"/>
          <w:szCs w:val="18"/>
          <w:color w:val="auto"/>
        </w:rPr>
        <w:t>.</w:t>
      </w:r>
    </w:p>
    <w:p>
      <w:pPr>
        <w:spacing w:after="0" w:line="117" w:lineRule="exact"/>
        <w:rPr>
          <w:sz w:val="20"/>
          <w:szCs w:val="20"/>
          <w:color w:val="auto"/>
        </w:rPr>
      </w:pPr>
    </w:p>
    <w:p>
      <w:pPr>
        <w:jc w:val="both"/>
        <w:ind w:left="-20" w:right="20" w:firstLine="1436"/>
        <w:spacing w:after="0" w:line="261" w:lineRule="auto"/>
        <w:tabs>
          <w:tab w:leader="none" w:pos="1657"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71" w:lineRule="exact"/>
        <w:rPr>
          <w:rFonts w:ascii="Arial" w:cs="Arial" w:eastAsia="Arial" w:hAnsi="Arial"/>
          <w:sz w:val="18"/>
          <w:szCs w:val="18"/>
          <w:color w:val="auto"/>
        </w:rPr>
      </w:pPr>
    </w:p>
    <w:p>
      <w:pPr>
        <w:ind w:left="-20" w:firstLine="1436"/>
        <w:spacing w:after="0" w:line="255" w:lineRule="auto"/>
        <w:tabs>
          <w:tab w:leader="none" w:pos="1667"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4" w:right="45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MAY HAVE DIFFERENT DATA PRIVACY LAWS AND PROTECTIONS THAN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REQUEST A LIST WITH THE NAMES AND ADDRESSES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POSSESS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RETAIN AND TRANSFER THE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 ELECTRONIC OR OTHER FORM</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MAY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AT ANY TIME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VIEW</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REQUEST ADDITIONAL INFORMATION ABOUT THE STORAGE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ABILITY TO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RESOURCES REPRESENTATIVE</w:t>
      </w:r>
      <w:r>
        <w:rPr>
          <w:rFonts w:ascii="Arial" w:cs="Arial" w:eastAsia="Arial" w:hAnsi="Arial"/>
          <w:sz w:val="18"/>
          <w:szCs w:val="18"/>
          <w:b w:val="1"/>
          <w:bCs w:val="1"/>
          <w:color w:val="auto"/>
        </w:rPr>
        <w:t>.</w:t>
      </w:r>
    </w:p>
    <w:p>
      <w:pPr>
        <w:spacing w:after="0" w:line="90" w:lineRule="exact"/>
        <w:rPr>
          <w:sz w:val="20"/>
          <w:szCs w:val="20"/>
          <w:color w:val="auto"/>
        </w:rPr>
      </w:pPr>
    </w:p>
    <w:p>
      <w:pPr>
        <w:ind w:left="620" w:hanging="176"/>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80" w:lineRule="exact"/>
        <w:rPr>
          <w:sz w:val="20"/>
          <w:szCs w:val="20"/>
          <w:color w:val="auto"/>
        </w:rPr>
      </w:pPr>
    </w:p>
    <w:p>
      <w:pPr>
        <w:ind w:left="620" w:hanging="176"/>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0" w:right="439" w:bottom="1440" w:gutter="0" w:footer="0" w:header="0"/>
        </w:sectPr>
      </w:pPr>
    </w:p>
    <w:bookmarkStart w:id="74" w:name="page75"/>
    <w:bookmarkEnd w:id="74"/>
    <w:p>
      <w:pPr>
        <w:ind w:firstLine="88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54" w:lineRule="exact"/>
        <w:rPr>
          <w:sz w:val="20"/>
          <w:szCs w:val="20"/>
          <w:color w:val="auto"/>
        </w:rPr>
      </w:pPr>
    </w:p>
    <w:p>
      <w:pPr>
        <w:ind w:left="620" w:hanging="176"/>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 w:lineRule="exact"/>
        <w:rPr>
          <w:sz w:val="20"/>
          <w:szCs w:val="20"/>
          <w:color w:val="auto"/>
        </w:rPr>
      </w:pPr>
    </w:p>
    <w:p>
      <w:pPr>
        <w:ind w:left="620" w:hanging="176"/>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0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34" w:lineRule="exact"/>
        <w:rPr>
          <w:sz w:val="20"/>
          <w:szCs w:val="20"/>
          <w:color w:val="auto"/>
        </w:rPr>
      </w:pPr>
    </w:p>
    <w:p>
      <w:pPr>
        <w:ind w:left="620" w:hanging="176"/>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the Award.</w:t>
      </w:r>
    </w:p>
    <w:p>
      <w:pPr>
        <w:spacing w:after="0" w:line="117"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15th of the calendar year of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0" w:right="459" w:bottom="1440" w:gutter="0" w:footer="0" w:header="0"/>
        </w:sectPr>
      </w:pPr>
    </w:p>
    <w:bookmarkStart w:id="75" w:name="page76"/>
    <w:bookmarkEnd w:id="75"/>
    <w:p>
      <w:pPr>
        <w:ind w:firstLine="88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17" w:lineRule="exact"/>
        <w:rPr>
          <w:sz w:val="20"/>
          <w:szCs w:val="20"/>
          <w:color w:val="auto"/>
        </w:rPr>
      </w:pPr>
    </w:p>
    <w:p>
      <w:pPr>
        <w:ind w:left="620" w:hanging="176"/>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0" w:right="439" w:bottom="1440" w:gutter="0" w:footer="0" w:header="0"/>
        </w:sectPr>
      </w:pPr>
    </w:p>
    <w:bookmarkStart w:id="76" w:name="page77"/>
    <w:bookmarkEnd w:id="76"/>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100" w:firstLine="4"/>
        <w:spacing w:after="0" w:line="269" w:lineRule="auto"/>
        <w:tabs>
          <w:tab w:leader="none" w:pos="2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7"/>
          <w:szCs w:val="17"/>
          <w:b w:val="1"/>
          <w:bCs w:val="1"/>
          <w:i w:val="1"/>
          <w:iCs w:val="1"/>
          <w:color w:val="auto"/>
        </w:rPr>
        <w:t>Retained Share Amount</w:t>
      </w:r>
      <w:r>
        <w:rPr>
          <w:rFonts w:ascii="Arial" w:cs="Arial" w:eastAsia="Arial" w:hAnsi="Arial"/>
          <w:sz w:val="17"/>
          <w:szCs w:val="17"/>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58" w:lineRule="exact"/>
        <w:rPr>
          <w:sz w:val="20"/>
          <w:szCs w:val="20"/>
          <w:color w:val="auto"/>
        </w:rPr>
      </w:pPr>
    </w:p>
    <w:p>
      <w:pPr>
        <w:ind w:left="620" w:hanging="176"/>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Award shall be subject to the terms of Sections 13(b) and 13(c) of the Plan in the event of a Change in Control.</w:t>
      </w:r>
    </w:p>
    <w:p>
      <w:pPr>
        <w:spacing w:after="0" w:line="113" w:lineRule="exact"/>
        <w:rPr>
          <w:sz w:val="20"/>
          <w:szCs w:val="20"/>
          <w:color w:val="auto"/>
        </w:rPr>
      </w:pPr>
    </w:p>
    <w:p>
      <w:pPr>
        <w:ind w:left="720" w:hanging="27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77" w:name="page78"/>
    <w:bookmarkEnd w:id="7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66" w:lineRule="exact"/>
        <w:rPr>
          <w:sz w:val="20"/>
          <w:szCs w:val="20"/>
          <w:color w:val="auto"/>
        </w:rPr>
      </w:pPr>
    </w:p>
    <w:p>
      <w:pPr>
        <w:ind w:left="700" w:hanging="25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80" w:lineRule="exact"/>
        <w:rPr>
          <w:sz w:val="20"/>
          <w:szCs w:val="20"/>
          <w:color w:val="auto"/>
        </w:rPr>
      </w:pPr>
    </w:p>
    <w:p>
      <w:pPr>
        <w:ind w:left="720" w:hanging="27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75" w:lineRule="exact"/>
        <w:rPr>
          <w:sz w:val="20"/>
          <w:szCs w:val="20"/>
          <w:color w:val="auto"/>
        </w:rPr>
      </w:pPr>
    </w:p>
    <w:p>
      <w:pPr>
        <w:ind w:left="720" w:hanging="27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78" w:name="page79"/>
    <w:bookmarkEnd w:id="78"/>
    <w:p>
      <w:pPr>
        <w:ind w:right="120" w:firstLine="88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6"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80" w:firstLine="88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91" w:lineRule="auto"/>
        <w:tabs>
          <w:tab w:leader="none" w:pos="1687"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0" w:right="439" w:bottom="1440" w:gutter="0" w:footer="0" w:header="0"/>
        </w:sectPr>
      </w:pPr>
    </w:p>
    <w:bookmarkStart w:id="79" w:name="page80"/>
    <w:bookmarkEnd w:id="79"/>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35"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6"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0"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52" w:lineRule="exact"/>
        <w:rPr>
          <w:sz w:val="20"/>
          <w:szCs w:val="20"/>
          <w:color w:val="auto"/>
        </w:rPr>
      </w:pPr>
    </w:p>
    <w:p>
      <w:pPr>
        <w:ind w:left="440" w:hanging="436"/>
        <w:spacing w:after="0"/>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4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0" w:right="4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B-4</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TERMS OF 2019 AND 2020 PERFORMANCE GRANTS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Subject to the Executive’s continued employment, within sixty (60) days following each of January 1, 2019 and January 1, 2020 (each, a “</w:t>
      </w:r>
      <w:r>
        <w:rPr>
          <w:rFonts w:ascii="Arial" w:cs="Arial" w:eastAsia="Arial" w:hAnsi="Arial"/>
          <w:sz w:val="16"/>
          <w:szCs w:val="16"/>
          <w:u w:val="single" w:color="auto"/>
          <w:color w:val="auto"/>
        </w:rPr>
        <w:t>60-day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the Board will establish performance goals for the 2019 Grants and the 2020 Grants, respectively, and make such grants (consistent with the below allocations). The 2019 Grants and the 2020 Grants will have terms and conditions consistent with those set forth in the AOP Award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a Change in Control occurs (i) during the 60-day Period for a given year and before the applicable grant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w:t>
      </w:r>
      <w:r>
        <w:rPr>
          <w:rFonts w:ascii="Arial" w:cs="Arial" w:eastAsia="Arial" w:hAnsi="Arial"/>
          <w:sz w:val="16"/>
          <w:szCs w:val="16"/>
          <w:color w:val="auto"/>
        </w:rPr>
        <w:t>”) is made, then the Executive will receive an equity award with respect to the target number of shares for the applicable Original Grant, pursuant to an award agreement generally consistent with Exhibit B-3, provided that the new grant will vest on the last day of the performance period associated with the Original Grant; provided, further, that the Committee may instead, in its sole discretion, (x) provide executive with a cash payment equal to the per share consideration received by shareholders in the transaction multiplied by the applicable target award or (y) provide the Executive with a Replacement Award as contemplated by the AOP Award Agreement or (ii) prior to the year that the grant will be made, then the Board will determine the number of performance stock units that the Executive will receive in respect of such grant (if any) in its discretion.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and 2020 AOP PSU Grant and Payout Amounts:</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Grant</w:t>
            </w:r>
          </w:p>
        </w:tc>
        <w:tc>
          <w:tcPr>
            <w:tcW w:w="1700" w:type="dxa"/>
            <w:vAlign w:val="bottom"/>
          </w:tcPr>
          <w:p>
            <w:pPr>
              <w:jc w:val="right"/>
              <w:ind w:right="156"/>
              <w:spacing w:after="0"/>
              <w:rPr>
                <w:sz w:val="20"/>
                <w:szCs w:val="20"/>
                <w:color w:val="auto"/>
              </w:rPr>
            </w:pPr>
            <w:r>
              <w:rPr>
                <w:rFonts w:ascii="Arial" w:cs="Arial" w:eastAsia="Arial" w:hAnsi="Arial"/>
                <w:sz w:val="14"/>
                <w:szCs w:val="14"/>
                <w:b w:val="1"/>
                <w:bCs w:val="1"/>
                <w:color w:val="auto"/>
              </w:rPr>
              <w:t>Performance Period</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Payout at Threshold</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Payout at Target</w:t>
            </w:r>
          </w:p>
        </w:tc>
        <w:tc>
          <w:tcPr>
            <w:tcW w:w="1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Payout at Maximum</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Grant</w:t>
            </w:r>
          </w:p>
        </w:tc>
        <w:tc>
          <w:tcPr>
            <w:tcW w:w="1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1/1/2019 ~ 12/31/2019</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6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2020 Grant</w:t>
            </w:r>
          </w:p>
        </w:tc>
        <w:tc>
          <w:tcPr>
            <w:tcW w:w="1700" w:type="dxa"/>
            <w:vAlign w:val="bottom"/>
          </w:tcPr>
          <w:p>
            <w:pPr>
              <w:jc w:val="right"/>
              <w:spacing w:after="0"/>
              <w:rPr>
                <w:sz w:val="20"/>
                <w:szCs w:val="20"/>
                <w:color w:val="auto"/>
              </w:rPr>
            </w:pPr>
            <w:r>
              <w:rPr>
                <w:rFonts w:ascii="Arial" w:cs="Arial" w:eastAsia="Arial" w:hAnsi="Arial"/>
                <w:sz w:val="18"/>
                <w:szCs w:val="18"/>
                <w:color w:val="auto"/>
                <w:w w:val="92"/>
              </w:rPr>
              <w:t>1/1/2020 ~ 12/31/2020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jc w:val="right"/>
              <w:ind w:right="116"/>
              <w:spacing w:after="0"/>
              <w:rPr>
                <w:sz w:val="20"/>
                <w:szCs w:val="20"/>
                <w:color w:val="auto"/>
              </w:rPr>
            </w:pPr>
            <w:r>
              <w:rPr>
                <w:rFonts w:ascii="Arial" w:cs="Arial" w:eastAsia="Arial" w:hAnsi="Arial"/>
                <w:sz w:val="18"/>
                <w:szCs w:val="18"/>
                <w:color w:val="auto"/>
              </w:rPr>
              <w:t>76</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135"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Employment</w:t>
      </w:r>
    </w:p>
    <w:tbl>
      <w:tblPr>
        <w:tblLayout w:type="fixed"/>
        <w:tblInd w:w="0" w:type="dxa"/>
        <w:tblCellMar>
          <w:top w:w="0" w:type="dxa"/>
          <w:left w:w="0" w:type="dxa"/>
          <w:bottom w:w="0" w:type="dxa"/>
          <w:right w:w="0" w:type="dxa"/>
        </w:tblCellMar>
      </w:tblPr>
      <w:tr>
        <w:trPr>
          <w:trHeight w:val="176"/>
        </w:trPr>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Agreement dated [</w:t>
            </w:r>
          </w:p>
        </w:tc>
        <w:tc>
          <w:tcPr>
            <w:tcW w:w="8800" w:type="dxa"/>
            <w:vAlign w:val="bottom"/>
            <w:gridSpan w:val="5"/>
          </w:tcPr>
          <w:p>
            <w:pPr>
              <w:ind w:left="80"/>
              <w:spacing w:after="0" w:line="176" w:lineRule="exact"/>
              <w:rPr>
                <w:sz w:val="20"/>
                <w:szCs w:val="20"/>
                <w:color w:val="auto"/>
              </w:rPr>
            </w:pPr>
            <w:r>
              <w:rPr>
                <w:rFonts w:ascii="Arial" w:cs="Arial" w:eastAsia="Arial" w:hAnsi="Arial"/>
                <w:sz w:val="18"/>
                <w:szCs w:val="18"/>
                <w:color w:val="auto"/>
                <w:w w:val="91"/>
              </w:rPr>
              <w:t>], 2018, between MagnaChip Semiconductor, Ltd. (the “Company), MagnaChip Semiconductor Corporation, a Delaware</w:t>
            </w:r>
          </w:p>
        </w:tc>
      </w:tr>
      <w:tr>
        <w:trPr>
          <w:trHeight w:val="196"/>
        </w:trPr>
        <w:tc>
          <w:tcPr>
            <w:tcW w:w="2160" w:type="dxa"/>
            <w:vAlign w:val="bottom"/>
            <w:gridSpan w:val="3"/>
          </w:tcPr>
          <w:p>
            <w:pPr>
              <w:spacing w:after="0" w:line="196" w:lineRule="exact"/>
              <w:rPr>
                <w:sz w:val="20"/>
                <w:szCs w:val="20"/>
                <w:color w:val="auto"/>
              </w:rPr>
            </w:pPr>
            <w:r>
              <w:rPr>
                <w:rFonts w:ascii="Arial" w:cs="Arial" w:eastAsia="Arial" w:hAnsi="Arial"/>
                <w:sz w:val="18"/>
                <w:szCs w:val="18"/>
                <w:color w:val="auto"/>
                <w:w w:val="96"/>
              </w:rPr>
              <w:t>corporation (“Parent”), and [</w:t>
            </w:r>
          </w:p>
        </w:tc>
        <w:tc>
          <w:tcPr>
            <w:tcW w:w="4140" w:type="dxa"/>
            <w:vAlign w:val="bottom"/>
            <w:gridSpan w:val="3"/>
          </w:tcPr>
          <w:p>
            <w:pPr>
              <w:ind w:left="640"/>
              <w:spacing w:after="0" w:line="196" w:lineRule="exact"/>
              <w:rPr>
                <w:sz w:val="20"/>
                <w:szCs w:val="20"/>
                <w:color w:val="auto"/>
              </w:rPr>
            </w:pPr>
            <w:r>
              <w:rPr>
                <w:rFonts w:ascii="Arial" w:cs="Arial" w:eastAsia="Arial" w:hAnsi="Arial"/>
                <w:sz w:val="18"/>
                <w:szCs w:val="18"/>
                <w:color w:val="auto"/>
              </w:rPr>
              <w:t>] (my “Employment Agreement”).</w:t>
            </w:r>
          </w:p>
        </w:tc>
        <w:tc>
          <w:tcPr>
            <w:tcW w:w="700" w:type="dxa"/>
            <w:vAlign w:val="bottom"/>
            <w:tcBorders>
              <w:top w:val="single" w:sz="8" w:color="auto"/>
            </w:tcBorders>
          </w:tcPr>
          <w:p>
            <w:pPr>
              <w:spacing w:after="0"/>
              <w:rPr>
                <w:sz w:val="17"/>
                <w:szCs w:val="17"/>
                <w:color w:val="auto"/>
              </w:rPr>
            </w:pPr>
          </w:p>
        </w:tc>
        <w:tc>
          <w:tcPr>
            <w:tcW w:w="39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and in consideration of the payments and benefits under Section 5[(b)]/[(c)] of the Employment Agreement, and other good and valuable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consideration, I, for and on behalf of myself and my executors, heirs, administrators, representatives, and assigns, hereby agree to release and forever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discharge the Company, Parent and all of their respective predecessors, successors, and past, current, and future parent entities, affiliates,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entities, investors, directors, shareholders, members, officers, general or limited partners, employees, attorneys, agents, and representatives,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benefit plans in which I am or have been a participant by virtue of my employment with or service to the Company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arising or occurring on or prior to the date hereof and arising directly or indirectly out of, relating to, or in any other way involving in any manner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whatsoever my employment by or service to the Company or the termination thereof, including without limitation any and all claims arising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national, federal, provincial, state, or local laws relating to employment, including without limitation claims of wrongful discharge, breach of express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implied contract, fraud, misrepresentation, defamation, intentional infliction of emotional distress, or liability in tort, and claims of any kind that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brought in any court or administrative agency, and any related claims for attorneys’ fees and costs, including, without limitation, claims under Title VII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Civil Rights Act of 1964, as amended, 42 U.S.C. Section 2000, et seq.; the Americans with Disabilities Act, as amended, 42 U.S.C. § 12101 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seq.; the Rehabilitation Act of 1973, as amended, 29 U.S.C. § 701 et seq.; the Civil Rights Act of 1866, and the Civil Rights Act of 1991; 42 U.S.C.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1981, et seq.; the Age Discrimination in Employment Act, as amended, 29 U.S.C. Section 621, et seq. (the “</w:t>
      </w:r>
      <w:r>
        <w:rPr>
          <w:rFonts w:ascii="Arial" w:cs="Arial" w:eastAsia="Arial" w:hAnsi="Arial"/>
          <w:sz w:val="17"/>
          <w:szCs w:val="17"/>
          <w:u w:val="single" w:color="auto"/>
          <w:color w:val="auto"/>
        </w:rPr>
        <w:t>ADEA</w:t>
      </w:r>
      <w:r>
        <w:rPr>
          <w:rFonts w:ascii="Arial" w:cs="Arial" w:eastAsia="Arial" w:hAnsi="Arial"/>
          <w:sz w:val="17"/>
          <w:szCs w:val="17"/>
          <w:color w:val="auto"/>
        </w:rPr>
        <w:t>”); the Equal Pay Act,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29 U.S.C. Section 206(d); regulations of the Office of Federal Contract Compliance, 41 C.F.R. Section 60, et seq.; the Family and Medical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Leave Act, as amended, 29 U.S.C. § 2601 et seq.; the Fair Labor Standards Act of 1938, as amended, 29 U.S.C. § 201 et seq.; the Employee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Security Act, as amended, 29 U.S.C. § 1001 et seq.; and any similar national, provincial, state, or local laws of the United States, the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or any other jurisdiction. I agree further that this Release may be pleaded as a full defense to any action, suit, arbitration, or other proceeding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covered by the terms hereof that is or may be initiated, prosecuted, or maintained by me or my descendants, dependents, heirs, executors, administrators,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assigns. By signing this Release, I acknowledge that I intend to waive and release all rights known or unknown that I may have against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Releasees under these and any other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0" w:right="439" w:bottom="1440" w:gutter="0" w:footer="0" w:header="0"/>
        </w:sectPr>
      </w:pPr>
    </w:p>
    <w:bookmarkStart w:id="84" w:name="page85"/>
    <w:bookmarkEnd w:id="84"/>
    <w:p>
      <w:pPr>
        <w:ind w:right="6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Arial" w:cs="Arial" w:eastAsia="Arial" w:hAnsi="Arial"/>
          <w:sz w:val="16"/>
          <w:szCs w:val="16"/>
          <w:u w:val="single" w:color="auto"/>
          <w:color w:val="auto"/>
        </w:rPr>
        <w:t>Proceeding</w:t>
      </w:r>
      <w:r>
        <w:rPr>
          <w:rFonts w:ascii="Arial" w:cs="Arial" w:eastAsia="Arial" w:hAnsi="Arial"/>
          <w:sz w:val="16"/>
          <w:szCs w:val="16"/>
          <w:color w:val="auto"/>
        </w:rPr>
        <w:t>”). I</w:t>
      </w:r>
    </w:p>
    <w:p>
      <w:pPr>
        <w:ind w:firstLine="4"/>
        <w:spacing w:after="0" w:line="253"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including any Proceeding conducted by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9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Notwithstanding the generality of the foregoing, I do not release (i) claims to receive payments and benefits under Section 5[(b)]/[(c)] of the Employment Agreement in accordance with the terms of the Employment Agreement, (ii) claims for indemnification arising under any applicable indemnification obligation of the Company, (iii) any vested rights I may have under any qualified employee benefit plans, programs or policies of the Company and any of its Affiliates,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but not limited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Nothing in this Agreement, or any other agreement with the Company, prohibits or is intended in any manner to prohibit, me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my right to receive an award (including, without limitation,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40"/>
          </w:cols>
          <w:pgMar w:left="440" w:top="274" w:right="519" w:bottom="1440" w:gutter="0" w:footer="0" w:header="0"/>
        </w:sectPr>
      </w:pPr>
    </w:p>
    <w:bookmarkStart w:id="85" w:name="page86"/>
    <w:bookmarkEnd w:id="85"/>
    <w:p>
      <w:pPr>
        <w:ind w:right="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3"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 acknowledge that I have been given at least [21]/[45]</w:t>
      </w:r>
      <w:r>
        <w:rPr>
          <w:rFonts w:ascii="Arial" w:cs="Arial" w:eastAsia="Arial" w:hAnsi="Arial"/>
          <w:sz w:val="14"/>
          <w:szCs w:val="14"/>
          <w:color w:val="auto"/>
        </w:rPr>
        <w:t>2</w:t>
      </w:r>
      <w:r>
        <w:rPr>
          <w:rFonts w:ascii="Arial" w:cs="Arial" w:eastAsia="Arial" w:hAnsi="Arial"/>
          <w:sz w:val="17"/>
          <w:szCs w:val="17"/>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[21]/[45] days have elapsed, I do so knowingly, voluntarily, and upon the advice and with the approval of my legal counsel (if any), and that I voluntarily waive any remaining consideration period.</w:t>
      </w:r>
    </w:p>
    <w:p>
      <w:pPr>
        <w:spacing w:after="0" w:line="17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1"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This Release will become effective, irrevocable, and binding on the eighth day after its execution, so long as I have not timely revoked it as set forth above. I understand and acknowledge that I will not be entitled to payments or benefits under Section [5(b)]/[(c)] of the Employment Agreement unless this Release is effective on or before the date that is 60 days following the Date of Termination (as defined in the Employment Agreement).</w:t>
      </w:r>
    </w:p>
    <w:p>
      <w:pPr>
        <w:spacing w:after="0" w:line="14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I hereby agree to waive any and all claims to re-employment with the Company or any of its affiliates and affirmatively agree not to seek further employment with the Company or any of its affiliates.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620" w:hanging="436"/>
        <w:spacing w:after="0" w:line="277" w:lineRule="auto"/>
        <w:tabs>
          <w:tab w:leader="none" w:pos="44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NTD: To be selected based on whether applicable termination was “in connection with an exit incentive or other employment termination program” (as such phrase is defined in the Age Discrimination in Employment Act of 1967).</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440" w:top="274" w:right="49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192405</wp:posOffset>
            </wp:positionV>
            <wp:extent cx="2795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169545</wp:posOffset>
            </wp:positionV>
            <wp:extent cx="27959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80"/>
          </w:cols>
          <w:pgMar w:left="440" w:top="274" w:right="11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entered into on October 22, 2018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made by and between Woungmoo Lee (the “</w:t>
      </w:r>
      <w:r>
        <w:rPr>
          <w:rFonts w:ascii="Arial" w:cs="Arial" w:eastAsia="Arial" w:hAnsi="Arial"/>
          <w:sz w:val="16"/>
          <w:szCs w:val="16"/>
          <w:u w:val="single" w:color="auto"/>
          <w:color w:val="auto"/>
        </w:rPr>
        <w:t>Executive</w:t>
      </w:r>
      <w:r>
        <w:rPr>
          <w:rFonts w:ascii="Arial" w:cs="Arial" w:eastAsia="Arial" w:hAnsi="Arial"/>
          <w:sz w:val="16"/>
          <w:szCs w:val="16"/>
          <w:color w:val="auto"/>
        </w:rPr>
        <w:t>”), MagnaChip Semiconductor Corporation,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MagnaChip Semiconductor, Ltd. (together with any of its Affiliates as may employ the Executive from time to time, any and all successors thereto, and Parent,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A. The Company and the Executive desire to enter into this Agreement to assure the Company of the continued exclusive services of the Executive and to set forth the rights and duties of the parties hereto.</w:t>
      </w:r>
    </w:p>
    <w:p>
      <w:pPr>
        <w:spacing w:after="0" w:line="6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 Except as otherwise set forth herein, this Agreement is intended to supersede any prior agreements or understandings, whether formal or informal, between the Executive and the Company or any of its Affiliates (as defined below), including, without limitation, the letter agreement, dated as of November 3, 2015, by and between the Executive, the Company and Parent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62" w:lineRule="exact"/>
        <w:rPr>
          <w:sz w:val="20"/>
          <w:szCs w:val="20"/>
          <w:color w:val="auto"/>
        </w:rPr>
      </w:pPr>
    </w:p>
    <w:p>
      <w:pPr>
        <w:ind w:left="180" w:hanging="176"/>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44"/>
        <w:spacing w:after="0" w:line="308" w:lineRule="auto"/>
        <w:tabs>
          <w:tab w:leader="none" w:pos="68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shall have the meaning set forth in Section 3(a).</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3(b).</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rFonts w:ascii="Arial" w:cs="Arial" w:eastAsia="Arial" w:hAnsi="Arial"/>
          <w:sz w:val="18"/>
          <w:szCs w:val="18"/>
          <w:color w:val="auto"/>
        </w:rPr>
      </w:pPr>
    </w:p>
    <w:p>
      <w:pPr>
        <w:ind w:right="140" w:firstLine="444"/>
        <w:spacing w:after="0" w:line="272" w:lineRule="auto"/>
        <w:tabs>
          <w:tab w:leader="none" w:pos="66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Company shall have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to terminate the Executive’s employment pursuant to Section 4(a)(iii) hereunder upon (i) the Executive’s conviction of, or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or any of its Affiliates; (iv) the Executive’s refusal to fulfill the Executive’s duties and responsibilities (other than by reason of death or Disability) to the Company or any of its Affiliates; (v) the Executive’s material violation of any established lawful policy of the Company or any of its Affiliates; (vi) the Executive’s material breach of any of the terms of any agreement the Executive has with the Company or any of its Affiliates; (vii) the Executive’s habitual use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8" w:name="page89"/>
    <w:bookmarkEnd w:id="8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illicit drugs or habitual abuse of alcohol that affects his job performance; or (viii) any gross negligence, material misconduct, or material wrongful act or omission on the Executive’s part in connection with the Executive’s duties and responsibilities to the Company or any of its Affiliates. The Company may terminate the Executive’s employment for Cause under this Agreement following issuance to the Executive of written notice of the circumstances the Company believes constitute Cause within ninety (90) days after it becomes aware of such circumstances;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the basis for termination is curable, then the Executive shall have fifteen (15) days after receipt of such written notice to cure such basis, and if not cured, the Company may terminate the Executive’s employment for Cause within ninety (90) days after the expiration of such cure period. If, within ninety</w:t>
      </w:r>
    </w:p>
    <w:p>
      <w:pPr>
        <w:spacing w:after="0" w:line="5" w:lineRule="exact"/>
        <w:rPr>
          <w:sz w:val="20"/>
          <w:szCs w:val="20"/>
          <w:color w:val="auto"/>
        </w:rPr>
      </w:pPr>
    </w:p>
    <w:p>
      <w:pPr>
        <w:ind w:right="20" w:firstLine="4"/>
        <w:spacing w:after="0" w:line="252" w:lineRule="auto"/>
        <w:tabs>
          <w:tab w:leader="none" w:pos="3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days subsequent to the Executive’s termination of employment for any reason other than by the Company for Cause, the Company determines that the Executive’s employment could have been terminated for Cause, the Executive’s employment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Company’s ability to retroactively determine that the Executive’s employment could have been terminated for Cause under this sentence will cease upon the occurrence of a Change in Control.</w:t>
      </w:r>
    </w:p>
    <w:p>
      <w:pPr>
        <w:spacing w:after="0" w:line="86" w:lineRule="exact"/>
        <w:rPr>
          <w:rFonts w:ascii="Arial" w:cs="Arial" w:eastAsia="Arial" w:hAnsi="Arial"/>
          <w:sz w:val="18"/>
          <w:szCs w:val="18"/>
          <w:color w:val="auto"/>
        </w:rPr>
      </w:pPr>
    </w:p>
    <w:p>
      <w:pPr>
        <w:ind w:left="700" w:hanging="256"/>
        <w:spacing w:after="0"/>
        <w:tabs>
          <w:tab w:leader="none" w:pos="7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has the meaning given to such term in the MagnaChip Semiconductor Corporation 2011 Equity Incentive Plan.</w:t>
      </w:r>
    </w:p>
    <w:p>
      <w:pPr>
        <w:spacing w:after="0" w:line="128" w:lineRule="exact"/>
        <w:rPr>
          <w:rFonts w:ascii="Arial" w:cs="Arial" w:eastAsia="Arial" w:hAnsi="Arial"/>
          <w:sz w:val="17"/>
          <w:szCs w:val="17"/>
          <w:color w:val="auto"/>
        </w:rPr>
      </w:pPr>
    </w:p>
    <w:p>
      <w:pPr>
        <w:ind w:left="700" w:hanging="256"/>
        <w:spacing w:after="0"/>
        <w:tabs>
          <w:tab w:leader="none" w:pos="7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right="260" w:firstLine="444"/>
        <w:spacing w:after="0" w:line="308" w:lineRule="auto"/>
        <w:tabs>
          <w:tab w:leader="none" w:pos="65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Termination</w:t>
      </w:r>
      <w:r>
        <w:rPr>
          <w:rFonts w:ascii="Arial" w:cs="Arial" w:eastAsia="Arial" w:hAnsi="Arial"/>
          <w:sz w:val="17"/>
          <w:szCs w:val="17"/>
          <w:color w:val="auto"/>
        </w:rPr>
        <w:t>” shall mean (i) if the Executive’s employment is terminated by his death, the date of his death or (ii) if the Executive’s employment is terminated pursuant to Section 4(a)(ii)-(vi), the date specified or otherwise effective pursuant to Section 4(b).</w:t>
      </w:r>
    </w:p>
    <w:p>
      <w:pPr>
        <w:spacing w:after="0" w:line="38" w:lineRule="exact"/>
        <w:rPr>
          <w:rFonts w:ascii="Arial" w:cs="Arial" w:eastAsia="Arial" w:hAnsi="Arial"/>
          <w:sz w:val="17"/>
          <w:szCs w:val="17"/>
          <w:color w:val="auto"/>
        </w:rPr>
      </w:pPr>
    </w:p>
    <w:p>
      <w:pPr>
        <w:ind w:right="40" w:firstLine="444"/>
        <w:spacing w:after="0" w:line="259" w:lineRule="auto"/>
        <w:tabs>
          <w:tab w:leader="none" w:pos="65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right="20" w:firstLine="444"/>
        <w:spacing w:after="0" w:line="342" w:lineRule="auto"/>
        <w:tabs>
          <w:tab w:leader="none" w:pos="65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Base Salary</w:t>
      </w:r>
      <w:r>
        <w:rPr>
          <w:rFonts w:ascii="Arial" w:cs="Arial" w:eastAsia="Arial" w:hAnsi="Arial"/>
          <w:sz w:val="16"/>
          <w:szCs w:val="16"/>
          <w:color w:val="auto"/>
        </w:rPr>
        <w:t>” means the Executive’s Annual Base Salary as in effect immediately prior to the termination of the Executive’s employment (or, if clause (i) or (ii) of “Good Reason” is implicated, immediately before any relevant diminution of the Executive’s Annual Base Salary).</w:t>
      </w:r>
    </w:p>
    <w:p>
      <w:pPr>
        <w:spacing w:after="0" w:line="15" w:lineRule="exact"/>
        <w:rPr>
          <w:rFonts w:ascii="Arial" w:cs="Arial" w:eastAsia="Arial" w:hAnsi="Arial"/>
          <w:sz w:val="16"/>
          <w:szCs w:val="16"/>
          <w:color w:val="auto"/>
        </w:rPr>
      </w:pPr>
    </w:p>
    <w:p>
      <w:pPr>
        <w:ind w:firstLine="444"/>
        <w:spacing w:after="0" w:line="257" w:lineRule="auto"/>
        <w:tabs>
          <w:tab w:leader="none" w:pos="74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Executive shall have “</w:t>
      </w:r>
      <w:r>
        <w:rPr>
          <w:rFonts w:ascii="Arial" w:cs="Arial" w:eastAsia="Arial" w:hAnsi="Arial"/>
          <w:sz w:val="18"/>
          <w:szCs w:val="18"/>
          <w:u w:val="single" w:color="auto"/>
          <w:color w:val="auto"/>
        </w:rPr>
        <w:t>Good Reason</w:t>
      </w:r>
      <w:r>
        <w:rPr>
          <w:rFonts w:ascii="Arial" w:cs="Arial" w:eastAsia="Arial" w:hAnsi="Arial"/>
          <w:sz w:val="18"/>
          <w:szCs w:val="18"/>
          <w:color w:val="auto"/>
        </w:rPr>
        <w:t>” to resign from his employment pursuant to Section 4(a)(v) in the event that any of the following actions are taken by the Company without his consent: (i) if upon or following a Change in Control, a diminution in the Executive’s Annual Base Salary, Target Annual Bonus opportunity; (ii) if prior to a Change in Control, a diminution in (A) the Executive’s Annual Base Salary, other than an across the board cumulative reduction of no more than fifteen (15%) that applies in a similar manner to all similarly-situated members of the senior management of the Company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9" w:name="page90"/>
    <w:bookmarkEnd w:id="89"/>
    <w:p>
      <w:pPr>
        <w:ind w:right="500" w:firstLine="4"/>
        <w:spacing w:after="0" w:line="288" w:lineRule="auto"/>
        <w:tabs>
          <w:tab w:leader="none" w:pos="2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Executive’s Target Annual Bonus opportunity (other than a reduction that occurs as a result of a reduction described in clause (A) hereof); (iii) the Company’s material breach of any of the material terms of any material agreement between the Executive and the Company or any of its Affiliates; or (iv) a non-temporary relocation of the Executive’s primary work location by the Company to a location that is more than thirty-five</w:t>
      </w:r>
    </w:p>
    <w:p>
      <w:pPr>
        <w:spacing w:after="0" w:line="268" w:lineRule="auto"/>
        <w:rPr>
          <w:rFonts w:ascii="Arial" w:cs="Arial" w:eastAsia="Arial" w:hAnsi="Arial"/>
          <w:sz w:val="16"/>
          <w:szCs w:val="16"/>
          <w:color w:val="auto"/>
        </w:rPr>
      </w:pPr>
      <w:r>
        <w:rPr>
          <w:rFonts w:ascii="Arial" w:cs="Arial" w:eastAsia="Arial" w:hAnsi="Arial"/>
          <w:sz w:val="17"/>
          <w:szCs w:val="17"/>
          <w:color w:val="auto"/>
        </w:rPr>
        <w:t>(35) miles from the Executive’s principal place of employment as of the date hereof (which the parties acknowledge is Seoul, South Korea and/or Cheongju, South Korea) and that increases the Executive’s one-way commute to work by more than thirty five (35) miles. The Executive will not have Good Reason to terminate the Executive’s employment and receive payments or benefits under Section 5(b) of this Agreement unless the Executive provides the Board with written notice of the circumstances the Executive believes constitute Good Reason within thirty (30) days after the occurrence of such circumstances. If the Company does not cure within fifteen (15) days after receipt of such written notice, then the Executive may terminate the Executive’s employment for Good Reason within ninety (90) days after the expiration of such cure period. If the Executive terminates the Executive’s employment prior to the expiration of the fifteen (15) day cure period or more than ninety (90) days after the expiration of the cure period, the Executive will not be treated as having terminated the Executive’s employment for Good Reason.</w:t>
      </w:r>
    </w:p>
    <w:p>
      <w:pPr>
        <w:spacing w:after="0" w:line="76" w:lineRule="exact"/>
        <w:rPr>
          <w:rFonts w:ascii="Arial" w:cs="Arial" w:eastAsia="Arial" w:hAnsi="Arial"/>
          <w:sz w:val="16"/>
          <w:szCs w:val="16"/>
          <w:color w:val="auto"/>
        </w:rPr>
      </w:pPr>
    </w:p>
    <w:p>
      <w:pPr>
        <w:ind w:left="700" w:hanging="256"/>
        <w:spacing w:after="0"/>
        <w:tabs>
          <w:tab w:leader="none" w:pos="7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shall have the meaning set forth in Section 7(c)(i).</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have the meaning set forth in Section 4(b).</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right="1060" w:firstLine="444"/>
        <w:spacing w:after="0" w:line="277" w:lineRule="auto"/>
        <w:tabs>
          <w:tab w:leader="none" w:pos="69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shall have the meaning set forth in Section 7(c)(i).</w:t>
      </w:r>
    </w:p>
    <w:p>
      <w:pPr>
        <w:spacing w:after="0" w:line="117" w:lineRule="exact"/>
        <w:rPr>
          <w:rFonts w:ascii="Arial" w:cs="Arial" w:eastAsia="Arial" w:hAnsi="Arial"/>
          <w:sz w:val="18"/>
          <w:szCs w:val="18"/>
          <w:color w:val="auto"/>
        </w:rPr>
      </w:pPr>
    </w:p>
    <w:p>
      <w:pPr>
        <w:ind w:right="160" w:firstLine="444"/>
        <w:spacing w:after="0" w:line="277" w:lineRule="auto"/>
        <w:tabs>
          <w:tab w:leader="none" w:pos="67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Profit Sharing Plan as are then in effect.</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2(b).</w:t>
      </w:r>
    </w:p>
    <w:p>
      <w:pPr>
        <w:spacing w:after="0" w:line="117" w:lineRule="exact"/>
        <w:rPr>
          <w:sz w:val="20"/>
          <w:szCs w:val="20"/>
          <w:color w:val="auto"/>
        </w:rPr>
      </w:pPr>
    </w:p>
    <w:p>
      <w:pPr>
        <w:ind w:left="180" w:hanging="176"/>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80" w:firstLine="444"/>
        <w:spacing w:after="0" w:line="277" w:lineRule="auto"/>
        <w:tabs>
          <w:tab w:leader="none" w:pos="68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Company shall employ the Executive, and the Executive shall be employed by the Company, for the period set forth in Section 2(b), in the position set forth in Section 2(c), and upon the other terms and conditions herein provided.</w:t>
      </w:r>
    </w:p>
    <w:p>
      <w:pPr>
        <w:spacing w:after="0" w:line="62" w:lineRule="exact"/>
        <w:rPr>
          <w:rFonts w:ascii="Arial" w:cs="Arial" w:eastAsia="Arial" w:hAnsi="Arial"/>
          <w:sz w:val="18"/>
          <w:szCs w:val="18"/>
          <w:color w:val="auto"/>
        </w:rPr>
      </w:pPr>
    </w:p>
    <w:p>
      <w:pPr>
        <w:ind w:right="380" w:firstLine="444"/>
        <w:spacing w:after="0" w:line="277" w:lineRule="auto"/>
        <w:tabs>
          <w:tab w:leader="none" w:pos="69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begin on the Effective Date and remain in effect, until terminated as provided in Section 4.</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28"/>
        <w:spacing w:after="0" w:line="264" w:lineRule="auto"/>
        <w:tabs>
          <w:tab w:leader="none" w:pos="1078"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xml:space="preserve">During the Term, the Executive shall serve as Executive Vice President and General Manager of the Standard Products Group of MagnaChip Semiconductor, Ltd., with responsibilities, duties and authority customary for such position;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Board or the Chief Executive Officer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0" w:name="page91"/>
    <w:bookmarkEnd w:id="90"/>
    <w:p>
      <w:pPr>
        <w:ind w:left="44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(the “</w:t>
      </w:r>
      <w:r>
        <w:rPr>
          <w:rFonts w:ascii="Arial" w:cs="Arial" w:eastAsia="Arial" w:hAnsi="Arial"/>
          <w:sz w:val="17"/>
          <w:szCs w:val="17"/>
          <w:u w:val="single" w:color="auto"/>
          <w:color w:val="auto"/>
        </w:rPr>
        <w:t>CEO</w:t>
      </w:r>
      <w:r>
        <w:rPr>
          <w:rFonts w:ascii="Arial" w:cs="Arial" w:eastAsia="Arial" w:hAnsi="Arial"/>
          <w:sz w:val="17"/>
          <w:szCs w:val="17"/>
          <w:color w:val="auto"/>
        </w:rPr>
        <w:t xml:space="preserve">”) may alter such responsibilities, duties and authority from time to time. The Executive shall also serve as an officer of other Affiliates of the Company as requested by the Board or the CEO.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his full business time, skill, attention, and best efforts to the performance of his duties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spacing w:after="0" w:line="70" w:lineRule="exact"/>
        <w:rPr>
          <w:sz w:val="20"/>
          <w:szCs w:val="20"/>
          <w:color w:val="auto"/>
        </w:rPr>
      </w:pPr>
    </w:p>
    <w:p>
      <w:pPr>
        <w:ind w:left="440" w:right="100" w:firstLine="428"/>
        <w:spacing w:after="0" w:line="264" w:lineRule="auto"/>
        <w:tabs>
          <w:tab w:leader="none" w:pos="112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Executive’s employment shall be principally based at the Company’s offices in Seoul, South Korea or Cheongju, South Korea. The Executive shall perform his duties and responsibilities to the Company at such principal place of employment and at such other location(s) to which the Company may reasonably require the Executive to travel for Company business purposes.</w:t>
      </w:r>
    </w:p>
    <w:p>
      <w:pPr>
        <w:spacing w:after="0" w:line="73" w:lineRule="exact"/>
        <w:rPr>
          <w:rFonts w:ascii="Arial" w:cs="Arial" w:eastAsia="Arial" w:hAnsi="Arial"/>
          <w:sz w:val="18"/>
          <w:szCs w:val="18"/>
          <w:color w:val="auto"/>
        </w:rPr>
      </w:pPr>
    </w:p>
    <w:p>
      <w:pPr>
        <w:ind w:left="180" w:hanging="176"/>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the Executive shall receive a base salary at a rate of Three Hundred Fifty Million Korean Won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(KRW 350,000,000) per annum, which shall be paid in accordance with the customary payroll practices of the Company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126" w:lineRule="exact"/>
        <w:rPr>
          <w:sz w:val="20"/>
          <w:szCs w:val="20"/>
          <w:color w:val="auto"/>
        </w:rPr>
      </w:pPr>
    </w:p>
    <w:p>
      <w:pPr>
        <w:ind w:right="220" w:firstLine="444"/>
        <w:spacing w:after="0" w:line="312"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With respect to each calendar year that ends during the Term, the Executive shall be eligible to receive an annual cash bonus (the “</w:t>
      </w:r>
      <w:r>
        <w:rPr>
          <w:rFonts w:ascii="Arial" w:cs="Arial" w:eastAsia="Arial" w:hAnsi="Arial"/>
          <w:sz w:val="16"/>
          <w:szCs w:val="16"/>
          <w:u w:val="single" w:color="auto"/>
          <w:color w:val="auto"/>
        </w:rPr>
        <w:t>Annual Bonus</w:t>
      </w:r>
      <w:r>
        <w:rPr>
          <w:rFonts w:ascii="Arial" w:cs="Arial" w:eastAsia="Arial" w:hAnsi="Arial"/>
          <w:sz w:val="16"/>
          <w:szCs w:val="16"/>
          <w:color w:val="auto"/>
        </w:rPr>
        <w:t>”) under the terms of the Company’s Profit Sharing Plan as are then in effect. It is currently intended that the Board will set the Executive’s target Annual Bonus at 60% of the Executive’s Annual Base Salary, which may be increased by the Board in its discretion.</w:t>
      </w:r>
    </w:p>
    <w:p>
      <w:pPr>
        <w:spacing w:after="0" w:line="38" w:lineRule="exact"/>
        <w:rPr>
          <w:rFonts w:ascii="Arial" w:cs="Arial" w:eastAsia="Arial" w:hAnsi="Arial"/>
          <w:sz w:val="16"/>
          <w:szCs w:val="16"/>
          <w:color w:val="auto"/>
        </w:rPr>
      </w:pPr>
    </w:p>
    <w:p>
      <w:pPr>
        <w:ind w:firstLine="444"/>
        <w:spacing w:after="0" w:line="272" w:lineRule="auto"/>
        <w:tabs>
          <w:tab w:leader="none" w:pos="68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On or before October 31, 2018, subject to the Executive’s continued employment on such date, the Executive will receive equity grants in respect of 2018 in the form of (i) annual operation planning-based performance stock units (“</w:t>
      </w:r>
      <w:r>
        <w:rPr>
          <w:rFonts w:ascii="Arial" w:cs="Arial" w:eastAsia="Arial" w:hAnsi="Arial"/>
          <w:sz w:val="17"/>
          <w:szCs w:val="17"/>
          <w:u w:val="single" w:color="auto"/>
          <w:color w:val="auto"/>
        </w:rPr>
        <w:t>AOP PSUs</w:t>
      </w:r>
      <w:r>
        <w:rPr>
          <w:rFonts w:ascii="Arial" w:cs="Arial" w:eastAsia="Arial" w:hAnsi="Arial"/>
          <w:sz w:val="17"/>
          <w:szCs w:val="17"/>
          <w:color w:val="auto"/>
        </w:rPr>
        <w:t>”), (ii) relative total shareholder return-based performance stock units (“</w:t>
      </w:r>
      <w:r>
        <w:rPr>
          <w:rFonts w:ascii="Arial" w:cs="Arial" w:eastAsia="Arial" w:hAnsi="Arial"/>
          <w:sz w:val="17"/>
          <w:szCs w:val="17"/>
          <w:u w:val="single" w:color="auto"/>
          <w:color w:val="auto"/>
        </w:rPr>
        <w:t>TSR PSUs</w:t>
      </w:r>
      <w:r>
        <w:rPr>
          <w:rFonts w:ascii="Arial" w:cs="Arial" w:eastAsia="Arial" w:hAnsi="Arial"/>
          <w:sz w:val="17"/>
          <w:szCs w:val="17"/>
          <w:color w:val="auto"/>
        </w:rPr>
        <w:t>”), and (iii) time-based restricted stock units, in each case pursuant to an award agreement in a form generally consistent with the applicable 2018 award agreements with the Company’s senior executives, as well as the grant amounts and achievement criteria set forth in Exhibit 1. Subject to the Executive’s continued employment with the Company, the Executive will receive additional AOP PSU grants with respect to 2019 and 2020 (the “</w:t>
      </w:r>
      <w:r>
        <w:rPr>
          <w:rFonts w:ascii="Arial" w:cs="Arial" w:eastAsia="Arial" w:hAnsi="Arial"/>
          <w:sz w:val="17"/>
          <w:szCs w:val="17"/>
          <w:u w:val="single" w:color="auto"/>
          <w:color w:val="auto"/>
        </w:rPr>
        <w:t>2019 Grants</w:t>
      </w:r>
      <w:r>
        <w:rPr>
          <w:rFonts w:ascii="Arial" w:cs="Arial" w:eastAsia="Arial" w:hAnsi="Arial"/>
          <w:sz w:val="17"/>
          <w:szCs w:val="17"/>
          <w:color w:val="auto"/>
        </w:rPr>
        <w:t>” and the “</w:t>
      </w:r>
      <w:r>
        <w:rPr>
          <w:rFonts w:ascii="Arial" w:cs="Arial" w:eastAsia="Arial" w:hAnsi="Arial"/>
          <w:sz w:val="17"/>
          <w:szCs w:val="17"/>
          <w:u w:val="single" w:color="auto"/>
          <w:color w:val="auto"/>
        </w:rPr>
        <w:t>2020 Grants</w:t>
      </w:r>
      <w:r>
        <w:rPr>
          <w:rFonts w:ascii="Arial" w:cs="Arial" w:eastAsia="Arial" w:hAnsi="Arial"/>
          <w:sz w:val="17"/>
          <w:szCs w:val="17"/>
          <w:color w:val="auto"/>
        </w:rPr>
        <w:t>”, respectively) that are generally subject to same terms as in the 2018 AOP PSU award agreement, except as otherwise set forth in Exhibit 1.</w:t>
      </w:r>
    </w:p>
    <w:p>
      <w:pPr>
        <w:spacing w:after="0" w:line="69" w:lineRule="exact"/>
        <w:rPr>
          <w:rFonts w:ascii="Arial" w:cs="Arial" w:eastAsia="Arial" w:hAnsi="Arial"/>
          <w:sz w:val="17"/>
          <w:szCs w:val="17"/>
          <w:color w:val="auto"/>
        </w:rPr>
      </w:pPr>
    </w:p>
    <w:p>
      <w:pPr>
        <w:ind w:right="400" w:firstLine="444"/>
        <w:spacing w:after="0" w:line="308"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the Executive shall be entitled to participate in the employee benefit plans, programs, and arrangements of the Company now (or, to the extent determined by the Board, hereafter) in effect, in accordance with their terms, including,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1" w:name="page92"/>
    <w:bookmarkEnd w:id="9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limitation, medical and welfare benefits. For the avoidance of doubt, nothing in this Agreement shall limit or otherwise affect the rights that the Executive may have under any statutory pension under Korean law that is accrued to his account as of the effective date of his separation from the Company.</w:t>
      </w:r>
    </w:p>
    <w:p>
      <w:pPr>
        <w:spacing w:after="0" w:line="73" w:lineRule="exact"/>
        <w:rPr>
          <w:sz w:val="20"/>
          <w:szCs w:val="20"/>
          <w:color w:val="auto"/>
        </w:rPr>
      </w:pPr>
    </w:p>
    <w:p>
      <w:pPr>
        <w:ind w:right="120" w:firstLine="444"/>
        <w:spacing w:after="0" w:line="264" w:lineRule="auto"/>
        <w:tabs>
          <w:tab w:leader="none" w:pos="68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Annual Vacation</w:t>
      </w:r>
      <w:r>
        <w:rPr>
          <w:rFonts w:ascii="Arial" w:cs="Arial" w:eastAsia="Arial" w:hAnsi="Arial"/>
          <w:sz w:val="18"/>
          <w:szCs w:val="18"/>
          <w:color w:val="auto"/>
        </w:rPr>
        <w:t>. During the Term, the Executive shall be entitled to paid-time-off (including vacation days) on an annual basis in accordance with the Company’s applicable policies and practices. Any vacation shall be taken at the reasonable and mutual convenience of the Company and the Executive.</w:t>
      </w:r>
    </w:p>
    <w:p>
      <w:pPr>
        <w:spacing w:after="0" w:line="73" w:lineRule="exact"/>
        <w:rPr>
          <w:rFonts w:ascii="Arial" w:cs="Arial" w:eastAsia="Arial" w:hAnsi="Arial"/>
          <w:sz w:val="18"/>
          <w:szCs w:val="18"/>
          <w:color w:val="auto"/>
        </w:rPr>
      </w:pPr>
    </w:p>
    <w:p>
      <w:pPr>
        <w:ind w:firstLine="444"/>
        <w:spacing w:after="0" w:line="342" w:lineRule="auto"/>
        <w:tabs>
          <w:tab w:leader="none" w:pos="665"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5" w:lineRule="exact"/>
        <w:rPr>
          <w:rFonts w:ascii="Arial" w:cs="Arial" w:eastAsia="Arial" w:hAnsi="Arial"/>
          <w:sz w:val="16"/>
          <w:szCs w:val="16"/>
          <w:color w:val="auto"/>
        </w:rPr>
      </w:pPr>
    </w:p>
    <w:p>
      <w:pPr>
        <w:ind w:right="1020" w:firstLine="4"/>
        <w:spacing w:after="0" w:line="277"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only under the following circumstances:</w:t>
      </w:r>
    </w:p>
    <w:p>
      <w:pPr>
        <w:spacing w:after="0" w:line="170" w:lineRule="exact"/>
        <w:rPr>
          <w:rFonts w:ascii="Arial" w:cs="Arial" w:eastAsia="Arial" w:hAnsi="Arial"/>
          <w:sz w:val="18"/>
          <w:szCs w:val="18"/>
          <w:color w:val="auto"/>
        </w:rPr>
      </w:pPr>
    </w:p>
    <w:p>
      <w:pPr>
        <w:ind w:left="680" w:hanging="236"/>
        <w:spacing w:after="0"/>
        <w:tabs>
          <w:tab w:leader="none" w:pos="68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117" w:lineRule="exact"/>
        <w:rPr>
          <w:rFonts w:ascii="Arial" w:cs="Arial" w:eastAsia="Arial" w:hAnsi="Arial"/>
          <w:sz w:val="18"/>
          <w:szCs w:val="18"/>
          <w:color w:val="auto"/>
        </w:rPr>
      </w:pPr>
    </w:p>
    <w:p>
      <w:pPr>
        <w:ind w:left="440" w:right="40" w:firstLine="428"/>
        <w:spacing w:after="0" w:line="279" w:lineRule="auto"/>
        <w:tabs>
          <w:tab w:leader="none" w:pos="1128" w:val="left"/>
        </w:tabs>
        <w:numPr>
          <w:ilvl w:val="2"/>
          <w:numId w:val="117"/>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the Executive has incurred a Disability, the Company may give the Executive written notice of its intention to terminate the Executive’s employment. In that event, the Executive’s employment with the Company shall terminate effective on the later of the thirtieth (30th) day after receipt of such notice by the Executive and the date specified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within the thirty (30) day period following receipt of such notice, the Executive shall not have returned to full-time performance of his duties hereunder.</w:t>
      </w:r>
    </w:p>
    <w:p>
      <w:pPr>
        <w:spacing w:after="0" w:line="63" w:lineRule="exact"/>
        <w:rPr>
          <w:rFonts w:ascii="Arial" w:cs="Arial" w:eastAsia="Arial" w:hAnsi="Arial"/>
          <w:sz w:val="17"/>
          <w:szCs w:val="17"/>
          <w:color w:val="auto"/>
        </w:rPr>
      </w:pPr>
    </w:p>
    <w:p>
      <w:pPr>
        <w:ind w:left="1180" w:hanging="312"/>
        <w:spacing w:after="0"/>
        <w:tabs>
          <w:tab w:leader="none" w:pos="118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employment with Cause.</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 The Executive may resign from his employment with Good Reason.</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2"/>
          <w:numId w:val="117"/>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his employment without Good Reason upon not less than thirty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days’ advance written notice to the Board.</w:t>
      </w:r>
    </w:p>
    <w:p>
      <w:pPr>
        <w:spacing w:after="0" w:line="103" w:lineRule="exact"/>
        <w:rPr>
          <w:sz w:val="20"/>
          <w:szCs w:val="20"/>
          <w:color w:val="auto"/>
        </w:rPr>
      </w:pPr>
    </w:p>
    <w:p>
      <w:pPr>
        <w:ind w:firstLine="444"/>
        <w:spacing w:after="0" w:line="276" w:lineRule="auto"/>
        <w:tabs>
          <w:tab w:leader="none" w:pos="69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4(a)(iv) or (vi), setting forth in reasonable detail the facts and circumstances claimed to provide a basis for termination of the Executive’s employment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If the Company delivers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92" w:name="page93"/>
    <w:bookmarkEnd w:id="9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of Termination under Section 4(a)(ii), the Date of Termination shall be at least thirty (30) days following the date of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 date selected by the Company. If the Executive delivers a Notice of Termination under Section 4(a)(v) or (a)(vi),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70" w:lineRule="exact"/>
        <w:rPr>
          <w:sz w:val="20"/>
          <w:szCs w:val="20"/>
          <w:color w:val="auto"/>
        </w:rPr>
      </w:pPr>
    </w:p>
    <w:p>
      <w:pPr>
        <w:ind w:right="60" w:firstLine="444"/>
        <w:spacing w:after="0" w:line="259" w:lineRule="auto"/>
        <w:tabs>
          <w:tab w:leader="none" w:pos="685"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Termination and Resignation of All Positions</w:t>
      </w:r>
      <w:r>
        <w:rPr>
          <w:rFonts w:ascii="Arial" w:cs="Arial" w:eastAsia="Arial" w:hAnsi="Arial"/>
          <w:sz w:val="18"/>
          <w:szCs w:val="18"/>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Section 5(b) hereof.</w:t>
      </w:r>
    </w:p>
    <w:p>
      <w:pPr>
        <w:spacing w:after="0" w:line="78" w:lineRule="exact"/>
        <w:rPr>
          <w:rFonts w:ascii="Arial" w:cs="Arial" w:eastAsia="Arial" w:hAnsi="Arial"/>
          <w:sz w:val="18"/>
          <w:szCs w:val="18"/>
          <w:color w:val="auto"/>
        </w:rPr>
      </w:pPr>
    </w:p>
    <w:p>
      <w:pPr>
        <w:ind w:left="180" w:hanging="176"/>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44"/>
        <w:spacing w:after="0" w:line="289" w:lineRule="auto"/>
        <w:tabs>
          <w:tab w:leader="none" w:pos="685"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Subject to Section 11(a),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Section 3(f), and (iv) any vested payment or benefit arising from the Executive’s participation in, or benefits under, any qualified employee benefit plans, programs, or arrangements under Section 3(d) (other than severance plans, programs, or arrangements), which amounts shall be payable in accordance with the terms and conditions of such employee benefit plans, programs, or arrangements including, where applicable, any death and disability benefits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Notwithstanding anything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employee benefit plan, program or arrangement.</w:t>
      </w:r>
    </w:p>
    <w:p>
      <w:pPr>
        <w:spacing w:after="0" w:line="58" w:lineRule="exact"/>
        <w:rPr>
          <w:rFonts w:ascii="Arial" w:cs="Arial" w:eastAsia="Arial" w:hAnsi="Arial"/>
          <w:sz w:val="16"/>
          <w:szCs w:val="16"/>
          <w:color w:val="auto"/>
        </w:rPr>
      </w:pPr>
    </w:p>
    <w:p>
      <w:pPr>
        <w:ind w:right="20" w:firstLine="444"/>
        <w:spacing w:after="0" w:line="259" w:lineRule="auto"/>
        <w:tabs>
          <w:tab w:leader="none" w:pos="695"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with Good Reason</w:t>
      </w:r>
      <w:r>
        <w:rPr>
          <w:rFonts w:ascii="Arial" w:cs="Arial" w:eastAsia="Arial" w:hAnsi="Arial"/>
          <w:sz w:val="18"/>
          <w:szCs w:val="18"/>
          <w:color w:val="auto"/>
        </w:rPr>
        <w:t>. Subject to Section 11(a) and subject to the Executive’s continued compliance with the covenants contained in Sections 6, 7 and 10, if the Company terminates the Executive’s employment without Cause pursuant to Section 4(a)(iv) or the Executive resigns from his employment with Good Reason pursuant to Section 4(a)(v), the Company shall, in addition to the Accrued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3" w:name="page94"/>
    <w:bookmarkEnd w:id="93"/>
    <w:p>
      <w:pPr>
        <w:ind w:left="440" w:right="60" w:firstLine="428"/>
        <w:spacing w:after="0" w:line="283" w:lineRule="auto"/>
        <w:tabs>
          <w:tab w:leader="none" w:pos="1078" w:val="left"/>
        </w:tabs>
        <w:numPr>
          <w:ilvl w:val="1"/>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Section 6 or 7 (the “</w:t>
      </w:r>
      <w:r>
        <w:rPr>
          <w:rFonts w:ascii="Arial" w:cs="Arial" w:eastAsia="Arial" w:hAnsi="Arial"/>
          <w:sz w:val="16"/>
          <w:szCs w:val="16"/>
          <w:u w:val="single" w:color="auto"/>
          <w:color w:val="auto"/>
        </w:rPr>
        <w:t>Salary Payment</w:t>
      </w:r>
      <w:r>
        <w:rPr>
          <w:rFonts w:ascii="Arial" w:cs="Arial" w:eastAsia="Arial" w:hAnsi="Arial"/>
          <w:sz w:val="16"/>
          <w:szCs w:val="16"/>
          <w:color w:val="auto"/>
        </w:rPr>
        <w:t>”), and if the Date of Termination occurs after June 30 of the calendar year in which the Date of Termination occurs, pay the Executive a prorated portion of the Annual Bonus payable with respect to the calendar year in which such termination occurs, determined on a daily basis, based on actual performance achievement for such year, and payable if and when annual bonuses are paid to other senior executives of the Company with respect to such year (the “</w:t>
      </w:r>
      <w:r>
        <w:rPr>
          <w:rFonts w:ascii="Arial" w:cs="Arial" w:eastAsia="Arial" w:hAnsi="Arial"/>
          <w:sz w:val="16"/>
          <w:szCs w:val="16"/>
          <w:u w:val="single" w:color="auto"/>
          <w:color w:val="auto"/>
        </w:rPr>
        <w:t>Pro Rata Bonus</w:t>
      </w:r>
      <w:r>
        <w:rPr>
          <w:rFonts w:ascii="Arial" w:cs="Arial" w:eastAsia="Arial" w:hAnsi="Arial"/>
          <w:sz w:val="16"/>
          <w:szCs w:val="16"/>
          <w:color w:val="auto"/>
        </w:rPr>
        <w:t>”, together with the Salary Payment, the “</w:t>
      </w:r>
      <w:r>
        <w:rPr>
          <w:rFonts w:ascii="Arial" w:cs="Arial" w:eastAsia="Arial" w:hAnsi="Arial"/>
          <w:sz w:val="16"/>
          <w:szCs w:val="16"/>
          <w:u w:val="single" w:color="auto"/>
          <w:color w:val="auto"/>
        </w:rPr>
        <w:t>Severance Payment</w:t>
      </w:r>
      <w:r>
        <w:rPr>
          <w:rFonts w:ascii="Arial" w:cs="Arial" w:eastAsia="Arial" w:hAnsi="Arial"/>
          <w:sz w:val="16"/>
          <w:szCs w:val="16"/>
          <w:color w:val="auto"/>
        </w:rPr>
        <w:t>”). Notwithstanding the foregoing, if the Company terminates the Executive’s employment without Cause pursuant to Section 4(a)(iv) or the Executive resigns from his employment with Good Reason pursuant to Section 4(a)(v), in each case, either (x) during a period of time when the Company is party to a definitive corporate transaction agreement, the consummation of which would result in a Change in Control or (y) within eighteen (18) months following a Change in Control (such a termination a “</w:t>
      </w:r>
      <w:r>
        <w:rPr>
          <w:rFonts w:ascii="Arial" w:cs="Arial" w:eastAsia="Arial" w:hAnsi="Arial"/>
          <w:sz w:val="16"/>
          <w:szCs w:val="16"/>
          <w:u w:val="single" w:color="auto"/>
          <w:color w:val="auto"/>
        </w:rPr>
        <w:t>CIC Qualified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then the Severance Payment shall instead equal one and one-half (1.5) times the Final Base Salary, payable over twelve</w:t>
      </w:r>
    </w:p>
    <w:p>
      <w:pPr>
        <w:spacing w:after="0" w:line="4" w:lineRule="exact"/>
        <w:rPr>
          <w:rFonts w:ascii="Arial" w:cs="Arial" w:eastAsia="Arial" w:hAnsi="Arial"/>
          <w:sz w:val="16"/>
          <w:szCs w:val="16"/>
          <w:color w:val="auto"/>
        </w:rPr>
      </w:pPr>
    </w:p>
    <w:p>
      <w:pPr>
        <w:ind w:left="440" w:right="640" w:firstLine="4"/>
        <w:spacing w:after="0" w:line="261" w:lineRule="auto"/>
        <w:tabs>
          <w:tab w:leader="none" w:pos="7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months, in each case so long as the Release (as defined below) has become effective and the Executive has not violated any covenant contained in Section 6 or 7, in which case the Severance Payment shall be forfeited; and</w:t>
      </w:r>
    </w:p>
    <w:p>
      <w:pPr>
        <w:spacing w:after="0" w:line="75" w:lineRule="exact"/>
        <w:rPr>
          <w:rFonts w:ascii="Arial" w:cs="Arial" w:eastAsia="Arial" w:hAnsi="Arial"/>
          <w:sz w:val="18"/>
          <w:szCs w:val="18"/>
          <w:color w:val="auto"/>
        </w:rPr>
      </w:pPr>
    </w:p>
    <w:p>
      <w:pPr>
        <w:ind w:left="440" w:right="180" w:firstLine="428"/>
        <w:spacing w:after="0" w:line="264" w:lineRule="auto"/>
        <w:tabs>
          <w:tab w:leader="none" w:pos="112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provide for vesting of outstanding unvested equity awards (A) for any awards granted prior to January 1, 2018, in full as of the Date of Termination, and (B) for any awards granted on or following January 1, 2018, as set forth in the applicable award agreement or on Exhibit 1, as applicable;</w:t>
      </w:r>
    </w:p>
    <w:p>
      <w:pPr>
        <w:spacing w:after="0" w:line="18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that all payments and benefits to be paid or provided pursuant to this Section 5(b) shall commence on the sixtieth (60th) day following the Date of Termination, and, only with respect to any cash payments, the initial installment of such payments shall include a lump-sum payment of all amounts accrued under this Section 5(b) from the Date of Termination through the date of such initial payment.</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Notwithstanding any provision in this Agreement to the contrary, if the Executive breaches any of the covenants contained in Sections 6 and 7 hereof, the Company shall have the right to cease providing any payments or benefits under this Section 5(b) and, if requested, the Executive shall repay to the Company within sixty (60) days of such request any previously paid payments or benefits under this Section 5(b);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unless the Company provides the Executive with written notice of the circumstances it believes constitutes a breach of such covenants within ninety (90) days after it becomes aware of such circumstances;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basis for the alleged breach is curable, then the Executive shall have fifteen (15) days after receipt of such written notice to cure such basis.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Payment of the amounts and benefits under this Section 5(b) is in lieu of any other severance or separation pay payable to the Executive whether under any employment agreement, offer letter or severance program, plan or policy, applicable law (including law of the Republic of Korea) or other statute,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limit or otherwise affect the rights of the Executive may have under any statutory pension under Korean law that has accrued to the Executive’s account as of the Date of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4" w:name="page95"/>
    <w:bookmarkEnd w:id="94"/>
    <w:p>
      <w:pPr>
        <w:ind w:left="-4" w:right="20" w:firstLine="444"/>
        <w:spacing w:after="0" w:line="257" w:lineRule="auto"/>
        <w:tabs>
          <w:tab w:leader="none" w:pos="68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8"/>
          <w:szCs w:val="18"/>
          <w:color w:val="auto"/>
        </w:rPr>
        <w:t>. Notwithstanding anything herein to the contrary, the amounts payable and benefits to be provided to the Executive under Section 5(b), other than the Accrued Obligations, shall be contingent upon and subject to the Executive’s (or the Executive’s estate’s, if applicable) execution and non-revocation of a general waiver and release of claims agreement generally consistent with the form attached as Exhibit 2 hereto (as appropriately modified to comply with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sixtieth (60th) day following the Date of Termination.</w:t>
      </w:r>
    </w:p>
    <w:p>
      <w:pPr>
        <w:spacing w:after="0" w:line="80" w:lineRule="exact"/>
        <w:rPr>
          <w:rFonts w:ascii="Arial" w:cs="Arial" w:eastAsia="Arial" w:hAnsi="Arial"/>
          <w:sz w:val="18"/>
          <w:szCs w:val="18"/>
          <w:color w:val="auto"/>
        </w:rPr>
      </w:pPr>
    </w:p>
    <w:p>
      <w:pPr>
        <w:ind w:left="-4" w:right="60" w:firstLine="444"/>
        <w:spacing w:after="0" w:line="342" w:lineRule="auto"/>
        <w:tabs>
          <w:tab w:leader="none" w:pos="692"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obligations of any of the parties under this Agreement which by their nature may require either partial or total performance after the termination of the Term or this Agreement (including those under Sections 6, 7, 8, 9 and 10) will survive any termination of this Agreement.</w:t>
      </w:r>
    </w:p>
    <w:p>
      <w:pPr>
        <w:spacing w:after="0" w:line="123" w:lineRule="exact"/>
        <w:rPr>
          <w:rFonts w:ascii="Arial" w:cs="Arial" w:eastAsia="Arial" w:hAnsi="Arial"/>
          <w:sz w:val="16"/>
          <w:szCs w:val="16"/>
          <w:color w:val="auto"/>
        </w:rPr>
      </w:pPr>
    </w:p>
    <w:p>
      <w:pPr>
        <w:ind w:left="176" w:hanging="176"/>
        <w:spacing w:after="0"/>
        <w:tabs>
          <w:tab w:leader="none" w:pos="17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444"/>
        <w:spacing w:after="0" w:line="273" w:lineRule="auto"/>
        <w:tabs>
          <w:tab w:leader="none" w:pos="68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the Executive agrees that during the Executive’s employment with the Company, and for the twelve (12) month period following the Executive’s termination of employment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 or other equity interest acquired is not more than five percent (5%) of the outstanding interest in such business;</w:t>
      </w:r>
    </w:p>
    <w:p>
      <w:pPr>
        <w:spacing w:after="0" w:line="70" w:lineRule="exact"/>
        <w:rPr>
          <w:rFonts w:ascii="Arial" w:cs="Arial" w:eastAsia="Arial" w:hAnsi="Arial"/>
          <w:sz w:val="17"/>
          <w:szCs w:val="17"/>
          <w:color w:val="auto"/>
        </w:rPr>
      </w:pPr>
    </w:p>
    <w:p>
      <w:pPr>
        <w:ind w:left="-4" w:firstLine="444"/>
        <w:spacing w:after="0" w:line="270" w:lineRule="auto"/>
        <w:tabs>
          <w:tab w:leader="none" w:pos="69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employment with the Company, and for the twelve (12) month period following the Executive’s termination of employment for any reason, the Executive will not, directly or indirectly, on the Executive’s own behalf or on behalf of another (i) solicit, induce or attempt to solicit or induce any officer, director, employee or consultant of the Company to terminate their relationship with or leave the employ of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twelve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73" w:lineRule="exact"/>
        <w:rPr>
          <w:rFonts w:ascii="Arial" w:cs="Arial" w:eastAsia="Arial" w:hAnsi="Arial"/>
          <w:sz w:val="17"/>
          <w:szCs w:val="17"/>
          <w:color w:val="auto"/>
        </w:rPr>
      </w:pPr>
    </w:p>
    <w:p>
      <w:pPr>
        <w:ind w:left="-4" w:firstLine="444"/>
        <w:spacing w:after="0" w:line="254" w:lineRule="auto"/>
        <w:tabs>
          <w:tab w:leader="none" w:pos="68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1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6"/>
          </w:cols>
          <w:pgMar w:left="444" w:top="274" w:right="439" w:bottom="1440" w:gutter="0" w:footer="0" w:header="0"/>
        </w:sectPr>
      </w:pPr>
    </w:p>
    <w:bookmarkStart w:id="95" w:name="page96"/>
    <w:bookmarkEnd w:id="95"/>
    <w:p>
      <w:pPr>
        <w:ind w:left="-4" w:right="580" w:firstLine="444"/>
        <w:spacing w:after="0" w:line="277" w:lineRule="auto"/>
        <w:tabs>
          <w:tab w:leader="none" w:pos="692" w:val="left"/>
        </w:tabs>
        <w:numPr>
          <w:ilvl w:val="1"/>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Section 6, the term “Company” shall include Parent, the Company, and any direct or indirect subsidiaries thereof or any successors thereto.</w:t>
      </w:r>
    </w:p>
    <w:p>
      <w:pPr>
        <w:spacing w:after="0" w:line="170" w:lineRule="exact"/>
        <w:rPr>
          <w:rFonts w:ascii="Arial" w:cs="Arial" w:eastAsia="Arial" w:hAnsi="Arial"/>
          <w:sz w:val="18"/>
          <w:szCs w:val="18"/>
          <w:color w:val="auto"/>
        </w:rPr>
      </w:pPr>
    </w:p>
    <w:p>
      <w:pPr>
        <w:ind w:left="176" w:hanging="176"/>
        <w:spacing w:after="0"/>
        <w:tabs>
          <w:tab w:leader="none" w:pos="17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44"/>
        <w:spacing w:after="0" w:line="268" w:lineRule="auto"/>
        <w:tabs>
          <w:tab w:leader="none" w:pos="681"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employment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77" w:lineRule="exact"/>
        <w:rPr>
          <w:rFonts w:ascii="Arial" w:cs="Arial" w:eastAsia="Arial" w:hAnsi="Arial"/>
          <w:sz w:val="17"/>
          <w:szCs w:val="17"/>
          <w:color w:val="auto"/>
        </w:rPr>
      </w:pPr>
    </w:p>
    <w:p>
      <w:pPr>
        <w:jc w:val="both"/>
        <w:ind w:left="-4" w:right="60" w:firstLine="444"/>
        <w:spacing w:after="0" w:line="286" w:lineRule="auto"/>
        <w:tabs>
          <w:tab w:leader="none" w:pos="692"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shall not, at any time during his employment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57" w:lineRule="exact"/>
        <w:rPr>
          <w:rFonts w:ascii="Arial" w:cs="Arial" w:eastAsia="Arial" w:hAnsi="Arial"/>
          <w:sz w:val="17"/>
          <w:szCs w:val="17"/>
          <w:color w:val="auto"/>
        </w:rPr>
      </w:pPr>
    </w:p>
    <w:p>
      <w:pPr>
        <w:ind w:left="676" w:hanging="236"/>
        <w:spacing w:after="0"/>
        <w:tabs>
          <w:tab w:leader="none" w:pos="67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firstLine="428"/>
        <w:spacing w:after="0" w:line="293" w:lineRule="auto"/>
        <w:tabs>
          <w:tab w:leader="none" w:pos="1074"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w:t>
      </w:r>
    </w:p>
    <w:p>
      <w:pPr>
        <w:spacing w:after="0" w:line="9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4" w:right="439" w:bottom="1440" w:gutter="0" w:footer="0" w:header="0"/>
        </w:sectPr>
      </w:pPr>
    </w:p>
    <w:bookmarkStart w:id="96" w:name="page97"/>
    <w:bookmarkEnd w:id="96"/>
    <w:p>
      <w:pPr>
        <w:ind w:left="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or as directed by the Company) shall be deemed the sole owner throughout the universe of any and all trade secret, patent, copyright and other intellectual property rights (collectively, “</w:t>
      </w:r>
      <w:r>
        <w:rPr>
          <w:rFonts w:ascii="Arial" w:cs="Arial" w:eastAsia="Arial" w:hAnsi="Arial"/>
          <w:sz w:val="17"/>
          <w:szCs w:val="17"/>
          <w:u w:val="single" w:color="auto"/>
          <w:color w:val="auto"/>
        </w:rPr>
        <w:t>Proprietary Rights</w:t>
      </w:r>
      <w:r>
        <w:rPr>
          <w:rFonts w:ascii="Arial" w:cs="Arial" w:eastAsia="Arial" w:hAnsi="Arial"/>
          <w:sz w:val="17"/>
          <w:szCs w:val="17"/>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Affiliates),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80" w:lineRule="exact"/>
        <w:rPr>
          <w:sz w:val="20"/>
          <w:szCs w:val="20"/>
          <w:color w:val="auto"/>
        </w:rPr>
      </w:pPr>
    </w:p>
    <w:p>
      <w:pPr>
        <w:ind w:left="420" w:right="40" w:firstLine="428"/>
        <w:spacing w:after="0" w:line="268" w:lineRule="auto"/>
        <w:tabs>
          <w:tab w:leader="none" w:pos="110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employment with the Company.</w:t>
      </w:r>
    </w:p>
    <w:p>
      <w:pPr>
        <w:spacing w:after="0" w:line="183" w:lineRule="exact"/>
        <w:rPr>
          <w:rFonts w:ascii="Arial" w:cs="Arial" w:eastAsia="Arial" w:hAnsi="Arial"/>
          <w:sz w:val="17"/>
          <w:szCs w:val="17"/>
          <w:color w:val="auto"/>
        </w:rPr>
      </w:pPr>
    </w:p>
    <w:p>
      <w:pPr>
        <w:ind w:left="-20" w:right="560" w:firstLine="444"/>
        <w:spacing w:after="0" w:line="277" w:lineRule="auto"/>
        <w:tabs>
          <w:tab w:leader="none" w:pos="6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used in this Section 7, the term “Company” shall include Parent, the Company, and any direct or indirect subsidiaries thereof or any successors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97" w:name="page98"/>
    <w:bookmarkEnd w:id="97"/>
    <w:p>
      <w:pPr>
        <w:ind w:left="676" w:hanging="236"/>
        <w:spacing w:after="0"/>
        <w:tabs>
          <w:tab w:leader="none" w:pos="67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Protected Disclosures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20" w:firstLine="428"/>
        <w:spacing w:after="0" w:line="279" w:lineRule="auto"/>
        <w:tabs>
          <w:tab w:leader="none" w:pos="1074" w:val="left"/>
        </w:tabs>
        <w:numPr>
          <w:ilvl w:val="2"/>
          <w:numId w:val="129"/>
        </w:numPr>
        <w:rPr>
          <w:rFonts w:ascii="Arial" w:cs="Arial" w:eastAsia="Arial" w:hAnsi="Arial"/>
          <w:sz w:val="17"/>
          <w:szCs w:val="17"/>
          <w:color w:val="auto"/>
        </w:rPr>
      </w:pPr>
      <w:r>
        <w:rPr>
          <w:rFonts w:ascii="Arial" w:cs="Arial" w:eastAsia="Arial" w:hAnsi="Arial"/>
          <w:sz w:val="17"/>
          <w:szCs w:val="17"/>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63" w:lineRule="exact"/>
        <w:rPr>
          <w:rFonts w:ascii="Arial" w:cs="Arial" w:eastAsia="Arial" w:hAnsi="Arial"/>
          <w:sz w:val="17"/>
          <w:szCs w:val="17"/>
          <w:color w:val="auto"/>
        </w:rPr>
      </w:pPr>
    </w:p>
    <w:p>
      <w:pPr>
        <w:ind w:left="436" w:right="60" w:firstLine="428"/>
        <w:spacing w:after="0" w:line="255" w:lineRule="auto"/>
        <w:tabs>
          <w:tab w:leader="none" w:pos="1124" w:val="left"/>
        </w:tabs>
        <w:numPr>
          <w:ilvl w:val="2"/>
          <w:numId w:val="129"/>
        </w:numPr>
        <w:rPr>
          <w:rFonts w:ascii="Arial" w:cs="Arial" w:eastAsia="Arial" w:hAnsi="Arial"/>
          <w:sz w:val="18"/>
          <w:szCs w:val="18"/>
          <w:color w:val="auto"/>
        </w:rPr>
      </w:pPr>
      <w:r>
        <w:rPr>
          <w:rFonts w:ascii="Arial" w:cs="Arial" w:eastAsia="Arial" w:hAnsi="Arial"/>
          <w:sz w:val="18"/>
          <w:szCs w:val="18"/>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81" w:lineRule="exact"/>
        <w:rPr>
          <w:rFonts w:ascii="Arial" w:cs="Arial" w:eastAsia="Arial" w:hAnsi="Arial"/>
          <w:sz w:val="18"/>
          <w:szCs w:val="18"/>
          <w:color w:val="auto"/>
        </w:rPr>
      </w:pPr>
    </w:p>
    <w:p>
      <w:pPr>
        <w:ind w:left="436" w:right="20" w:firstLine="428"/>
        <w:spacing w:after="0" w:line="273" w:lineRule="auto"/>
        <w:tabs>
          <w:tab w:leader="none" w:pos="1174" w:val="left"/>
        </w:tabs>
        <w:numPr>
          <w:ilvl w:val="2"/>
          <w:numId w:val="129"/>
        </w:numPr>
        <w:rPr>
          <w:rFonts w:ascii="Arial" w:cs="Arial" w:eastAsia="Arial" w:hAnsi="Arial"/>
          <w:sz w:val="17"/>
          <w:szCs w:val="17"/>
          <w:color w:val="auto"/>
        </w:rPr>
      </w:pPr>
      <w:r>
        <w:rPr>
          <w:rFonts w:ascii="Arial" w:cs="Arial" w:eastAsia="Arial" w:hAnsi="Arial"/>
          <w:sz w:val="17"/>
          <w:szCs w:val="17"/>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 (2)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70" w:lineRule="exact"/>
        <w:rPr>
          <w:rFonts w:ascii="Arial" w:cs="Arial" w:eastAsia="Arial" w:hAnsi="Arial"/>
          <w:sz w:val="17"/>
          <w:szCs w:val="17"/>
          <w:color w:val="auto"/>
        </w:rPr>
      </w:pPr>
    </w:p>
    <w:p>
      <w:pPr>
        <w:ind w:left="436" w:right="460" w:firstLine="428"/>
        <w:spacing w:after="0" w:line="342" w:lineRule="auto"/>
        <w:tabs>
          <w:tab w:leader="none" w:pos="1164"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foregoing provisions regarding protected disclosures are intended to comply with all applicable laws. If any laws are adopted, amended or repealed after the execution of this Agreement, this Section 7(e) shall be deemed to be amended to reflect the same.</w:t>
      </w:r>
    </w:p>
    <w:p>
      <w:pPr>
        <w:spacing w:after="0" w:line="15" w:lineRule="exact"/>
        <w:rPr>
          <w:rFonts w:ascii="Arial" w:cs="Arial" w:eastAsia="Arial" w:hAnsi="Arial"/>
          <w:sz w:val="16"/>
          <w:szCs w:val="16"/>
          <w:color w:val="auto"/>
        </w:rPr>
      </w:pPr>
    </w:p>
    <w:p>
      <w:pPr>
        <w:ind w:left="-4" w:firstLine="4"/>
        <w:spacing w:after="0" w:line="255" w:lineRule="auto"/>
        <w:tabs>
          <w:tab w:leader="none" w:pos="17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Executive recognizes and acknowledges that a breach of any of the covenants contained in Sections 6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Sections 6 and 7, in addition to any other remedy that may be available at law or in equity, the Company will be entitled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12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4" w:right="459" w:bottom="1440" w:gutter="0" w:footer="0" w:header="0"/>
        </w:sectPr>
      </w:pPr>
    </w:p>
    <w:bookmarkStart w:id="98" w:name="page99"/>
    <w:bookmarkEnd w:id="98"/>
    <w:p>
      <w:pPr>
        <w:ind w:left="-4" w:right="60" w:firstLine="4"/>
        <w:spacing w:after="0" w:line="270" w:lineRule="auto"/>
        <w:tabs>
          <w:tab w:leader="none" w:pos="17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7"/>
          <w:szCs w:val="17"/>
          <w:color w:val="auto"/>
        </w:rPr>
        <w:t>. During the Executive’s employment and service as a director or officer (or both) and at all times thereafter during which the Executive may be subject to liability, the Executive shall be entitled to the protection set forth in the Indemnification Agreement between the Executive and the Company, dated April 11, 2017, in addition to the protection of any insurance policies the Company may elect to maintain generally for the benefit of its directors and officers against all costs, charges, and expenses incurred or sustained by him in connection with any action, suit, or proceeding to which he may be made a party by reason of his being or having been a director, officer, or employee of the Company or any of its subsidiaries, as well as any rights the Executive may have under the Company’s articles of incorporation and bylaws (in each case, other than any dispute, claim, or controversy arising under or relating to this Agreement or otherwise arising under or relating to the Executive’s employment, equity ownership or compensation). Notwithstanding anything to the contrary herein, the Executive’s rights under this Section 9 shall survive the termination of his employment for any reason and the expiration of this Agreement for any reason.</w:t>
      </w:r>
    </w:p>
    <w:p>
      <w:pPr>
        <w:spacing w:after="0" w:line="73" w:lineRule="exact"/>
        <w:rPr>
          <w:rFonts w:ascii="Arial" w:cs="Arial" w:eastAsia="Arial" w:hAnsi="Arial"/>
          <w:sz w:val="17"/>
          <w:szCs w:val="17"/>
          <w:color w:val="auto"/>
        </w:rPr>
      </w:pPr>
    </w:p>
    <w:p>
      <w:pPr>
        <w:ind w:left="-4" w:right="180" w:firstLine="4"/>
        <w:spacing w:after="0" w:line="270" w:lineRule="auto"/>
        <w:tabs>
          <w:tab w:leader="none" w:pos="26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Executive agrees that, subject to the Executive’s reasonable availability, during and after the Executive’s employment by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employment (including furnishing relevant information and materials to the Company or its designee and/or providing testimony at depositions and at trial);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reimburse the Executive for reasonable out-of-pocket expenses the Executive incurs that are associated with any such cooperation;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cooperation occurring after the termination of the Executive’s employment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69" w:lineRule="exact"/>
        <w:rPr>
          <w:rFonts w:ascii="Arial" w:cs="Arial" w:eastAsia="Arial" w:hAnsi="Arial"/>
          <w:sz w:val="17"/>
          <w:szCs w:val="17"/>
          <w:color w:val="auto"/>
        </w:rPr>
      </w:pPr>
    </w:p>
    <w:p>
      <w:pPr>
        <w:ind w:left="256" w:hanging="256"/>
        <w:spacing w:after="0"/>
        <w:tabs>
          <w:tab w:leader="none" w:pos="25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44"/>
        <w:spacing w:after="0" w:line="289" w:lineRule="auto"/>
        <w:tabs>
          <w:tab w:leader="none" w:pos="681"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provision of this Agreement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w:t>
      </w:r>
    </w:p>
    <w:p>
      <w:pPr>
        <w:spacing w:after="0" w:line="9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76"/>
          </w:cols>
          <w:pgMar w:left="444" w:top="274" w:right="479" w:bottom="1440" w:gutter="0" w:footer="0" w:header="0"/>
        </w:sectPr>
      </w:pPr>
    </w:p>
    <w:bookmarkStart w:id="99" w:name="page100"/>
    <w:bookmarkEnd w:id="9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Section 409A or to comply with the requirements of Section 409A and thereby avoid the application of penalty taxes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11(a)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or any damages for failing to comply with Section 409A.</w:t>
      </w:r>
    </w:p>
    <w:p>
      <w:pPr>
        <w:spacing w:after="0" w:line="80" w:lineRule="exact"/>
        <w:rPr>
          <w:sz w:val="20"/>
          <w:szCs w:val="20"/>
          <w:color w:val="auto"/>
        </w:rPr>
      </w:pPr>
    </w:p>
    <w:p>
      <w:pPr>
        <w:ind w:firstLine="444"/>
        <w:spacing w:after="0" w:line="284"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To the extent Section 409A is applicable, notwithstanding any provision to the contrary in this Agreement: (i) no amount shall be payable pursuant to Section 5(a) or (b) unless the termination of the Executive’s employment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5(a) or (b),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earlier of such dates, all payments deferred pursuant to this Section 11(b)(ii)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1.409A-1(i)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80" w:lineRule="exact"/>
        <w:rPr>
          <w:rFonts w:ascii="Arial" w:cs="Arial" w:eastAsia="Arial" w:hAnsi="Arial"/>
          <w:sz w:val="16"/>
          <w:szCs w:val="16"/>
          <w:color w:val="auto"/>
        </w:rPr>
      </w:pPr>
    </w:p>
    <w:p>
      <w:pPr>
        <w:ind w:left="280" w:hanging="276"/>
        <w:spacing w:after="0"/>
        <w:tabs>
          <w:tab w:leader="none" w:pos="2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4"/>
        <w:spacing w:after="0" w:line="277" w:lineRule="auto"/>
        <w:tabs>
          <w:tab w:leader="none" w:pos="68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there is a change of ownership or effective control or change in the ownership of a substantial portion of the assets of a corporation (within the meaning of Section 280G of the Code) and any payment or benefit (including payments and benefits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100" w:name="page101"/>
    <w:bookmarkEnd w:id="10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this Agreement) that the Executive would receive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Internal Revenue Code of 1986,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w:t>
      </w:r>
    </w:p>
    <w:p>
      <w:pPr>
        <w:spacing w:after="0" w:line="2" w:lineRule="exact"/>
        <w:rPr>
          <w:sz w:val="20"/>
          <w:szCs w:val="20"/>
          <w:color w:val="auto"/>
        </w:rPr>
      </w:pPr>
    </w:p>
    <w:p>
      <w:pPr>
        <w:ind w:right="20" w:firstLine="4"/>
        <w:spacing w:after="0" w:line="287"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(2)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62" w:lineRule="exact"/>
        <w:rPr>
          <w:rFonts w:ascii="Arial" w:cs="Arial" w:eastAsia="Arial" w:hAnsi="Arial"/>
          <w:sz w:val="16"/>
          <w:szCs w:val="16"/>
          <w:color w:val="auto"/>
        </w:rPr>
      </w:pPr>
    </w:p>
    <w:p>
      <w:pPr>
        <w:jc w:val="both"/>
        <w:ind w:right="200" w:firstLine="444"/>
        <w:spacing w:after="0" w:line="286" w:lineRule="auto"/>
        <w:tabs>
          <w:tab w:leader="none" w:pos="69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w:t>
      </w:r>
    </w:p>
    <w:p>
      <w:pPr>
        <w:spacing w:after="0" w:line="1"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12(b).</w:t>
      </w:r>
    </w:p>
    <w:p>
      <w:pPr>
        <w:spacing w:after="0" w:line="190" w:lineRule="exact"/>
        <w:rPr>
          <w:sz w:val="20"/>
          <w:szCs w:val="20"/>
          <w:color w:val="auto"/>
        </w:rPr>
      </w:pPr>
    </w:p>
    <w:p>
      <w:pPr>
        <w:ind w:firstLine="4"/>
        <w:spacing w:after="0" w:line="293" w:lineRule="auto"/>
        <w:tabs>
          <w:tab w:leader="none" w:pos="27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to the Executive (including under Section 5) shall be paid to his estate.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01" w:name="page102"/>
    <w:bookmarkEnd w:id="101"/>
    <w:p>
      <w:pPr>
        <w:jc w:val="both"/>
        <w:ind w:right="400" w:firstLine="4"/>
        <w:spacing w:after="0" w:line="264"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181" w:lineRule="exact"/>
        <w:rPr>
          <w:rFonts w:ascii="Arial" w:cs="Arial" w:eastAsia="Arial" w:hAnsi="Arial"/>
          <w:sz w:val="18"/>
          <w:szCs w:val="18"/>
          <w:color w:val="auto"/>
        </w:rPr>
      </w:pPr>
    </w:p>
    <w:p>
      <w:pPr>
        <w:ind w:right="380" w:firstLine="4"/>
        <w:spacing w:after="0" w:line="277"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right="60" w:firstLine="4"/>
        <w:spacing w:after="0" w:line="259"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Chief Executive Officer.</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225" w:lineRule="exact"/>
        <w:rPr>
          <w:rFonts w:ascii="Arial" w:cs="Arial" w:eastAsia="Arial" w:hAnsi="Arial"/>
          <w:sz w:val="18"/>
          <w:szCs w:val="18"/>
          <w:color w:val="auto"/>
        </w:rPr>
      </w:pPr>
    </w:p>
    <w:p>
      <w:pPr>
        <w:ind w:right="240" w:firstLine="4"/>
        <w:spacing w:after="0" w:line="277"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firstLine="4"/>
        <w:spacing w:after="0" w:line="270" w:lineRule="auto"/>
        <w:tabs>
          <w:tab w:leader="none" w:pos="27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Prior Agreement and the offer letter, dated November 1, 2013, by and between the Executive and the Company),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81" w:lineRule="exact"/>
        <w:rPr>
          <w:rFonts w:ascii="Arial" w:cs="Arial" w:eastAsia="Arial" w:hAnsi="Arial"/>
          <w:sz w:val="17"/>
          <w:szCs w:val="17"/>
          <w:color w:val="auto"/>
        </w:rPr>
      </w:pPr>
    </w:p>
    <w:p>
      <w:pPr>
        <w:ind w:right="20" w:firstLine="4"/>
        <w:spacing w:after="0" w:line="255"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02" w:name="page103"/>
    <w:bookmarkEnd w:id="102"/>
    <w:p>
      <w:pPr>
        <w:jc w:val="both"/>
        <w:ind w:right="180" w:firstLine="4"/>
        <w:spacing w:after="0" w:line="264" w:lineRule="auto"/>
        <w:tabs>
          <w:tab w:leader="none" w:pos="27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1" w:lineRule="exact"/>
        <w:rPr>
          <w:rFonts w:ascii="Arial" w:cs="Arial" w:eastAsia="Arial" w:hAnsi="Arial"/>
          <w:sz w:val="18"/>
          <w:szCs w:val="18"/>
          <w:color w:val="auto"/>
        </w:rPr>
      </w:pPr>
    </w:p>
    <w:p>
      <w:pPr>
        <w:ind w:right="20" w:firstLine="4"/>
        <w:spacing w:after="0" w:line="285" w:lineRule="auto"/>
        <w:tabs>
          <w:tab w:leader="none" w:pos="27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w:t>
      </w:r>
    </w:p>
    <w:p>
      <w:pPr>
        <w:spacing w:after="0" w:line="2" w:lineRule="exact"/>
        <w:rPr>
          <w:rFonts w:ascii="Arial" w:cs="Arial" w:eastAsia="Arial" w:hAnsi="Arial"/>
          <w:sz w:val="16"/>
          <w:szCs w:val="16"/>
          <w:color w:val="auto"/>
        </w:rPr>
      </w:pPr>
    </w:p>
    <w:p>
      <w:pPr>
        <w:ind w:right="320"/>
        <w:spacing w:after="0" w:line="255" w:lineRule="auto"/>
        <w:rPr>
          <w:rFonts w:ascii="Arial" w:cs="Arial" w:eastAsia="Arial" w:hAnsi="Arial"/>
          <w:sz w:val="16"/>
          <w:szCs w:val="16"/>
          <w:color w:val="auto"/>
        </w:rPr>
      </w:pPr>
      <w:r>
        <w:rPr>
          <w:rFonts w:ascii="Arial" w:cs="Arial" w:eastAsia="Arial" w:hAnsi="Arial"/>
          <w:sz w:val="18"/>
          <w:szCs w:val="18"/>
          <w:color w:val="auto"/>
        </w:rPr>
        <w:t>(c)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190" w:lineRule="exact"/>
        <w:rPr>
          <w:rFonts w:ascii="Arial" w:cs="Arial" w:eastAsia="Arial" w:hAnsi="Arial"/>
          <w:sz w:val="16"/>
          <w:szCs w:val="16"/>
          <w:color w:val="auto"/>
        </w:rPr>
      </w:pPr>
    </w:p>
    <w:p>
      <w:pPr>
        <w:ind w:right="20" w:firstLine="4"/>
        <w:spacing w:after="0" w:line="272" w:lineRule="auto"/>
        <w:tabs>
          <w:tab w:leader="none" w:pos="27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77" w:lineRule="exact"/>
        <w:rPr>
          <w:rFonts w:ascii="Arial" w:cs="Arial" w:eastAsia="Arial" w:hAnsi="Arial"/>
          <w:sz w:val="17"/>
          <w:szCs w:val="17"/>
          <w:color w:val="auto"/>
        </w:rPr>
      </w:pPr>
    </w:p>
    <w:p>
      <w:pPr>
        <w:ind w:right="20" w:firstLine="4"/>
        <w:spacing w:after="0" w:line="273" w:lineRule="auto"/>
        <w:tabs>
          <w:tab w:leader="none" w:pos="27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8" w:lineRule="exact"/>
        <w:rPr>
          <w:rFonts w:ascii="Arial" w:cs="Arial" w:eastAsia="Arial" w:hAnsi="Arial"/>
          <w:sz w:val="17"/>
          <w:szCs w:val="17"/>
          <w:color w:val="auto"/>
        </w:rPr>
      </w:pPr>
    </w:p>
    <w:p>
      <w:pPr>
        <w:ind w:firstLine="4"/>
        <w:spacing w:after="0" w:line="264" w:lineRule="auto"/>
        <w:tabs>
          <w:tab w:leader="none" w:pos="27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03" w:name="page104"/>
    <w:bookmarkEnd w:id="103"/>
    <w:p>
      <w:pPr>
        <w:ind w:right="160" w:firstLine="4"/>
        <w:spacing w:after="0" w:line="273" w:lineRule="auto"/>
        <w:tabs>
          <w:tab w:leader="none" w:pos="27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Clawback</w:t>
      </w:r>
      <w:r>
        <w:rPr>
          <w:rFonts w:ascii="Arial" w:cs="Arial" w:eastAsia="Arial" w:hAnsi="Arial"/>
          <w:sz w:val="17"/>
          <w:szCs w:val="17"/>
          <w:color w:val="auto"/>
        </w:rPr>
        <w:t>. To the extent required by applicable law (including, without limitation,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178" w:lineRule="exact"/>
        <w:rPr>
          <w:rFonts w:ascii="Arial" w:cs="Arial" w:eastAsia="Arial" w:hAnsi="Arial"/>
          <w:sz w:val="17"/>
          <w:szCs w:val="17"/>
          <w:color w:val="auto"/>
        </w:rPr>
      </w:pPr>
    </w:p>
    <w:p>
      <w:pPr>
        <w:ind w:right="80" w:firstLine="4"/>
        <w:spacing w:after="0" w:line="308" w:lineRule="auto"/>
        <w:tabs>
          <w:tab w:leader="none" w:pos="27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46" w:lineRule="exact"/>
        <w:rPr>
          <w:rFonts w:ascii="Arial" w:cs="Arial" w:eastAsia="Arial" w:hAnsi="Arial"/>
          <w:sz w:val="17"/>
          <w:szCs w:val="17"/>
          <w:color w:val="auto"/>
        </w:rPr>
      </w:pPr>
    </w:p>
    <w:p>
      <w:pPr>
        <w:ind w:firstLine="4"/>
        <w:spacing w:after="0" w:line="284" w:lineRule="auto"/>
        <w:tabs>
          <w:tab w:leader="none" w:pos="27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Employee Representations</w:t>
      </w:r>
      <w:r>
        <w:rPr>
          <w:rFonts w:ascii="Arial" w:cs="Arial" w:eastAsia="Arial" w:hAnsi="Arial"/>
          <w:sz w:val="16"/>
          <w:szCs w:val="16"/>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w:t>
      </w:r>
    </w:p>
    <w:p>
      <w:pPr>
        <w:spacing w:after="0" w:line="4"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(v) the Executive shall keep all terms of this Agreement confidential, except with respect to disclosure to the Executive’s spouse, accountants or attorneys, each of whom shall agree to keep all terms of this Agreement confidential.</w:t>
      </w:r>
    </w:p>
    <w:p>
      <w:pPr>
        <w:spacing w:after="0" w:line="183" w:lineRule="exact"/>
        <w:rPr>
          <w:rFonts w:ascii="Arial" w:cs="Arial" w:eastAsia="Arial" w:hAnsi="Arial"/>
          <w:sz w:val="16"/>
          <w:szCs w:val="16"/>
          <w:color w:val="auto"/>
        </w:rPr>
      </w:pPr>
    </w:p>
    <w:p>
      <w:pPr>
        <w:ind w:right="20" w:firstLine="4"/>
        <w:spacing w:after="0" w:line="277" w:lineRule="auto"/>
        <w:tabs>
          <w:tab w:leader="none" w:pos="27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executed this Agreement as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Representative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Woungmoo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Woungmoo Lee</w:t>
      </w:r>
    </w:p>
    <w:p>
      <w:pPr>
        <w:sectPr>
          <w:pgSz w:w="11900" w:h="16838" w:orient="portrait"/>
          <w:cols w:equalWidth="0" w:num="1">
            <w:col w:w="10860"/>
          </w:cols>
          <w:pgMar w:left="440" w:top="274" w:right="59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Type of Grant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Time-Based RSUs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2018 AOP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PSUs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TSR PSUs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 of 2020)</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Exact date to be determined pursuant to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571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8"/>
          <w:szCs w:val="18"/>
          <w:b w:val="1"/>
          <w:bCs w:val="1"/>
          <w:u w:val="single" w:color="auto"/>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-213360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5"/>
              </w:rPr>
              <w:t>No. of RSUs Eligible to Vest on</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Payout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5"/>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Payout at</w:t>
            </w:r>
          </w:p>
        </w:tc>
        <w:tc>
          <w:tcPr>
            <w:tcW w:w="4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at</w:t>
            </w:r>
          </w:p>
        </w:tc>
        <w:tc>
          <w:tcPr>
            <w:tcW w:w="240" w:type="dxa"/>
            <w:vAlign w:val="bottom"/>
          </w:tcPr>
          <w:p>
            <w:pPr>
              <w:spacing w:after="0"/>
              <w:rPr>
                <w:sz w:val="6"/>
                <w:szCs w:val="6"/>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5"/>
              </w:rPr>
              <w:t>Payout at</w:t>
            </w:r>
          </w:p>
        </w:tc>
        <w:tc>
          <w:tcPr>
            <w:tcW w:w="0" w:type="dxa"/>
            <w:vAlign w:val="bottom"/>
          </w:tcPr>
          <w:p>
            <w:pPr>
              <w:spacing w:after="0"/>
              <w:rPr>
                <w:sz w:val="1"/>
                <w:szCs w:val="1"/>
                <w:color w:val="auto"/>
              </w:rPr>
            </w:pPr>
          </w:p>
        </w:tc>
      </w:tr>
      <w:tr>
        <w:trPr>
          <w:trHeight w:val="52"/>
        </w:trPr>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10/31/2018*</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12/31/2018</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12/31/2019</w:t>
            </w:r>
          </w:p>
        </w:tc>
        <w:tc>
          <w:tcPr>
            <w:tcW w:w="20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12/31/2020</w:t>
            </w:r>
          </w:p>
        </w:tc>
        <w:tc>
          <w:tcPr>
            <w:tcW w:w="2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Threshold</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center"/>
              <w:ind w:left="17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379"/>
              <w:spacing w:after="0"/>
              <w:rPr>
                <w:sz w:val="20"/>
                <w:szCs w:val="20"/>
                <w:color w:val="auto"/>
              </w:rPr>
            </w:pPr>
            <w:r>
              <w:rPr>
                <w:rFonts w:ascii="Arial" w:cs="Arial" w:eastAsia="Arial" w:hAnsi="Arial"/>
                <w:sz w:val="18"/>
                <w:szCs w:val="18"/>
                <w:color w:val="auto"/>
                <w:w w:val="88"/>
              </w:rPr>
              <w:t>4,667</w:t>
            </w:r>
          </w:p>
        </w:tc>
        <w:tc>
          <w:tcPr>
            <w:tcW w:w="2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9,333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7,000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-711200</wp:posOffset>
            </wp:positionV>
            <wp:extent cx="699770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-282575</wp:posOffset>
            </wp:positionV>
            <wp:extent cx="6997700" cy="283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4040" w:space="720"/>
            <w:col w:w="6220"/>
          </w:cols>
          <w:pgMar w:left="440" w:top="270" w:right="47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2019 AND 2020 PERFORMANCE GRANTS</w:t>
      </w:r>
    </w:p>
    <w:p>
      <w:pPr>
        <w:spacing w:after="0" w:line="229"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Subject to the Executive’s continued employment, within sixty (60) days following each of January 1, 2019 and January 1, 2020 (each, a “</w:t>
      </w:r>
      <w:r>
        <w:rPr>
          <w:rFonts w:ascii="Arial" w:cs="Arial" w:eastAsia="Arial" w:hAnsi="Arial"/>
          <w:sz w:val="16"/>
          <w:szCs w:val="16"/>
          <w:u w:val="single" w:color="auto"/>
          <w:color w:val="auto"/>
        </w:rPr>
        <w:t>60-day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the Board will establish performance goals for the 2019 Grants and the 2020 Grants, respectively, and make such grants (consistent with the below allocations). The 2019 Grants and the 2020 Grants will have terms and conditions consistent with those set forth in the AOP Award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a Change in Control occurs (i) during the 60-day Period for a given year and before the applicable grant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w:t>
      </w:r>
      <w:r>
        <w:rPr>
          <w:rFonts w:ascii="Arial" w:cs="Arial" w:eastAsia="Arial" w:hAnsi="Arial"/>
          <w:sz w:val="16"/>
          <w:szCs w:val="16"/>
          <w:color w:val="auto"/>
        </w:rPr>
        <w:t xml:space="preserve">”) is made, then the Executive will receive an equity award with respect to the target number of shares for the applicable Original Grant, pursuant to an award agreement generally consistent with those applicable to other senior executives,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grant will vest on the last day of the performance period associated with the Original Grant;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Committee may instead, in its sole discretion, (x) provide executive with a cash payment equal to the per share consideration received by shareholders in the transaction multiplied by the applicable target award or</w:t>
      </w:r>
    </w:p>
    <w:p>
      <w:pPr>
        <w:spacing w:after="0" w:line="1" w:lineRule="exact"/>
        <w:rPr>
          <w:sz w:val="20"/>
          <w:szCs w:val="20"/>
          <w:color w:val="auto"/>
        </w:rPr>
      </w:pPr>
    </w:p>
    <w:p>
      <w:pPr>
        <w:ind w:right="60" w:firstLine="4"/>
        <w:spacing w:after="0" w:line="323" w:lineRule="auto"/>
        <w:tabs>
          <w:tab w:leader="none" w:pos="2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provide the Executive with a Replacement Award as contemplated by the AOP Award Agreement or (ii) prior to the year that the grant will be made, then the Board will determine the number of performance stock units that the Executive will receive in respect of such grant (if any) in its discretion.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and 2020 AOP PSU Grant and Payout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Grant</w:t>
            </w:r>
          </w:p>
        </w:tc>
        <w:tc>
          <w:tcPr>
            <w:tcW w:w="1580" w:type="dxa"/>
            <w:vAlign w:val="bottom"/>
          </w:tcPr>
          <w:p>
            <w:pPr>
              <w:spacing w:after="0"/>
              <w:rPr>
                <w:sz w:val="14"/>
                <w:szCs w:val="14"/>
                <w:color w:val="auto"/>
              </w:rPr>
            </w:pPr>
          </w:p>
        </w:tc>
        <w:tc>
          <w:tcPr>
            <w:tcW w:w="1660" w:type="dxa"/>
            <w:vAlign w:val="bottom"/>
          </w:tcPr>
          <w:p>
            <w:pPr>
              <w:jc w:val="right"/>
              <w:ind w:right="139"/>
              <w:spacing w:after="0"/>
              <w:rPr>
                <w:sz w:val="20"/>
                <w:szCs w:val="20"/>
                <w:color w:val="auto"/>
              </w:rPr>
            </w:pPr>
            <w:r>
              <w:rPr>
                <w:rFonts w:ascii="Arial" w:cs="Arial" w:eastAsia="Arial" w:hAnsi="Arial"/>
                <w:sz w:val="14"/>
                <w:szCs w:val="14"/>
                <w:b w:val="1"/>
                <w:bCs w:val="1"/>
                <w:color w:val="auto"/>
              </w:rPr>
              <w:t>Performance Period</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Payout at Threshold</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Payout at Target</w:t>
            </w:r>
          </w:p>
        </w:tc>
        <w:tc>
          <w:tcPr>
            <w:tcW w:w="1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Payout at Maximum</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Grant</w:t>
            </w:r>
          </w:p>
        </w:tc>
        <w:tc>
          <w:tcPr>
            <w:tcW w:w="15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1/1/2019 ~ 12/31/2019</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4,667</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9,333</w:t>
            </w: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14,000</w:t>
            </w: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2020 Grant</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1/1/2020 ~ 12/31/2020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4,667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9,333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229"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Employment</w:t>
      </w:r>
    </w:p>
    <w:tbl>
      <w:tblPr>
        <w:tblLayout w:type="fixed"/>
        <w:tblInd w:w="0" w:type="dxa"/>
        <w:tblCellMar>
          <w:top w:w="0" w:type="dxa"/>
          <w:left w:w="0" w:type="dxa"/>
          <w:bottom w:w="0" w:type="dxa"/>
          <w:right w:w="0" w:type="dxa"/>
        </w:tblCellMar>
      </w:tblPr>
      <w:tr>
        <w:trPr>
          <w:trHeight w:val="176"/>
        </w:trPr>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Agreement dated [</w:t>
            </w:r>
          </w:p>
        </w:tc>
        <w:tc>
          <w:tcPr>
            <w:tcW w:w="8800" w:type="dxa"/>
            <w:vAlign w:val="bottom"/>
            <w:gridSpan w:val="5"/>
          </w:tcPr>
          <w:p>
            <w:pPr>
              <w:ind w:left="80"/>
              <w:spacing w:after="0" w:line="176" w:lineRule="exact"/>
              <w:rPr>
                <w:sz w:val="20"/>
                <w:szCs w:val="20"/>
                <w:color w:val="auto"/>
              </w:rPr>
            </w:pPr>
            <w:r>
              <w:rPr>
                <w:rFonts w:ascii="Arial" w:cs="Arial" w:eastAsia="Arial" w:hAnsi="Arial"/>
                <w:sz w:val="18"/>
                <w:szCs w:val="18"/>
                <w:color w:val="auto"/>
                <w:w w:val="91"/>
              </w:rPr>
              <w:t>], 2018, between MagnaChip Semiconductor, Ltd. (the “Company), MagnaChip Semiconductor Corporation, a Delaware</w:t>
            </w:r>
          </w:p>
        </w:tc>
      </w:tr>
      <w:tr>
        <w:trPr>
          <w:trHeight w:val="196"/>
        </w:trPr>
        <w:tc>
          <w:tcPr>
            <w:tcW w:w="2160" w:type="dxa"/>
            <w:vAlign w:val="bottom"/>
            <w:gridSpan w:val="3"/>
          </w:tcPr>
          <w:p>
            <w:pPr>
              <w:spacing w:after="0" w:line="196" w:lineRule="exact"/>
              <w:rPr>
                <w:sz w:val="20"/>
                <w:szCs w:val="20"/>
                <w:color w:val="auto"/>
              </w:rPr>
            </w:pPr>
            <w:r>
              <w:rPr>
                <w:rFonts w:ascii="Arial" w:cs="Arial" w:eastAsia="Arial" w:hAnsi="Arial"/>
                <w:sz w:val="18"/>
                <w:szCs w:val="18"/>
                <w:color w:val="auto"/>
                <w:w w:val="96"/>
              </w:rPr>
              <w:t>corporation (“Parent”), and [</w:t>
            </w:r>
          </w:p>
        </w:tc>
        <w:tc>
          <w:tcPr>
            <w:tcW w:w="4140" w:type="dxa"/>
            <w:vAlign w:val="bottom"/>
            <w:gridSpan w:val="3"/>
          </w:tcPr>
          <w:p>
            <w:pPr>
              <w:ind w:left="820"/>
              <w:spacing w:after="0" w:line="196" w:lineRule="exact"/>
              <w:rPr>
                <w:sz w:val="20"/>
                <w:szCs w:val="20"/>
                <w:color w:val="auto"/>
              </w:rPr>
            </w:pPr>
            <w:r>
              <w:rPr>
                <w:rFonts w:ascii="Arial" w:cs="Arial" w:eastAsia="Arial" w:hAnsi="Arial"/>
                <w:sz w:val="18"/>
                <w:szCs w:val="18"/>
                <w:color w:val="auto"/>
              </w:rPr>
              <w:t>] (my “Employment Agreement”).</w:t>
            </w:r>
          </w:p>
        </w:tc>
        <w:tc>
          <w:tcPr>
            <w:tcW w:w="700" w:type="dxa"/>
            <w:vAlign w:val="bottom"/>
            <w:tcBorders>
              <w:top w:val="single" w:sz="8" w:color="auto"/>
            </w:tcBorders>
          </w:tcPr>
          <w:p>
            <w:pPr>
              <w:spacing w:after="0"/>
              <w:rPr>
                <w:sz w:val="17"/>
                <w:szCs w:val="17"/>
                <w:color w:val="auto"/>
              </w:rPr>
            </w:pPr>
          </w:p>
        </w:tc>
        <w:tc>
          <w:tcPr>
            <w:tcW w:w="39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and in consideration of the payments and benefits under Section 5(b) of the Employment Agreement, and other good and valuable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consideration, I, for and on behalf of myself and my executors, heirs, administrators, representatives, and assigns, hereby agree to release and forever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discharge the Company, Parent and all of their respective predecessors, successors, and past, current, and future parent entities, affiliates,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entities, investors, directors, shareholders, members, officers, general or limited partners, employees, attorneys, agents, and representatives,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benefit plans in which I am or have been a participant by virtue of my employment with or service to the Company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arising or occurring on or prior to the date hereof and arising directly or indirectly out of, relating to, or in any other way involving in any manner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whatsoever my employment by or service to the Company or the termination thereof, including without limitation any and all claims arising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national, federal, provincial, state, or local laws relating to employment, including without limitation claims of wrongful discharge, breach of express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implied contract, fraud, misrepresentation, defamation, intentional infliction of emotional distress, or liability in tort, and claims of any kind that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brought in any court or administrative agency, and any related claims for attorneys’ fees and costs, including, without limitation, claims under Title VII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Civil Rights Act of 1964, as amended, 42 U.S.C. Section 2000, et seq.; the Americans with Disabilities Act, as amended, 42 U.S.C. § 12101 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seq.; the Rehabilitation Act of 1973, as amended, 29 U.S.C. § 701 et seq.; the Civil Rights Act of 1866, and the Civil Rights Act of 1991; 42 U.S.C.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1981, et seq.; the Age Discrimination in Employment Act, as amended, 29 U.S.C. Section 621, et seq. (the “</w:t>
      </w:r>
      <w:r>
        <w:rPr>
          <w:rFonts w:ascii="Arial" w:cs="Arial" w:eastAsia="Arial" w:hAnsi="Arial"/>
          <w:sz w:val="17"/>
          <w:szCs w:val="17"/>
          <w:u w:val="single" w:color="auto"/>
          <w:color w:val="auto"/>
        </w:rPr>
        <w:t>ADEA</w:t>
      </w:r>
      <w:r>
        <w:rPr>
          <w:rFonts w:ascii="Arial" w:cs="Arial" w:eastAsia="Arial" w:hAnsi="Arial"/>
          <w:sz w:val="17"/>
          <w:szCs w:val="17"/>
          <w:color w:val="auto"/>
        </w:rPr>
        <w:t>”); the Equal Pay Act,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29 U.S.C. Section 206(d); regulations of the Office of Federal Contract Compliance, 41 C.F.R. Section 60, et seq.; the Family and Medical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Leave Act, as amended, 29 U.S.C. § 2601 et seq.; the Fair Labor Standards Act of 1938, as amended, 29 U.S.C. § 201 et seq.; the Employee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Security Act, as amended, 29 U.S.C. § 1001 et seq.; and any similar national, provincial, state, or local laws of the United States, the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or any other jurisdiction. I agree further that this Release may be pleaded as a full defense to any action, suit, arbitration, or other proceeding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covered by the terms hereof that is or may be initiated, prosecuted, or maintained by me or my descendants, dependents, heirs, executors, administrators,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assigns. By signing this Release, I acknowledge that I intend to waive and release all rights known or unknown that I may have against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Releasees under these and any other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108" w:name="page109"/>
    <w:bookmarkEnd w:id="108"/>
    <w:p>
      <w:pPr>
        <w:ind w:right="6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Arial" w:cs="Arial" w:eastAsia="Arial" w:hAnsi="Arial"/>
          <w:sz w:val="16"/>
          <w:szCs w:val="16"/>
          <w:u w:val="single" w:color="auto"/>
          <w:color w:val="auto"/>
        </w:rPr>
        <w:t>Proceeding</w:t>
      </w:r>
      <w:r>
        <w:rPr>
          <w:rFonts w:ascii="Arial" w:cs="Arial" w:eastAsia="Arial" w:hAnsi="Arial"/>
          <w:sz w:val="16"/>
          <w:szCs w:val="16"/>
          <w:color w:val="auto"/>
        </w:rPr>
        <w:t>”). I</w:t>
      </w:r>
    </w:p>
    <w:p>
      <w:pPr>
        <w:ind w:firstLine="4"/>
        <w:spacing w:after="0" w:line="253" w:lineRule="auto"/>
        <w:tabs>
          <w:tab w:leader="none" w:pos="2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including any Proceeding conducted by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9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Notwithstanding the generality of the foregoing, I do not release (i) claims to receive payments and benefits under Section 5(b) of the Employment Agreement in accordance with the terms of the Employment Agreement, (ii) claims for indemnification arising under any applicable indemnification obligation of the Company, (iii) any vested rights I may have under any qualified employee benefit plans, programs or policies of the Company and any of its Affiliates,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but not limited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Nothing in this Agreement, or any other agreement with the Company, prohibits or is intended in any manner to prohibit, me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my right to receive an award (including, without limitation,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109" w:name="page110"/>
    <w:bookmarkEnd w:id="109"/>
    <w:p>
      <w:pPr>
        <w:ind w:right="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3"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 acknowledge that I have been given at least [21]/[45]</w:t>
      </w:r>
      <w:r>
        <w:rPr>
          <w:rFonts w:ascii="Arial" w:cs="Arial" w:eastAsia="Arial" w:hAnsi="Arial"/>
          <w:sz w:val="14"/>
          <w:szCs w:val="14"/>
          <w:color w:val="auto"/>
        </w:rPr>
        <w:t>1</w:t>
      </w:r>
      <w:r>
        <w:rPr>
          <w:rFonts w:ascii="Arial" w:cs="Arial" w:eastAsia="Arial" w:hAnsi="Arial"/>
          <w:sz w:val="17"/>
          <w:szCs w:val="17"/>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[21]/[45] days have elapsed, I do so knowingly, voluntarily, and upon the advice and with the approval of my legal counsel (if any), and that I voluntarily waive any remaining consideration period.</w:t>
      </w:r>
    </w:p>
    <w:p>
      <w:pPr>
        <w:spacing w:after="0" w:line="17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1"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Employment Agreement unless this Release is effective on or before the date that is 60 days following the Date of Termination (as defined in the Employment Agreement).</w:t>
      </w:r>
    </w:p>
    <w:p>
      <w:pPr>
        <w:spacing w:after="0" w:line="14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I hereby agree to waive any and all claims to re-employment with the Company or any of its affiliates and affirmatively agree not to seek further employment with the Company or any of its affiliates.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94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620" w:hanging="436"/>
        <w:spacing w:after="0" w:line="277" w:lineRule="auto"/>
        <w:tabs>
          <w:tab w:leader="none" w:pos="44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NTD: To be selected based on whether applicable termination was “in connection with an exit incentive or other employment termination program” (as such phrase is defined in the Age Discrimination in Employment Act of 1967).</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321310</wp:posOffset>
            </wp:positionV>
            <wp:extent cx="2795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80"/>
          </w:cols>
          <w:pgMar w:left="440" w:top="274" w:right="11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22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4" w:lineRule="exact"/>
        <w:rPr>
          <w:sz w:val="20"/>
          <w:szCs w:val="20"/>
          <w:color w:val="auto"/>
        </w:rPr>
      </w:pPr>
    </w:p>
    <w:p>
      <w:pPr>
        <w:ind w:left="620" w:hanging="176"/>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44"/>
        <w:spacing w:after="0"/>
        <w:tabs>
          <w:tab w:leader="none" w:pos="168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36"/>
        <w:spacing w:after="0" w:line="277" w:lineRule="auto"/>
        <w:tabs>
          <w:tab w:leader="none" w:pos="1687"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58" w:lineRule="exact"/>
        <w:rPr>
          <w:sz w:val="20"/>
          <w:szCs w:val="20"/>
          <w:color w:val="auto"/>
        </w:rPr>
      </w:pPr>
    </w:p>
    <w:p>
      <w:pPr>
        <w:ind w:right="30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620" w:hanging="176"/>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4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2" w:name="page113"/>
    <w:bookmarkEnd w:id="112"/>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0" w:right="80" w:firstLine="1436"/>
        <w:spacing w:after="0" w:line="257" w:lineRule="auto"/>
        <w:tabs>
          <w:tab w:leader="none" w:pos="16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left="-40" w:firstLine="1436"/>
        <w:spacing w:after="0" w:line="293" w:lineRule="auto"/>
        <w:tabs>
          <w:tab w:leader="none" w:pos="164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 ], 2018) and prior to the settlement of the Award, the Participant will vest in a pro rata portion of the next tranche of Restricted Stock Units scheduled to vest hereunder, determined by multiplying the number of unvested Restricted Stock Units in such tranche by a fraction, the numerator of which is the number of full months from the last vesting date (or, if none, the Grant Date) to the date of such termination and the denominator of which is the number of full months from the last vesting date (or, if none, the Grant Date) to the next vesting date.</w:t>
      </w:r>
    </w:p>
    <w:p>
      <w:pPr>
        <w:spacing w:after="0" w:line="56" w:lineRule="exact"/>
        <w:rPr>
          <w:rFonts w:ascii="Arial" w:cs="Arial" w:eastAsia="Arial" w:hAnsi="Arial"/>
          <w:sz w:val="16"/>
          <w:szCs w:val="16"/>
          <w:color w:val="auto"/>
        </w:rPr>
      </w:pPr>
    </w:p>
    <w:p>
      <w:pPr>
        <w:ind w:left="1640" w:hanging="244"/>
        <w:spacing w:after="0"/>
        <w:tabs>
          <w:tab w:leader="none" w:pos="1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unvested Units will fully vest on the date of such termination.</w:t>
      </w:r>
    </w:p>
    <w:p>
      <w:pPr>
        <w:spacing w:after="0" w:line="117" w:lineRule="exact"/>
        <w:rPr>
          <w:rFonts w:ascii="Arial" w:cs="Arial" w:eastAsia="Arial" w:hAnsi="Arial"/>
          <w:sz w:val="18"/>
          <w:szCs w:val="18"/>
          <w:color w:val="auto"/>
        </w:rPr>
      </w:pPr>
    </w:p>
    <w:p>
      <w:pPr>
        <w:ind w:left="-40" w:right="20" w:firstLine="1436"/>
        <w:spacing w:after="0" w:line="264" w:lineRule="auto"/>
        <w:tabs>
          <w:tab w:leader="none" w:pos="164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2.2(b) or (c). Further, all unvested Units will be forfeited and cancelled and the Participant will not be entitled to any compensation or other amount with respect thereto.</w:t>
      </w:r>
    </w:p>
    <w:p>
      <w:pPr>
        <w:spacing w:after="0" w:line="73" w:lineRule="exact"/>
        <w:rPr>
          <w:rFonts w:ascii="Arial" w:cs="Arial" w:eastAsia="Arial" w:hAnsi="Arial"/>
          <w:sz w:val="18"/>
          <w:szCs w:val="18"/>
          <w:color w:val="auto"/>
        </w:rPr>
      </w:pPr>
    </w:p>
    <w:p>
      <w:pPr>
        <w:ind w:left="-40" w:right="80" w:firstLine="1436"/>
        <w:spacing w:after="0" w:line="277" w:lineRule="auto"/>
        <w:tabs>
          <w:tab w:leader="none" w:pos="16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0" w:right="180" w:firstLine="1436"/>
        <w:spacing w:after="0" w:line="277" w:lineRule="auto"/>
        <w:tabs>
          <w:tab w:leader="none" w:pos="16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60" w:hanging="264"/>
        <w:spacing w:after="0"/>
        <w:tabs>
          <w:tab w:leader="none" w:pos="1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right="20" w:firstLine="1436"/>
        <w:spacing w:after="0" w:line="264" w:lineRule="auto"/>
        <w:tabs>
          <w:tab w:leader="none" w:pos="164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80" w:top="270" w:right="459" w:bottom="1440" w:gutter="0" w:footer="0" w:header="0"/>
        </w:sectPr>
      </w:pPr>
    </w:p>
    <w:bookmarkStart w:id="113" w:name="page114"/>
    <w:bookmarkEnd w:id="113"/>
    <w:p>
      <w:pPr>
        <w:ind w:left="-20" w:right="20" w:firstLine="1436"/>
        <w:spacing w:after="0" w:line="308" w:lineRule="auto"/>
        <w:tabs>
          <w:tab w:leader="none" w:pos="1628"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20" w:right="200" w:firstLine="1436"/>
        <w:spacing w:after="0" w:line="264" w:lineRule="auto"/>
        <w:tabs>
          <w:tab w:leader="none" w:pos="16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20" w:right="180" w:firstLine="1436"/>
        <w:spacing w:after="0" w:line="264" w:lineRule="auto"/>
        <w:tabs>
          <w:tab w:leader="none" w:pos="16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20" w:right="260" w:firstLine="1436"/>
        <w:spacing w:after="0" w:line="277" w:lineRule="auto"/>
        <w:tabs>
          <w:tab w:leader="none" w:pos="17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20" w:right="120" w:firstLine="1436"/>
        <w:spacing w:after="0" w:line="297" w:lineRule="auto"/>
        <w:tabs>
          <w:tab w:leader="none" w:pos="166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r>
        <w:rPr>
          <w:rFonts w:ascii="Arial" w:cs="Arial" w:eastAsia="Arial" w:hAnsi="Arial"/>
          <w:sz w:val="18"/>
          <w:szCs w:val="18"/>
          <w:color w:val="auto"/>
        </w:rPr>
        <w:t>.</w:t>
      </w:r>
    </w:p>
    <w:p>
      <w:pPr>
        <w:spacing w:after="0" w:line="117" w:lineRule="exact"/>
        <w:rPr>
          <w:sz w:val="20"/>
          <w:szCs w:val="20"/>
          <w:color w:val="auto"/>
        </w:rPr>
      </w:pPr>
    </w:p>
    <w:p>
      <w:pPr>
        <w:jc w:val="both"/>
        <w:ind w:left="-20" w:right="20" w:firstLine="1436"/>
        <w:spacing w:after="0" w:line="261" w:lineRule="auto"/>
        <w:tabs>
          <w:tab w:leader="none" w:pos="1657"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71" w:lineRule="exact"/>
        <w:rPr>
          <w:rFonts w:ascii="Arial" w:cs="Arial" w:eastAsia="Arial" w:hAnsi="Arial"/>
          <w:sz w:val="18"/>
          <w:szCs w:val="18"/>
          <w:color w:val="auto"/>
        </w:rPr>
      </w:pPr>
    </w:p>
    <w:p>
      <w:pPr>
        <w:ind w:left="-20" w:firstLine="1436"/>
        <w:spacing w:after="0" w:line="255" w:lineRule="auto"/>
        <w:tabs>
          <w:tab w:leader="none" w:pos="1667"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MAY HAVE DIFFERENT DATA PRIVACY LAWS AND PROTECTIONS THAN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REQUEST A LIST WITH THE NAMES AND ADDRESSES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POSSESS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RETAIN AND TRANSFER THE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 ELECTRONIC OR OTHER FORM</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MAY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AT ANY TIME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VIEW</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REQUEST ADDITIONAL INFORMATION ABOUT THE STORAGE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ABILITY TO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RESOURCES REPRESENTATIVE</w:t>
      </w:r>
      <w:r>
        <w:rPr>
          <w:rFonts w:ascii="Arial" w:cs="Arial" w:eastAsia="Arial" w:hAnsi="Arial"/>
          <w:sz w:val="18"/>
          <w:szCs w:val="18"/>
          <w:b w:val="1"/>
          <w:bCs w:val="1"/>
          <w:color w:val="auto"/>
        </w:rPr>
        <w:t>.</w:t>
      </w:r>
    </w:p>
    <w:p>
      <w:pPr>
        <w:spacing w:after="0" w:line="198" w:lineRule="exact"/>
        <w:rPr>
          <w:sz w:val="20"/>
          <w:szCs w:val="20"/>
          <w:color w:val="auto"/>
        </w:rPr>
      </w:pPr>
    </w:p>
    <w:p>
      <w:pPr>
        <w:ind w:left="620" w:hanging="176"/>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88" w:lineRule="exact"/>
        <w:rPr>
          <w:sz w:val="20"/>
          <w:szCs w:val="20"/>
          <w:color w:val="auto"/>
        </w:rPr>
      </w:pPr>
    </w:p>
    <w:p>
      <w:pPr>
        <w:ind w:left="620" w:hanging="176"/>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15" w:name="page116"/>
    <w:bookmarkEnd w:id="115"/>
    <w:p>
      <w:pPr>
        <w:ind w:firstLine="88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62" w:lineRule="exact"/>
        <w:rPr>
          <w:sz w:val="20"/>
          <w:szCs w:val="20"/>
          <w:color w:val="auto"/>
        </w:rPr>
      </w:pPr>
    </w:p>
    <w:p>
      <w:pPr>
        <w:ind w:left="620" w:hanging="176"/>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0" w:lineRule="exact"/>
        <w:rPr>
          <w:sz w:val="20"/>
          <w:szCs w:val="20"/>
          <w:color w:val="auto"/>
        </w:rPr>
      </w:pPr>
    </w:p>
    <w:p>
      <w:pPr>
        <w:ind w:left="620" w:hanging="176"/>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0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142" w:lineRule="exact"/>
        <w:rPr>
          <w:sz w:val="20"/>
          <w:szCs w:val="20"/>
          <w:color w:val="auto"/>
        </w:rPr>
      </w:pPr>
    </w:p>
    <w:p>
      <w:pPr>
        <w:ind w:left="620" w:hanging="176"/>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the Award.</w:t>
      </w:r>
    </w:p>
    <w:p>
      <w:pPr>
        <w:spacing w:after="0" w:line="117"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15th of the calendar year of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16" w:name="page117"/>
    <w:bookmarkEnd w:id="116"/>
    <w:p>
      <w:pPr>
        <w:ind w:firstLine="88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225" w:lineRule="exact"/>
        <w:rPr>
          <w:sz w:val="20"/>
          <w:szCs w:val="20"/>
          <w:color w:val="auto"/>
        </w:rPr>
      </w:pPr>
    </w:p>
    <w:p>
      <w:pPr>
        <w:ind w:left="620" w:hanging="176"/>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17" w:name="page118"/>
    <w:bookmarkEnd w:id="117"/>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100" w:firstLine="4"/>
        <w:spacing w:after="0" w:line="269" w:lineRule="auto"/>
        <w:tabs>
          <w:tab w:leader="none" w:pos="2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7"/>
          <w:szCs w:val="17"/>
          <w:b w:val="1"/>
          <w:bCs w:val="1"/>
          <w:i w:val="1"/>
          <w:iCs w:val="1"/>
          <w:color w:val="auto"/>
        </w:rPr>
        <w:t>Retained Share Amount</w:t>
      </w:r>
      <w:r>
        <w:rPr>
          <w:rFonts w:ascii="Arial" w:cs="Arial" w:eastAsia="Arial" w:hAnsi="Arial"/>
          <w:sz w:val="17"/>
          <w:szCs w:val="17"/>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66" w:lineRule="exact"/>
        <w:rPr>
          <w:sz w:val="20"/>
          <w:szCs w:val="20"/>
          <w:color w:val="auto"/>
        </w:rPr>
      </w:pPr>
    </w:p>
    <w:p>
      <w:pPr>
        <w:ind w:left="620" w:hanging="176"/>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Award shall be subject to the terms of Sections 13(b) and 13(c) of the Plan in the event of a Change in Control.</w:t>
      </w:r>
    </w:p>
    <w:p>
      <w:pPr>
        <w:spacing w:after="0" w:line="221" w:lineRule="exact"/>
        <w:rPr>
          <w:sz w:val="20"/>
          <w:szCs w:val="20"/>
          <w:color w:val="auto"/>
        </w:rPr>
      </w:pPr>
    </w:p>
    <w:p>
      <w:pPr>
        <w:ind w:left="720" w:hanging="276"/>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8" w:name="page119"/>
    <w:bookmarkEnd w:id="11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74" w:lineRule="exact"/>
        <w:rPr>
          <w:sz w:val="20"/>
          <w:szCs w:val="20"/>
          <w:color w:val="auto"/>
        </w:rPr>
      </w:pPr>
    </w:p>
    <w:p>
      <w:pPr>
        <w:ind w:left="700" w:hanging="256"/>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720" w:hanging="27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20" w:hanging="276"/>
        <w:spacing w:after="0"/>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9" w:name="page120"/>
    <w:bookmarkEnd w:id="119"/>
    <w:p>
      <w:pPr>
        <w:ind w:right="120" w:firstLine="88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6"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80" w:firstLine="88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1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91" w:lineRule="auto"/>
        <w:tabs>
          <w:tab w:leader="none" w:pos="1687" w:val="left"/>
        </w:tabs>
        <w:numPr>
          <w:ilvl w:val="0"/>
          <w:numId w:val="1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20" w:name="page121"/>
    <w:bookmarkEnd w:id="120"/>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35"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6"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52" w:lineRule="exact"/>
        <w:rPr>
          <w:sz w:val="20"/>
          <w:szCs w:val="20"/>
          <w:color w:val="auto"/>
        </w:rPr>
      </w:pPr>
    </w:p>
    <w:p>
      <w:pPr>
        <w:ind w:left="440" w:hanging="436"/>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4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30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66" w:lineRule="exact"/>
        <w:rPr>
          <w:sz w:val="20"/>
          <w:szCs w:val="20"/>
          <w:color w:val="auto"/>
        </w:rPr>
      </w:pPr>
    </w:p>
    <w:p>
      <w:pPr>
        <w:ind w:left="620" w:hanging="176"/>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44"/>
        <w:spacing w:after="0"/>
        <w:tabs>
          <w:tab w:leader="none" w:pos="168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36"/>
        <w:spacing w:after="0" w:line="277" w:lineRule="auto"/>
        <w:tabs>
          <w:tab w:leader="none" w:pos="1687"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58" w:lineRule="exact"/>
        <w:rPr>
          <w:sz w:val="20"/>
          <w:szCs w:val="20"/>
          <w:color w:val="auto"/>
        </w:rPr>
      </w:pPr>
    </w:p>
    <w:p>
      <w:pPr>
        <w:ind w:right="30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24" w:name="page125"/>
    <w:bookmarkEnd w:id="124"/>
    <w:p>
      <w:pPr>
        <w:ind w:left="620" w:hanging="176"/>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2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right="80" w:firstLine="1436"/>
        <w:spacing w:after="0" w:line="257" w:lineRule="auto"/>
        <w:tabs>
          <w:tab w:leader="none" w:pos="16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firstLine="1436"/>
        <w:spacing w:after="0" w:line="268" w:lineRule="auto"/>
        <w:tabs>
          <w:tab w:leader="none" w:pos="168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[__],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portion of the Restricted Stock Units remaining outstanding and unvested immediately prior to the Change in Control (after application of the foregoing provisions of this Section 2.2(b)) that are eligible to vest and become non-forfeitable (“</w:t>
      </w:r>
      <w:r>
        <w:rPr>
          <w:rFonts w:ascii="Arial" w:cs="Arial" w:eastAsia="Arial" w:hAnsi="Arial"/>
          <w:sz w:val="17"/>
          <w:szCs w:val="17"/>
          <w:b w:val="1"/>
          <w:bCs w:val="1"/>
          <w:i w:val="1"/>
          <w:iCs w:val="1"/>
          <w:color w:val="auto"/>
        </w:rPr>
        <w:t>CIC Post-Termination Units</w:t>
      </w:r>
      <w:r>
        <w:rPr>
          <w:rFonts w:ascii="Arial" w:cs="Arial" w:eastAsia="Arial" w:hAnsi="Arial"/>
          <w:sz w:val="17"/>
          <w:szCs w:val="17"/>
          <w:color w:val="auto"/>
        </w:rPr>
        <w:t>”) will be determined as of the date of the Change in Control in accordance with Exhibit A to the Grant Notice and the date of the Change in Control will serve as the last day of the Performance Period for purposes of such determination. The CIC Post-Termination Units, if any, will vest immediately upon the occurrence of the Change in Control.</w:t>
      </w:r>
    </w:p>
    <w:p>
      <w:pPr>
        <w:spacing w:after="0" w:line="77" w:lineRule="exact"/>
        <w:rPr>
          <w:rFonts w:ascii="Arial" w:cs="Arial" w:eastAsia="Arial" w:hAnsi="Arial"/>
          <w:sz w:val="17"/>
          <w:szCs w:val="17"/>
          <w:color w:val="auto"/>
        </w:rPr>
      </w:pPr>
    </w:p>
    <w:p>
      <w:pPr>
        <w:ind w:right="200" w:firstLine="1436"/>
        <w:spacing w:after="0" w:line="277" w:lineRule="auto"/>
        <w:tabs>
          <w:tab w:leader="none" w:pos="16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w:t>
      </w:r>
    </w:p>
    <w:p>
      <w:pPr>
        <w:spacing w:after="0" w:line="62" w:lineRule="exact"/>
        <w:rPr>
          <w:rFonts w:ascii="Arial" w:cs="Arial" w:eastAsia="Arial" w:hAnsi="Arial"/>
          <w:sz w:val="18"/>
          <w:szCs w:val="18"/>
          <w:color w:val="auto"/>
        </w:rPr>
      </w:pPr>
    </w:p>
    <w:p>
      <w:pPr>
        <w:ind w:right="160" w:firstLine="1436"/>
        <w:spacing w:after="0" w:line="264" w:lineRule="auto"/>
        <w:tabs>
          <w:tab w:leader="none" w:pos="168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25" w:name="page126"/>
    <w:bookmarkEnd w:id="125"/>
    <w:p>
      <w:pPr>
        <w:ind w:left="-40" w:right="60" w:firstLine="1436"/>
        <w:spacing w:after="0" w:line="277" w:lineRule="auto"/>
        <w:tabs>
          <w:tab w:leader="none" w:pos="1637"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0" w:right="160" w:firstLine="1436"/>
        <w:spacing w:after="0" w:line="277" w:lineRule="auto"/>
        <w:tabs>
          <w:tab w:leader="none" w:pos="16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60" w:hanging="264"/>
        <w:spacing w:after="0"/>
        <w:tabs>
          <w:tab w:leader="none" w:pos="1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firstLine="1436"/>
        <w:spacing w:after="0" w:line="264" w:lineRule="auto"/>
        <w:tabs>
          <w:tab w:leader="none" w:pos="1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ind w:left="-40" w:firstLine="1436"/>
        <w:spacing w:after="0" w:line="308" w:lineRule="auto"/>
        <w:tabs>
          <w:tab w:leader="none" w:pos="160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40" w:right="180" w:firstLine="1436"/>
        <w:spacing w:after="0" w:line="264" w:lineRule="auto"/>
        <w:tabs>
          <w:tab w:leader="none" w:pos="1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40" w:right="160" w:firstLine="1436"/>
        <w:spacing w:after="0" w:line="264" w:lineRule="auto"/>
        <w:tabs>
          <w:tab w:leader="none" w:pos="160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40" w:right="240" w:firstLine="1436"/>
        <w:spacing w:after="0" w:line="277" w:lineRule="auto"/>
        <w:tabs>
          <w:tab w:leader="none" w:pos="169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40" w:right="100" w:firstLine="1436"/>
        <w:spacing w:after="0" w:line="297" w:lineRule="auto"/>
        <w:tabs>
          <w:tab w:leader="none" w:pos="164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126" w:name="page127"/>
    <w:bookmarkEnd w:id="12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b w:val="1"/>
          <w:bCs w:val="1"/>
          <w:color w:val="auto"/>
        </w:rPr>
        <w:t>Data Privacy Consent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1436"/>
        <w:spacing w:after="0" w:line="261" w:lineRule="auto"/>
        <w:tabs>
          <w:tab w:leader="none" w:pos="1677" w:val="left"/>
        </w:tabs>
        <w:numPr>
          <w:ilvl w:val="1"/>
          <w:numId w:val="16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71" w:lineRule="exact"/>
        <w:rPr>
          <w:rFonts w:ascii="Arial" w:cs="Arial" w:eastAsia="Arial" w:hAnsi="Arial"/>
          <w:sz w:val="18"/>
          <w:szCs w:val="18"/>
          <w:color w:val="auto"/>
        </w:rPr>
      </w:pPr>
    </w:p>
    <w:p>
      <w:pPr>
        <w:ind w:firstLine="1436"/>
        <w:spacing w:after="0" w:line="252" w:lineRule="auto"/>
        <w:tabs>
          <w:tab w:leader="none" w:pos="1687" w:val="left"/>
        </w:tabs>
        <w:numPr>
          <w:ilvl w:val="1"/>
          <w:numId w:val="16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WHICH MAY INCLUDE AREAS OUTSIDE THE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 REQUEST A LIST WITH THE NAMES AND ADDRESSES OF ANY POTENTIAL RECIPIENTS OF</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OR MORE INFORMATION ON THE CONSEQUENCES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CONTACT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color w:val="auto"/>
        </w:rPr>
      </w:pPr>
    </w:p>
    <w:p>
      <w:pPr>
        <w:ind w:left="620" w:hanging="176"/>
        <w:spacing w:after="0"/>
        <w:tabs>
          <w:tab w:leader="none" w:pos="620"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27" w:name="page128"/>
    <w:bookmarkEnd w:id="127"/>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60" w:lineRule="exact"/>
        <w:rPr>
          <w:sz w:val="20"/>
          <w:szCs w:val="20"/>
          <w:color w:val="auto"/>
        </w:rPr>
      </w:pPr>
    </w:p>
    <w:p>
      <w:pPr>
        <w:ind w:left="620" w:hanging="176"/>
        <w:spacing w:after="0"/>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54" w:lineRule="exact"/>
        <w:rPr>
          <w:sz w:val="20"/>
          <w:szCs w:val="20"/>
          <w:color w:val="auto"/>
        </w:rPr>
      </w:pPr>
    </w:p>
    <w:p>
      <w:pPr>
        <w:ind w:left="620" w:hanging="176"/>
        <w:spacing w:after="0"/>
        <w:tabs>
          <w:tab w:leader="none" w:pos="620"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8" w:name="page129"/>
    <w:bookmarkEnd w:id="128"/>
    <w:p>
      <w:pPr>
        <w:ind w:left="620" w:hanging="176"/>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2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34" w:lineRule="exact"/>
        <w:rPr>
          <w:sz w:val="20"/>
          <w:szCs w:val="20"/>
          <w:color w:val="auto"/>
        </w:rPr>
      </w:pPr>
    </w:p>
    <w:p>
      <w:pPr>
        <w:ind w:left="620" w:hanging="176"/>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80"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29" w:name="page130"/>
    <w:bookmarkEnd w:id="129"/>
    <w:p>
      <w:pPr>
        <w:ind w:left="620" w:hanging="176"/>
        <w:spacing w:after="0"/>
        <w:tabs>
          <w:tab w:leader="none" w:pos="62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0"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40" w:firstLine="4"/>
        <w:spacing w:after="0" w:line="269" w:lineRule="auto"/>
        <w:tabs>
          <w:tab w:leader="none" w:pos="25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7"/>
          <w:szCs w:val="17"/>
          <w:b w:val="1"/>
          <w:bCs w:val="1"/>
          <w:i w:val="1"/>
          <w:iCs w:val="1"/>
          <w:color w:val="auto"/>
        </w:rPr>
        <w:t>Retained Share Amount</w:t>
      </w:r>
      <w:r>
        <w:rPr>
          <w:rFonts w:ascii="Arial" w:cs="Arial" w:eastAsia="Arial" w:hAnsi="Arial"/>
          <w:sz w:val="17"/>
          <w:szCs w:val="17"/>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0" w:right="539" w:bottom="1440" w:gutter="0" w:footer="0" w:header="0"/>
        </w:sectPr>
      </w:pPr>
    </w:p>
    <w:bookmarkStart w:id="130" w:name="page131"/>
    <w:bookmarkEnd w:id="130"/>
    <w:p>
      <w:pPr>
        <w:ind w:left="620" w:hanging="176"/>
        <w:spacing w:after="0"/>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Upon the occurrence of a Change in Control during the Performance Period where a Replacement Award (as defined below) is provided to the Participant at the time of the Change in Control in lieu of the Units, the number of Units that remain outstanding and unvested following the Change in Control and eligible to vest solely based on the passage of time will be determined as of the date of the Change in Control in accordance with Exhibit A to the Grant Notice (the “</w:t>
      </w:r>
      <w:r>
        <w:rPr>
          <w:rFonts w:ascii="Arial" w:cs="Arial" w:eastAsia="Arial" w:hAnsi="Arial"/>
          <w:sz w:val="17"/>
          <w:szCs w:val="17"/>
          <w:b w:val="1"/>
          <w:bCs w:val="1"/>
          <w:i w:val="1"/>
          <w:iCs w:val="1"/>
          <w:color w:val="auto"/>
        </w:rPr>
        <w:t>CIC Eligible Units</w:t>
      </w:r>
      <w:r>
        <w:rPr>
          <w:rFonts w:ascii="Arial" w:cs="Arial" w:eastAsia="Arial" w:hAnsi="Arial"/>
          <w:sz w:val="17"/>
          <w:szCs w:val="17"/>
          <w:color w:val="auto"/>
        </w:rPr>
        <w:t>”) and the date of the Change in Control will serve as the last day of the Performance Period for purposes of such determination. Subject to the Participant’s continuous employment, the CIC Eligible Units will vest on December 31, 2020</w:t>
      </w:r>
      <w:r>
        <w:rPr>
          <w:rFonts w:ascii="Arial" w:cs="Arial" w:eastAsia="Arial" w:hAnsi="Arial"/>
          <w:sz w:val="14"/>
          <w:szCs w:val="14"/>
          <w:color w:val="auto"/>
        </w:rPr>
        <w:t>1</w:t>
      </w:r>
      <w:r>
        <w:rPr>
          <w:rFonts w:ascii="Arial" w:cs="Arial" w:eastAsia="Arial" w:hAnsi="Arial"/>
          <w:sz w:val="17"/>
          <w:szCs w:val="17"/>
          <w:color w:val="auto"/>
        </w:rPr>
        <w:t>. Upon the occurrence of a Change in Control where a Replacement Award is not provided to the Participant in lieu of the Units, the CIC Eligible Units will vest. In either case, all Units in excess of the CIC Eligible Units shall immediately be forfeited and cancelled, and Participant shall not be entitled to any compensation or other amount with respect thereto.</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other than with respect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performance conditions as set forth in Section 9.1) or is of the same type as the Award that is replaced or adjusted by a Replacement Award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w:t>
      </w:r>
    </w:p>
    <w:p>
      <w:pPr>
        <w:spacing w:after="0" w:line="32" w:lineRule="exact"/>
        <w:rPr>
          <w:sz w:val="20"/>
          <w:szCs w:val="20"/>
          <w:color w:val="auto"/>
        </w:rPr>
      </w:pPr>
    </w:p>
    <w:p>
      <w:pPr>
        <w:ind w:firstLine="4"/>
        <w:spacing w:after="0" w:line="268" w:lineRule="auto"/>
        <w:tabs>
          <w:tab w:leader="none" w:pos="31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is subject to the same vesting schedule as the Replaced Award; (iv) relates to equity securities of the Company or its successor upon the Change in Control, or a parent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67" w:lineRule="exact"/>
        <w:rPr>
          <w:rFonts w:ascii="Arial" w:cs="Arial" w:eastAsia="Arial" w:hAnsi="Arial"/>
          <w:sz w:val="17"/>
          <w:szCs w:val="17"/>
          <w:color w:val="auto"/>
        </w:rPr>
      </w:pPr>
    </w:p>
    <w:p>
      <w:pPr>
        <w:ind w:left="720" w:hanging="276"/>
        <w:spacing w:after="0"/>
        <w:tabs>
          <w:tab w:leader="none" w:pos="720"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94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1" w:lineRule="exact"/>
        <w:rPr>
          <w:sz w:val="20"/>
          <w:szCs w:val="20"/>
          <w:color w:val="auto"/>
        </w:rPr>
      </w:pPr>
    </w:p>
    <w:p>
      <w:pPr>
        <w:ind w:left="5460" w:right="5440" w:hanging="5456"/>
        <w:spacing w:after="0" w:line="388" w:lineRule="auto"/>
        <w:tabs>
          <w:tab w:leader="none" w:pos="427" w:val="left"/>
        </w:tabs>
        <w:numPr>
          <w:ilvl w:val="0"/>
          <w:numId w:val="177"/>
        </w:numPr>
        <w:rPr>
          <w:rFonts w:ascii="Arial" w:cs="Arial" w:eastAsia="Arial" w:hAnsi="Arial"/>
          <w:sz w:val="14"/>
          <w:szCs w:val="14"/>
          <w:color w:val="auto"/>
        </w:rPr>
      </w:pPr>
      <w:r>
        <w:rPr>
          <w:rFonts w:ascii="Arial" w:cs="Arial" w:eastAsia="Arial" w:hAnsi="Arial"/>
          <w:sz w:val="16"/>
          <w:szCs w:val="16"/>
          <w:color w:val="auto"/>
        </w:rPr>
        <w:t>NTD: Last day of performance period, to be updated for future grants. 8</w:t>
      </w:r>
    </w:p>
    <w:p>
      <w:pPr>
        <w:sectPr>
          <w:pgSz w:w="11900" w:h="16838" w:orient="portrait"/>
          <w:cols w:equalWidth="0" w:num="1">
            <w:col w:w="11000"/>
          </w:cols>
          <w:pgMar w:left="440" w:top="270" w:right="459" w:bottom="1440" w:gutter="0" w:footer="0" w:header="0"/>
        </w:sectPr>
      </w:pPr>
    </w:p>
    <w:bookmarkStart w:id="131" w:name="page132"/>
    <w:bookmarkEnd w:id="131"/>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54" w:lineRule="exact"/>
        <w:rPr>
          <w:sz w:val="20"/>
          <w:szCs w:val="20"/>
          <w:color w:val="auto"/>
        </w:rPr>
      </w:pPr>
    </w:p>
    <w:p>
      <w:pPr>
        <w:ind w:left="700" w:hanging="25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80" w:lineRule="exact"/>
        <w:rPr>
          <w:sz w:val="20"/>
          <w:szCs w:val="20"/>
          <w:color w:val="auto"/>
        </w:rPr>
      </w:pPr>
    </w:p>
    <w:p>
      <w:pPr>
        <w:ind w:left="720" w:hanging="27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75" w:lineRule="exact"/>
        <w:rPr>
          <w:sz w:val="20"/>
          <w:szCs w:val="20"/>
          <w:color w:val="auto"/>
        </w:rPr>
      </w:pPr>
    </w:p>
    <w:p>
      <w:pPr>
        <w:ind w:left="720" w:hanging="27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2" w:name="page133"/>
    <w:bookmarkEnd w:id="132"/>
    <w:p>
      <w:pPr>
        <w:ind w:right="120" w:firstLine="88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6"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80" w:firstLine="88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1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73" w:lineRule="auto"/>
        <w:tabs>
          <w:tab w:leader="none" w:pos="1687" w:val="left"/>
        </w:tabs>
        <w:numPr>
          <w:ilvl w:val="0"/>
          <w:numId w:val="1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Consent to Electronic Delivery. </w:t>
      </w:r>
      <w:r>
        <w:rPr>
          <w:rFonts w:ascii="Arial" w:cs="Arial" w:eastAsia="Arial" w:hAnsi="Arial"/>
          <w:sz w:val="17"/>
          <w:szCs w:val="17"/>
          <w:color w:val="auto"/>
        </w:rPr>
        <w:t>The Participant acknowledges that the Participant has read Section 13.5(a)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133" w:name="page134"/>
    <w:bookmarkEnd w:id="13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76"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6"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w:t>
      </w:r>
      <w:r>
        <w:rPr>
          <w:rFonts w:ascii="Arial" w:cs="Arial" w:eastAsia="Arial" w:hAnsi="Arial"/>
          <w:sz w:val="18"/>
          <w:szCs w:val="18"/>
          <w:color w:val="auto"/>
        </w:rPr>
        <w:t>s</w:t>
      </w:r>
    </w:p>
    <w:p>
      <w:pPr>
        <w:spacing w:after="0" w:line="252" w:lineRule="exact"/>
        <w:rPr>
          <w:sz w:val="20"/>
          <w:szCs w:val="20"/>
          <w:color w:val="auto"/>
        </w:rPr>
      </w:pPr>
    </w:p>
    <w:p>
      <w:pPr>
        <w:ind w:left="440" w:hanging="436"/>
        <w:spacing w:after="0"/>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4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(AOP PERFORMANCE)</w:t>
      </w:r>
    </w:p>
    <w:p>
      <w:pPr>
        <w:spacing w:after="0" w:line="211" w:lineRule="exact"/>
        <w:rPr>
          <w:sz w:val="20"/>
          <w:szCs w:val="20"/>
          <w:color w:val="auto"/>
        </w:rPr>
      </w:pPr>
    </w:p>
    <w:p>
      <w:pPr>
        <w:ind w:right="280" w:firstLine="88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AOP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4" w:lineRule="exact"/>
        <w:rPr>
          <w:sz w:val="20"/>
          <w:szCs w:val="20"/>
          <w:color w:val="auto"/>
        </w:rPr>
      </w:pPr>
    </w:p>
    <w:p>
      <w:pPr>
        <w:ind w:left="620" w:hanging="176"/>
        <w:spacing w:after="0"/>
        <w:tabs>
          <w:tab w:leader="none" w:pos="62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44"/>
        <w:spacing w:after="0"/>
        <w:tabs>
          <w:tab w:leader="none" w:pos="1680"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36"/>
        <w:spacing w:after="0" w:line="277" w:lineRule="auto"/>
        <w:tabs>
          <w:tab w:leader="none" w:pos="1687"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58" w:lineRule="exact"/>
        <w:rPr>
          <w:sz w:val="20"/>
          <w:szCs w:val="20"/>
          <w:color w:val="auto"/>
        </w:rPr>
      </w:pPr>
    </w:p>
    <w:p>
      <w:pPr>
        <w:ind w:right="300" w:firstLine="88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620" w:hanging="176"/>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40" w:firstLine="88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37" w:name="page138"/>
    <w:bookmarkEnd w:id="137"/>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b w:val="1"/>
          <w:bCs w:val="1"/>
          <w:color w:val="auto"/>
        </w:rPr>
        <w:t>Employment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0" w:right="80" w:firstLine="1436"/>
        <w:spacing w:after="0" w:line="257" w:lineRule="auto"/>
        <w:tabs>
          <w:tab w:leader="none" w:pos="16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80" w:lineRule="exact"/>
        <w:rPr>
          <w:rFonts w:ascii="Arial" w:cs="Arial" w:eastAsia="Arial" w:hAnsi="Arial"/>
          <w:sz w:val="18"/>
          <w:szCs w:val="18"/>
          <w:color w:val="auto"/>
        </w:rPr>
      </w:pPr>
    </w:p>
    <w:p>
      <w:pPr>
        <w:ind w:left="-40" w:firstLine="1436"/>
        <w:spacing w:after="0" w:line="269" w:lineRule="auto"/>
        <w:tabs>
          <w:tab w:leader="none" w:pos="164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[__],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w:t>
      </w:r>
    </w:p>
    <w:p>
      <w:pPr>
        <w:spacing w:after="0" w:line="71" w:lineRule="exact"/>
        <w:rPr>
          <w:rFonts w:ascii="Arial" w:cs="Arial" w:eastAsia="Arial" w:hAnsi="Arial"/>
          <w:sz w:val="17"/>
          <w:szCs w:val="17"/>
          <w:color w:val="auto"/>
        </w:rPr>
      </w:pPr>
    </w:p>
    <w:p>
      <w:pPr>
        <w:ind w:left="-40" w:right="200" w:firstLine="1436"/>
        <w:spacing w:after="0" w:line="277" w:lineRule="auto"/>
        <w:tabs>
          <w:tab w:leader="none" w:pos="16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w:t>
      </w:r>
    </w:p>
    <w:p>
      <w:pPr>
        <w:spacing w:after="0" w:line="62" w:lineRule="exact"/>
        <w:rPr>
          <w:rFonts w:ascii="Arial" w:cs="Arial" w:eastAsia="Arial" w:hAnsi="Arial"/>
          <w:sz w:val="18"/>
          <w:szCs w:val="18"/>
          <w:color w:val="auto"/>
        </w:rPr>
      </w:pPr>
    </w:p>
    <w:p>
      <w:pPr>
        <w:ind w:left="-40" w:right="160" w:firstLine="1436"/>
        <w:spacing w:after="0" w:line="264" w:lineRule="auto"/>
        <w:tabs>
          <w:tab w:leader="none" w:pos="16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73" w:lineRule="exact"/>
        <w:rPr>
          <w:rFonts w:ascii="Arial" w:cs="Arial" w:eastAsia="Arial" w:hAnsi="Arial"/>
          <w:sz w:val="18"/>
          <w:szCs w:val="18"/>
          <w:color w:val="auto"/>
        </w:rPr>
      </w:pPr>
    </w:p>
    <w:p>
      <w:pPr>
        <w:ind w:left="-40" w:right="80" w:firstLine="1436"/>
        <w:spacing w:after="0" w:line="277" w:lineRule="auto"/>
        <w:tabs>
          <w:tab w:leader="none" w:pos="16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0" w:right="180" w:firstLine="1436"/>
        <w:spacing w:after="0" w:line="277" w:lineRule="auto"/>
        <w:tabs>
          <w:tab w:leader="none" w:pos="161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80" w:top="270" w:right="459" w:bottom="1440" w:gutter="0" w:footer="0" w:header="0"/>
        </w:sectPr>
      </w:pPr>
    </w:p>
    <w:bookmarkStart w:id="138" w:name="page139"/>
    <w:bookmarkEnd w:id="138"/>
    <w:p>
      <w:pPr>
        <w:ind w:left="1660" w:hanging="264"/>
        <w:spacing w:after="0"/>
        <w:tabs>
          <w:tab w:leader="none" w:pos="1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firstLine="1436"/>
        <w:spacing w:after="0" w:line="264" w:lineRule="auto"/>
        <w:tabs>
          <w:tab w:leader="none" w:pos="16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3" w:lineRule="exact"/>
        <w:rPr>
          <w:rFonts w:ascii="Arial" w:cs="Arial" w:eastAsia="Arial" w:hAnsi="Arial"/>
          <w:sz w:val="18"/>
          <w:szCs w:val="18"/>
          <w:color w:val="auto"/>
        </w:rPr>
      </w:pPr>
    </w:p>
    <w:p>
      <w:pPr>
        <w:ind w:left="1620" w:hanging="224"/>
        <w:spacing w:after="0"/>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ind w:left="-40" w:firstLine="1436"/>
        <w:spacing w:after="0" w:line="308" w:lineRule="auto"/>
        <w:tabs>
          <w:tab w:leader="none" w:pos="160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38" w:lineRule="exact"/>
        <w:rPr>
          <w:rFonts w:ascii="Arial" w:cs="Arial" w:eastAsia="Arial" w:hAnsi="Arial"/>
          <w:sz w:val="17"/>
          <w:szCs w:val="17"/>
          <w:color w:val="auto"/>
        </w:rPr>
      </w:pPr>
    </w:p>
    <w:p>
      <w:pPr>
        <w:jc w:val="both"/>
        <w:ind w:left="-40" w:right="180" w:firstLine="1436"/>
        <w:spacing w:after="0" w:line="264" w:lineRule="auto"/>
        <w:tabs>
          <w:tab w:leader="none" w:pos="16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Arial" w:cs="Arial" w:eastAsia="Arial" w:hAnsi="Arial"/>
          <w:sz w:val="18"/>
          <w:szCs w:val="18"/>
          <w:color w:val="auto"/>
        </w:rPr>
      </w:pPr>
    </w:p>
    <w:p>
      <w:pPr>
        <w:ind w:left="-40" w:right="160" w:firstLine="1436"/>
        <w:spacing w:after="0" w:line="264" w:lineRule="auto"/>
        <w:tabs>
          <w:tab w:leader="none" w:pos="160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73" w:lineRule="exact"/>
        <w:rPr>
          <w:rFonts w:ascii="Arial" w:cs="Arial" w:eastAsia="Arial" w:hAnsi="Arial"/>
          <w:sz w:val="18"/>
          <w:szCs w:val="18"/>
          <w:color w:val="auto"/>
        </w:rPr>
      </w:pPr>
    </w:p>
    <w:p>
      <w:pPr>
        <w:ind w:left="-40" w:right="240" w:firstLine="1436"/>
        <w:spacing w:after="0" w:line="277" w:lineRule="auto"/>
        <w:tabs>
          <w:tab w:leader="none" w:pos="16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40" w:right="100" w:firstLine="1436"/>
        <w:spacing w:after="0" w:line="297" w:lineRule="auto"/>
        <w:tabs>
          <w:tab w:leader="none" w:pos="164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p>
    <w:p>
      <w:pPr>
        <w:spacing w:after="0" w:line="117" w:lineRule="exact"/>
        <w:rPr>
          <w:sz w:val="20"/>
          <w:szCs w:val="20"/>
          <w:color w:val="auto"/>
        </w:rPr>
      </w:pPr>
    </w:p>
    <w:p>
      <w:pPr>
        <w:jc w:val="both"/>
        <w:ind w:left="-40" w:firstLine="1436"/>
        <w:spacing w:after="0" w:line="261" w:lineRule="auto"/>
        <w:tabs>
          <w:tab w:leader="none" w:pos="1637"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ARTICIPATING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OMPANY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PARTICIPATION IN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139" w:name="page140"/>
    <w:bookmarkEnd w:id="139"/>
    <w:p>
      <w:pPr>
        <w:ind w:firstLine="1436"/>
        <w:spacing w:after="0" w:line="252" w:lineRule="auto"/>
        <w:tabs>
          <w:tab w:leader="none" w:pos="1687" w:val="left"/>
        </w:tabs>
        <w:numPr>
          <w:ilvl w:val="1"/>
          <w:numId w:val="1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INFORMATION 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WHICH MAY INCLUDE AREAS OUTSIDE THE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CONOMIC AREA AND THAT THE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 REQUEST A LIST WITH THE NAMES AND ADDRESSES OF ANY POTENTIAL RECIPIENTS OF</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OR MORE INFORMATION ON THE CONSEQUENCES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HE OR SHE MAY CONTACT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color w:val="auto"/>
        </w:rPr>
      </w:pPr>
    </w:p>
    <w:p>
      <w:pPr>
        <w:ind w:left="620" w:hanging="176"/>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40" w:name="page141"/>
    <w:bookmarkEnd w:id="140"/>
    <w:p>
      <w:pPr>
        <w:ind w:left="620" w:hanging="176"/>
        <w:spacing w:after="0"/>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60"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62" w:lineRule="exact"/>
        <w:rPr>
          <w:sz w:val="20"/>
          <w:szCs w:val="20"/>
          <w:color w:val="auto"/>
        </w:rPr>
      </w:pPr>
    </w:p>
    <w:p>
      <w:pPr>
        <w:ind w:left="620" w:hanging="176"/>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0" w:lineRule="exact"/>
        <w:rPr>
          <w:sz w:val="20"/>
          <w:szCs w:val="20"/>
          <w:color w:val="auto"/>
        </w:rPr>
      </w:pPr>
    </w:p>
    <w:p>
      <w:pPr>
        <w:ind w:left="620" w:hanging="176"/>
        <w:spacing w:after="0"/>
        <w:tabs>
          <w:tab w:leader="none" w:pos="620"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-7620</wp:posOffset>
            </wp:positionV>
            <wp:extent cx="388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jc w:val="both"/>
        <w:ind w:right="100" w:firstLine="881"/>
        <w:spacing w:after="0" w:line="31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Grant of Company Reacquisition Right.</w:t>
      </w:r>
      <w:r>
        <w:rPr>
          <w:rFonts w:ascii="Arial" w:cs="Arial" w:eastAsia="Arial" w:hAnsi="Arial"/>
          <w:sz w:val="16"/>
          <w:szCs w:val="16"/>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6"/>
          <w:szCs w:val="16"/>
          <w:b w:val="1"/>
          <w:bCs w:val="1"/>
          <w:i w:val="1"/>
          <w:iCs w:val="1"/>
          <w:color w:val="auto"/>
        </w:rPr>
        <w:t>“Company Reacquisition Right”</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41" w:name="page142"/>
    <w:bookmarkEnd w:id="141"/>
    <w:p>
      <w:pPr>
        <w:ind w:left="620" w:hanging="176"/>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88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80"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88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225" w:lineRule="exact"/>
        <w:rPr>
          <w:sz w:val="20"/>
          <w:szCs w:val="20"/>
          <w:color w:val="auto"/>
        </w:rPr>
      </w:pPr>
    </w:p>
    <w:p>
      <w:pPr>
        <w:ind w:left="620" w:hanging="176"/>
        <w:spacing w:after="0"/>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Regardless of any action the Company or the Participant’s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takes with respect to any or all income tax, social insurance, payroll tax, payment on account or other tax-related withholding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Participant acknowledges and agrees that the ultimate liability for all Tax-Related Items legally due by the Participant is and remains the Participant’s responsibility and that the Company and or the Employer (i) make no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42" w:name="page143"/>
    <w:bookmarkEnd w:id="14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2" w:lineRule="exact"/>
        <w:rPr>
          <w:sz w:val="20"/>
          <w:szCs w:val="20"/>
          <w:color w:val="auto"/>
        </w:rPr>
      </w:pPr>
    </w:p>
    <w:p>
      <w:pPr>
        <w:ind w:right="100" w:firstLine="441"/>
        <w:spacing w:after="0" w:line="284"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w:t>
      </w:r>
    </w:p>
    <w:p>
      <w:pPr>
        <w:spacing w:after="0" w:line="5" w:lineRule="exact"/>
        <w:rPr>
          <w:sz w:val="20"/>
          <w:szCs w:val="20"/>
          <w:color w:val="auto"/>
        </w:rPr>
      </w:pPr>
    </w:p>
    <w:p>
      <w:pPr>
        <w:ind w:right="120" w:firstLine="4"/>
        <w:spacing w:after="0" w:line="269" w:lineRule="auto"/>
        <w:tabs>
          <w:tab w:leader="none" w:pos="25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settlement of the Units, either through a voluntary sale or through a sale arranged by the Company (on the Participant’s behalf pursuant to this authorization), to the extent permitted by the Administrator. The “Retained Share Amount”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66" w:lineRule="exact"/>
        <w:rPr>
          <w:sz w:val="20"/>
          <w:szCs w:val="20"/>
          <w:color w:val="auto"/>
        </w:rPr>
      </w:pPr>
    </w:p>
    <w:p>
      <w:pPr>
        <w:ind w:left="620" w:hanging="176"/>
        <w:spacing w:after="0"/>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80" w:firstLine="881"/>
        <w:spacing w:after="0" w:line="28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Upon the occurrence of a Change in Control during the Performance Period where a Replacement Award (as defined below) is provided to the Participant at the time of the Change in Control in lieu of the Units, the Units that remain outstanding and unvested as of immediately prior to the Change in Control shall remain outstanding and unvested, but the performance conditions with respect thereto shall be deemed satisfied at the target level of achievement. Upon the occurrence of a Change in Control where 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3" w:name="page144"/>
    <w:bookmarkEnd w:id="143"/>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Award is not provided to the Participant in lieu of the Units, the Units shall immediately vest at the target level of achievement. In either case, all Units in excess of the Target Award shall immediately be forfeited and cancelled, unless otherwise determined by the Committee, and Participant shall not be entitled to any compensation or other amount with respect thereto.</w:t>
      </w:r>
    </w:p>
    <w:p>
      <w:pPr>
        <w:spacing w:after="0" w:line="69"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or is of the same type as the Award that is replaced or adjusted by a Replacement Award (the “</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 (iii) 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169" w:lineRule="exact"/>
        <w:rPr>
          <w:sz w:val="20"/>
          <w:szCs w:val="20"/>
          <w:color w:val="auto"/>
        </w:rPr>
      </w:pPr>
    </w:p>
    <w:p>
      <w:pPr>
        <w:ind w:left="720" w:hanging="276"/>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44" w:name="page145"/>
    <w:bookmarkEnd w:id="144"/>
    <w:p>
      <w:pPr>
        <w:ind w:left="700" w:hanging="256"/>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720" w:hanging="276"/>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20" w:hanging="27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88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57" w:lineRule="exact"/>
        <w:rPr>
          <w:sz w:val="20"/>
          <w:szCs w:val="20"/>
          <w:color w:val="auto"/>
        </w:rPr>
      </w:pPr>
    </w:p>
    <w:p>
      <w:pPr>
        <w:ind w:right="120" w:firstLine="88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6"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45" w:name="page146"/>
    <w:bookmarkEnd w:id="145"/>
    <w:p>
      <w:pPr>
        <w:ind w:right="80" w:firstLine="88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70" w:lineRule="exact"/>
        <w:rPr>
          <w:sz w:val="20"/>
          <w:szCs w:val="20"/>
          <w:color w:val="auto"/>
        </w:rPr>
      </w:pPr>
    </w:p>
    <w:p>
      <w:pPr>
        <w:ind w:firstLine="1436"/>
        <w:spacing w:after="0" w:line="273" w:lineRule="auto"/>
        <w:tabs>
          <w:tab w:leader="none" w:pos="1677" w:val="left"/>
        </w:tabs>
        <w:numPr>
          <w:ilvl w:val="0"/>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70" w:lineRule="exact"/>
        <w:rPr>
          <w:rFonts w:ascii="Arial" w:cs="Arial" w:eastAsia="Arial" w:hAnsi="Arial"/>
          <w:sz w:val="17"/>
          <w:szCs w:val="17"/>
          <w:color w:val="auto"/>
        </w:rPr>
      </w:pPr>
    </w:p>
    <w:p>
      <w:pPr>
        <w:ind w:right="40" w:firstLine="1436"/>
        <w:spacing w:after="0" w:line="288" w:lineRule="auto"/>
        <w:tabs>
          <w:tab w:leader="none" w:pos="1687"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57"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146" w:name="page147"/>
    <w:bookmarkEnd w:id="146"/>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69"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52" w:lineRule="exact"/>
        <w:rPr>
          <w:sz w:val="20"/>
          <w:szCs w:val="20"/>
          <w:color w:val="auto"/>
        </w:rPr>
      </w:pPr>
    </w:p>
    <w:p>
      <w:pPr>
        <w:ind w:left="440" w:hanging="436"/>
        <w:spacing w:after="0"/>
        <w:tabs>
          <w:tab w:leader="none" w:pos="4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4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1."/>
      <w:numFmt w:val="decimal"/>
      <w:start w:val="1"/>
    </w:lvl>
    <w:lvl w:ilvl="1">
      <w:lvlJc w:val="left"/>
      <w:lvlText w:val="(%2)"/>
      <w:numFmt w:val="lowerLetter"/>
      <w:start w:val="1"/>
    </w:lvl>
  </w:abstractNum>
  <w:abstractNum w:abstractNumId="4">
    <w:nsid w:val="6A3DD3E8"/>
    <w:multiLevelType w:val="hybridMultilevel"/>
    <w:lvl w:ilvl="0">
      <w:lvlJc w:val="left"/>
      <w:lvlText w:val="(%1)"/>
      <w:numFmt w:val="lowerLetter"/>
      <w:start w:val="7"/>
    </w:lvl>
  </w:abstractNum>
  <w:abstractNum w:abstractNumId="5">
    <w:nsid w:val="71C91298"/>
    <w:multiLevelType w:val="hybridMultilevel"/>
    <w:lvl w:ilvl="0">
      <w:lvlJc w:val="left"/>
      <w:lvlText w:val="(%1)"/>
      <w:numFmt w:val="lowerLetter"/>
      <w:start w:val="13"/>
    </w:lvl>
  </w:abstractNum>
  <w:abstractNum w:abstractNumId="6">
    <w:nsid w:val="9DAF632"/>
    <w:multiLevelType w:val="hybridMultilevel"/>
    <w:lvl w:ilvl="0">
      <w:lvlJc w:val="left"/>
      <w:lvlText w:val="%1"/>
      <w:numFmt w:val="decimal"/>
      <w:start w:val="1"/>
    </w:lvl>
    <w:lvl w:ilvl="1">
      <w:lvlJc w:val="left"/>
      <w:lvlText w:val="(%2)"/>
      <w:numFmt w:val="lowerLetter"/>
      <w:start w:val="20"/>
    </w:lvl>
    <w:lvl w:ilvl="2">
      <w:lvlJc w:val="left"/>
      <w:lvlText w:val="%3"/>
      <w:numFmt w:val="lowerRoman"/>
      <w:start w:val="1"/>
    </w:lvl>
  </w:abstractNum>
  <w:abstractNum w:abstractNumId="7">
    <w:nsid w:val="532999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
    <w:nsid w:val="1FBFE8E0"/>
    <w:multiLevelType w:val="hybridMultilevel"/>
    <w:lvl w:ilvl="0">
      <w:lvlJc w:val="left"/>
      <w:lvlText w:val="%1."/>
      <w:numFmt w:val="decimal"/>
      <w:start w:val="3"/>
    </w:lvl>
    <w:lvl w:ilvl="1">
      <w:lvlJc w:val="left"/>
      <w:lvlText w:val="(%2)"/>
      <w:numFmt w:val="lowerLetter"/>
      <w:start w:val="1"/>
    </w:lvl>
  </w:abstractNum>
  <w:abstractNum w:abstractNumId="9">
    <w:nsid w:val="5092CA7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0">
    <w:nsid w:val="1D545C4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59ADEA3D"/>
    <w:multiLevelType w:val="hybridMultilevel"/>
    <w:lvl w:ilvl="0">
      <w:lvlJc w:val="left"/>
      <w:lvlText w:val="%1"/>
      <w:numFmt w:val="decimal"/>
      <w:start w:val="1"/>
    </w:lvl>
    <w:lvl w:ilvl="1">
      <w:lvlJc w:val="left"/>
      <w:lvlText w:val="(%2)"/>
      <w:numFmt w:val="lowerLetter"/>
      <w:start w:val="2"/>
    </w:lvl>
  </w:abstractNum>
  <w:abstractNum w:abstractNumId="12">
    <w:nsid w:val="288F1A34"/>
    <w:multiLevelType w:val="hybridMultilevel"/>
    <w:lvl w:ilvl="0">
      <w:lvlJc w:val="left"/>
      <w:lvlText w:val="%1."/>
      <w:numFmt w:val="decimal"/>
      <w:start w:val="5"/>
    </w:lvl>
    <w:lvl w:ilvl="1">
      <w:lvlJc w:val="left"/>
      <w:lvlText w:val="(%2)"/>
      <w:numFmt w:val="lowerLetter"/>
      <w:start w:val="1"/>
    </w:lvl>
  </w:abstractNum>
  <w:abstractNum w:abstractNumId="13">
    <w:nsid w:val="2A155D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1D9F6E5F"/>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2"/>
    </w:lvl>
  </w:abstractNum>
  <w:abstractNum w:abstractNumId="15">
    <w:nsid w:val="97E1B4E"/>
    <w:multiLevelType w:val="hybridMultilevel"/>
    <w:lvl w:ilvl="0">
      <w:lvlJc w:val="left"/>
      <w:lvlText w:val="(%1)"/>
      <w:numFmt w:val="lowerRoman"/>
      <w:start w:val="4"/>
    </w:lvl>
  </w:abstractNum>
  <w:abstractNum w:abstractNumId="16">
    <w:nsid w:val="51088277"/>
    <w:multiLevelType w:val="hybridMultilevel"/>
    <w:lvl w:ilvl="0">
      <w:lvlJc w:val="left"/>
      <w:lvlText w:val="%1"/>
      <w:numFmt w:val="lowerLetter"/>
      <w:start w:val="1"/>
    </w:lvl>
    <w:lvl w:ilvl="1">
      <w:lvlJc w:val="left"/>
      <w:lvlText w:val="(%2)"/>
      <w:numFmt w:val="lowerLetter"/>
      <w:start w:val="3"/>
    </w:lvl>
  </w:abstractNum>
  <w:abstractNum w:abstractNumId="17">
    <w:nsid w:val="1CA0C5FA"/>
    <w:multiLevelType w:val="hybridMultilevel"/>
    <w:lvl w:ilvl="0">
      <w:lvlJc w:val="left"/>
      <w:lvlText w:val="(%1)"/>
      <w:numFmt w:val="lowerLetter"/>
      <w:start w:val="25"/>
    </w:lvl>
    <w:lvl w:ilvl="1">
      <w:lvlJc w:val="left"/>
      <w:lvlText w:val="%2"/>
      <w:numFmt w:val="lowerLetter"/>
      <w:start w:val="1"/>
    </w:lvl>
  </w:abstractNum>
  <w:abstractNum w:abstractNumId="18">
    <w:nsid w:val="53584BCB"/>
    <w:multiLevelType w:val="hybridMultilevel"/>
    <w:lvl w:ilvl="0">
      <w:lvlJc w:val="left"/>
      <w:lvlText w:val="%1"/>
      <w:numFmt w:val="decimal"/>
      <w:start w:val="1"/>
    </w:lvl>
    <w:lvl w:ilvl="1">
      <w:lvlJc w:val="left"/>
      <w:lvlText w:val="(%2)"/>
      <w:numFmt w:val="lowerLetter"/>
      <w:start w:val="4"/>
    </w:lvl>
  </w:abstractNum>
  <w:abstractNum w:abstractNumId="19">
    <w:nsid w:val="415E286C"/>
    <w:multiLevelType w:val="hybridMultilevel"/>
    <w:lvl w:ilvl="0">
      <w:lvlJc w:val="left"/>
      <w:lvlText w:val="%1."/>
      <w:numFmt w:val="decimal"/>
      <w:start w:val="6"/>
    </w:lvl>
    <w:lvl w:ilvl="1">
      <w:lvlJc w:val="left"/>
      <w:lvlText w:val="(%2)"/>
      <w:numFmt w:val="lowerLetter"/>
      <w:start w:val="1"/>
    </w:lvl>
  </w:abstractNum>
  <w:abstractNum w:abstractNumId="20">
    <w:nsid w:val="7C58FD0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1">
    <w:nsid w:val="23D86AA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2">
    <w:nsid w:val="45E6D486"/>
    <w:multiLevelType w:val="hybridMultilevel"/>
    <w:lvl w:ilvl="0">
      <w:lvlJc w:val="left"/>
      <w:lvlText w:val="(%1)"/>
      <w:numFmt w:val="lowerRoman"/>
      <w:start w:val="2"/>
    </w:lvl>
  </w:abstractNum>
  <w:abstractNum w:abstractNumId="23">
    <w:nsid w:val="5C10FE2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E7FFA2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4"/>
    </w:lvl>
  </w:abstractNum>
  <w:abstractNum w:abstractNumId="25">
    <w:nsid w:val="3C5991AA"/>
    <w:multiLevelType w:val="hybridMultilevel"/>
    <w:lvl w:ilvl="0">
      <w:lvlJc w:val="left"/>
      <w:lvlText w:val="%1."/>
      <w:numFmt w:val="decimal"/>
      <w:start w:val="8"/>
    </w:lvl>
  </w:abstractNum>
  <w:abstractNum w:abstractNumId="26">
    <w:nsid w:val="4BD8591A"/>
    <w:multiLevelType w:val="hybridMultilevel"/>
    <w:lvl w:ilvl="0">
      <w:lvlJc w:val="left"/>
      <w:lvlText w:val="%1."/>
      <w:numFmt w:val="decimal"/>
      <w:start w:val="9"/>
    </w:lvl>
    <w:lvl w:ilvl="1">
      <w:lvlJc w:val="left"/>
      <w:lvlText w:val="(%2)"/>
      <w:numFmt w:val="lowerLetter"/>
      <w:start w:val="1"/>
    </w:lvl>
  </w:abstractNum>
  <w:abstractNum w:abstractNumId="27">
    <w:nsid w:val="78DF6A55"/>
    <w:multiLevelType w:val="hybridMultilevel"/>
    <w:lvl w:ilvl="0">
      <w:lvlJc w:val="left"/>
      <w:lvlText w:val="(%1)"/>
      <w:numFmt w:val="lowerLetter"/>
      <w:start w:val="2"/>
    </w:lvl>
  </w:abstractNum>
  <w:abstractNum w:abstractNumId="28">
    <w:nsid w:val="39B7AAA2"/>
    <w:multiLevelType w:val="hybridMultilevel"/>
    <w:lvl w:ilvl="0">
      <w:lvlJc w:val="left"/>
      <w:lvlText w:val="%1."/>
      <w:numFmt w:val="decimal"/>
      <w:start w:val="12"/>
    </w:lvl>
    <w:lvl w:ilvl="1">
      <w:lvlJc w:val="left"/>
      <w:lvlText w:val="(%2)"/>
      <w:numFmt w:val="lowerLetter"/>
      <w:start w:val="1"/>
    </w:lvl>
  </w:abstractNum>
  <w:abstractNum w:abstractNumId="29">
    <w:nsid w:val="2B0D8DBE"/>
    <w:multiLevelType w:val="hybridMultilevel"/>
    <w:lvl w:ilvl="0">
      <w:lvlJc w:val="left"/>
      <w:lvlText w:val="%1."/>
      <w:numFmt w:val="decimal"/>
      <w:start w:val="14"/>
    </w:lvl>
  </w:abstractNum>
  <w:abstractNum w:abstractNumId="30">
    <w:nsid w:val="6C80EC70"/>
    <w:multiLevelType w:val="hybridMultilevel"/>
    <w:lvl w:ilvl="0">
      <w:lvlJc w:val="left"/>
      <w:lvlText w:val="(%1)"/>
      <w:numFmt w:val="lowerLetter"/>
      <w:start w:val="1"/>
    </w:lvl>
  </w:abstractNum>
  <w:abstractNum w:abstractNumId="31">
    <w:nsid w:val="379E21B5"/>
    <w:multiLevelType w:val="hybridMultilevel"/>
    <w:lvl w:ilvl="0">
      <w:lvlJc w:val="left"/>
      <w:lvlText w:val="%1"/>
      <w:numFmt w:val="decimal"/>
      <w:start w:val="1"/>
    </w:lvl>
    <w:lvl w:ilvl="1">
      <w:lvlJc w:val="left"/>
      <w:lvlText w:val="(%2)"/>
      <w:numFmt w:val="lowerLetter"/>
      <w:start w:val="2"/>
    </w:lvl>
  </w:abstractNum>
  <w:abstractNum w:abstractNumId="32">
    <w:nsid w:val="69E373"/>
    <w:multiLevelType w:val="hybridMultilevel"/>
    <w:lvl w:ilvl="0">
      <w:lvlJc w:val="left"/>
      <w:lvlText w:val="%1."/>
      <w:numFmt w:val="decimal"/>
      <w:start w:val="17"/>
    </w:lvl>
    <w:lvl w:ilvl="1">
      <w:lvlJc w:val="left"/>
      <w:lvlText w:val="%2"/>
      <w:numFmt w:val="lowerLetter"/>
      <w:start w:val="1"/>
    </w:lvl>
  </w:abstractNum>
  <w:abstractNum w:abstractNumId="33">
    <w:nsid w:val="2C27173B"/>
    <w:multiLevelType w:val="hybridMultilevel"/>
    <w:lvl w:ilvl="0">
      <w:lvlJc w:val="left"/>
      <w:lvlText w:val="%1."/>
      <w:numFmt w:val="decimal"/>
      <w:start w:val="19"/>
    </w:lvl>
  </w:abstractNum>
  <w:abstractNum w:abstractNumId="34">
    <w:nsid w:val="4C9B0904"/>
    <w:multiLevelType w:val="hybridMultilevel"/>
    <w:lvl w:ilvl="0">
      <w:lvlJc w:val="left"/>
      <w:lvlText w:val="%1."/>
      <w:numFmt w:val="decimal"/>
      <w:start w:val="23"/>
    </w:lvl>
  </w:abstractNum>
  <w:abstractNum w:abstractNumId="35">
    <w:nsid w:val="6AA7B75C"/>
    <w:multiLevelType w:val="hybridMultilevel"/>
    <w:lvl w:ilvl="0">
      <w:lvlJc w:val="left"/>
      <w:lvlText w:val="%1."/>
      <w:numFmt w:val="decimal"/>
      <w:start w:val="28"/>
    </w:lvl>
  </w:abstractNum>
  <w:abstractNum w:abstractNumId="36">
    <w:nsid w:val="1DF029D3"/>
    <w:multiLevelType w:val="hybridMultilevel"/>
    <w:lvl w:ilvl="0">
      <w:lvlJc w:val="left"/>
      <w:lvlText w:val="(%1)"/>
      <w:numFmt w:val="lowerLetter"/>
      <w:start w:val="3"/>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1."/>
      <w:numFmt w:val="decimal"/>
      <w:start w:val="1"/>
    </w:lvl>
  </w:abstractNum>
  <w:abstractNum w:abstractNumId="39">
    <w:nsid w:val="3DB012B3"/>
    <w:multiLevelType w:val="hybridMultilevel"/>
    <w:lvl w:ilvl="0">
      <w:lvlJc w:val="left"/>
      <w:lvlText w:val="(%1)"/>
      <w:numFmt w:val="lowerLetter"/>
      <w:start w:val="1"/>
    </w:lvl>
  </w:abstractNum>
  <w:abstractNum w:abstractNumId="40">
    <w:nsid w:val="2708C9AF"/>
    <w:multiLevelType w:val="hybridMultilevel"/>
    <w:lvl w:ilvl="0">
      <w:lvlJc w:val="left"/>
      <w:lvlText w:val="%1."/>
      <w:numFmt w:val="decimal"/>
      <w:start w:val="2"/>
    </w:lvl>
  </w:abstractNum>
  <w:abstractNum w:abstractNumId="41">
    <w:nsid w:val="5B25ACE2"/>
    <w:multiLevelType w:val="hybridMultilevel"/>
    <w:lvl w:ilvl="0">
      <w:lvlJc w:val="left"/>
      <w:lvlText w:val="(%1)"/>
      <w:numFmt w:val="lowerLetter"/>
      <w:start w:val="1"/>
    </w:lvl>
  </w:abstractNum>
  <w:abstractNum w:abstractNumId="42">
    <w:nsid w:val="175DFCF0"/>
    <w:multiLevelType w:val="hybridMultilevel"/>
    <w:lvl w:ilvl="0">
      <w:lvlJc w:val="left"/>
      <w:lvlText w:val="(%1)"/>
      <w:numFmt w:val="lowerLetter"/>
      <w:start w:val="7"/>
    </w:lvl>
  </w:abstractNum>
  <w:abstractNum w:abstractNumId="43">
    <w:nsid w:val="4F97E3E4"/>
    <w:multiLevelType w:val="hybridMultilevel"/>
    <w:lvl w:ilvl="0">
      <w:lvlJc w:val="left"/>
      <w:lvlText w:val="(%1)"/>
      <w:numFmt w:val="lowerLetter"/>
      <w:start w:val="1"/>
    </w:lvl>
  </w:abstractNum>
  <w:abstractNum w:abstractNumId="44">
    <w:nsid w:val="53B0A9E"/>
    <w:multiLevelType w:val="hybridMultilevel"/>
    <w:lvl w:ilvl="0">
      <w:lvlJc w:val="left"/>
      <w:lvlText w:val="%1"/>
      <w:numFmt w:val="decimal"/>
      <w:start w:val="1"/>
    </w:lvl>
    <w:lvl w:ilvl="1">
      <w:lvlJc w:val="left"/>
      <w:lvlText w:val="(%2)"/>
      <w:numFmt w:val="lowerLetter"/>
      <w:start w:val="2"/>
    </w:lvl>
  </w:abstractNum>
  <w:abstractNum w:abstractNumId="45">
    <w:nsid w:val="34FD6B4F"/>
    <w:multiLevelType w:val="hybridMultilevel"/>
    <w:lvl w:ilvl="0">
      <w:lvlJc w:val="left"/>
      <w:lvlText w:val="%1."/>
      <w:numFmt w:val="decimal"/>
      <w:start w:val="3"/>
    </w:lvl>
    <w:lvl w:ilvl="1">
      <w:lvlJc w:val="left"/>
      <w:lvlText w:val="%2"/>
      <w:numFmt w:val="lowerLetter"/>
      <w:start w:val="1"/>
    </w:lvl>
  </w:abstractNum>
  <w:abstractNum w:abstractNumId="46">
    <w:nsid w:val="5915FF32"/>
    <w:multiLevelType w:val="hybridMultilevel"/>
    <w:lvl w:ilvl="0">
      <w:lvlJc w:val="left"/>
      <w:lvlText w:val="%1."/>
      <w:numFmt w:val="decimal"/>
      <w:start w:val="4"/>
    </w:lvl>
  </w:abstractNum>
  <w:abstractNum w:abstractNumId="47">
    <w:nsid w:val="56438D15"/>
    <w:multiLevelType w:val="hybridMultilevel"/>
    <w:lvl w:ilvl="0">
      <w:lvlJc w:val="left"/>
      <w:lvlText w:val="%1."/>
      <w:numFmt w:val="decimal"/>
      <w:start w:val="5"/>
    </w:lvl>
  </w:abstractNum>
  <w:abstractNum w:abstractNumId="48">
    <w:nsid w:val="519E3149"/>
    <w:multiLevelType w:val="hybridMultilevel"/>
    <w:lvl w:ilvl="0">
      <w:lvlJc w:val="left"/>
      <w:lvlText w:val="%1."/>
      <w:numFmt w:val="decimal"/>
      <w:start w:val="6"/>
    </w:lvl>
  </w:abstractNum>
  <w:abstractNum w:abstractNumId="49">
    <w:nsid w:val="2C6E4AFD"/>
    <w:multiLevelType w:val="hybridMultilevel"/>
    <w:lvl w:ilvl="0">
      <w:lvlJc w:val="left"/>
      <w:lvlText w:val="%1."/>
      <w:numFmt w:val="decimal"/>
      <w:start w:val="7"/>
    </w:lvl>
  </w:abstractNum>
  <w:abstractNum w:abstractNumId="50">
    <w:nsid w:val="17A1B582"/>
    <w:multiLevelType w:val="hybridMultilevel"/>
    <w:lvl w:ilvl="0">
      <w:lvlJc w:val="left"/>
      <w:lvlText w:val="%1."/>
      <w:numFmt w:val="decimal"/>
      <w:start w:val="8"/>
    </w:lvl>
  </w:abstractNum>
  <w:abstractNum w:abstractNumId="51">
    <w:nsid w:val="4DF72E4E"/>
    <w:multiLevelType w:val="hybridMultilevel"/>
    <w:lvl w:ilvl="0">
      <w:lvlJc w:val="left"/>
      <w:lvlText w:val="(%1)"/>
      <w:numFmt w:val="decimal"/>
      <w:start w:val="3"/>
    </w:lvl>
  </w:abstractNum>
  <w:abstractNum w:abstractNumId="52">
    <w:nsid w:val="5046B5A9"/>
    <w:multiLevelType w:val="hybridMultilevel"/>
    <w:lvl w:ilvl="0">
      <w:lvlJc w:val="left"/>
      <w:lvlText w:val="%1."/>
      <w:numFmt w:val="decimal"/>
      <w:start w:val="9"/>
    </w:lvl>
  </w:abstractNum>
  <w:abstractNum w:abstractNumId="53">
    <w:nsid w:val="5D888A08"/>
    <w:multiLevelType w:val="hybridMultilevel"/>
    <w:lvl w:ilvl="0">
      <w:lvlJc w:val="left"/>
      <w:lvlText w:val="%1."/>
      <w:numFmt w:val="decimal"/>
      <w:start w:val="10"/>
    </w:lvl>
  </w:abstractNum>
  <w:abstractNum w:abstractNumId="54">
    <w:nsid w:val="2A082C70"/>
    <w:multiLevelType w:val="hybridMultilevel"/>
    <w:lvl w:ilvl="0">
      <w:lvlJc w:val="left"/>
      <w:lvlText w:val="%1."/>
      <w:numFmt w:val="decimal"/>
      <w:start w:val="11"/>
    </w:lvl>
  </w:abstractNum>
  <w:abstractNum w:abstractNumId="55">
    <w:nsid w:val="5EC6AFD4"/>
    <w:multiLevelType w:val="hybridMultilevel"/>
    <w:lvl w:ilvl="0">
      <w:lvlJc w:val="left"/>
      <w:lvlText w:val="%1."/>
      <w:numFmt w:val="decimal"/>
      <w:start w:val="12"/>
    </w:lvl>
  </w:abstractNum>
  <w:abstractNum w:abstractNumId="56">
    <w:nsid w:val="19E21BB2"/>
    <w:multiLevelType w:val="hybridMultilevel"/>
    <w:lvl w:ilvl="0">
      <w:lvlJc w:val="left"/>
      <w:lvlText w:val="%1."/>
      <w:numFmt w:val="decimal"/>
      <w:start w:val="13"/>
    </w:lvl>
  </w:abstractNum>
  <w:abstractNum w:abstractNumId="57">
    <w:nsid w:val="75E0858A"/>
    <w:multiLevelType w:val="hybridMultilevel"/>
    <w:lvl w:ilvl="0">
      <w:lvlJc w:val="left"/>
      <w:lvlText w:val="(%1)"/>
      <w:numFmt w:val="lowerLetter"/>
      <w:start w:val="1"/>
    </w:lvl>
  </w:abstractNum>
  <w:abstractNum w:abstractNumId="58">
    <w:nsid w:val="57A61A29"/>
    <w:multiLevelType w:val="hybridMultilevel"/>
    <w:lvl w:ilvl="0">
      <w:lvlJc w:val="left"/>
      <w:lvlText w:val="(%1)"/>
      <w:numFmt w:val="lowerLetter"/>
      <w:start w:val="1"/>
    </w:lvl>
  </w:abstractNum>
  <w:abstractNum w:abstractNumId="59">
    <w:nsid w:val="5399C654"/>
    <w:multiLevelType w:val="hybridMultilevel"/>
    <w:lvl w:ilvl="0">
      <w:lvlJc w:val="left"/>
      <w:lvlText w:val="(%1)"/>
      <w:numFmt w:val="lowerLetter"/>
      <w:start w:val="35"/>
    </w:lvl>
  </w:abstractNum>
  <w:abstractNum w:abstractNumId="60">
    <w:nsid w:val="20EE1348"/>
    <w:multiLevelType w:val="hybridMultilevel"/>
    <w:lvl w:ilvl="0">
      <w:lvlJc w:val="left"/>
      <w:lvlText w:val="(%1)"/>
      <w:numFmt w:val="lowerLetter"/>
      <w:start w:val="2"/>
    </w:lvl>
  </w:abstractNum>
  <w:abstractNum w:abstractNumId="61">
    <w:nsid w:val="4427069A"/>
    <w:multiLevelType w:val="hybridMultilevel"/>
    <w:lvl w:ilvl="0">
      <w:lvlJc w:val="left"/>
      <w:lvlText w:val="(%1)"/>
      <w:numFmt w:val="lowerRoman"/>
      <w:start w:val="1"/>
    </w:lvl>
  </w:abstractNum>
  <w:abstractNum w:abstractNumId="62">
    <w:nsid w:val="B37E80A"/>
    <w:multiLevelType w:val="hybridMultilevel"/>
    <w:lvl w:ilvl="0">
      <w:lvlJc w:val="left"/>
      <w:lvlText w:val="•"/>
      <w:numFmt w:val="bullet"/>
      <w:start w:val="1"/>
    </w:lvl>
  </w:abstractNum>
  <w:abstractNum w:abstractNumId="63">
    <w:nsid w:val="2157F6BC"/>
    <w:multiLevelType w:val="hybridMultilevel"/>
    <w:lvl w:ilvl="0">
      <w:lvlJc w:val="left"/>
      <w:lvlText w:val="%1."/>
      <w:numFmt w:val="decimal"/>
      <w:start w:val="1"/>
    </w:lvl>
  </w:abstractNum>
  <w:abstractNum w:abstractNumId="64">
    <w:nsid w:val="704E1DD5"/>
    <w:multiLevelType w:val="hybridMultilevel"/>
    <w:lvl w:ilvl="0">
      <w:lvlJc w:val="left"/>
      <w:lvlText w:val="(%1)"/>
      <w:numFmt w:val="lowerLetter"/>
      <w:start w:val="1"/>
    </w:lvl>
  </w:abstractNum>
  <w:abstractNum w:abstractNumId="65">
    <w:nsid w:val="57D2F10E"/>
    <w:multiLevelType w:val="hybridMultilevel"/>
    <w:lvl w:ilvl="0">
      <w:lvlJc w:val="left"/>
      <w:lvlText w:val="%1."/>
      <w:numFmt w:val="decimal"/>
      <w:start w:val="2"/>
    </w:lvl>
  </w:abstractNum>
  <w:abstractNum w:abstractNumId="66">
    <w:nsid w:val="BFFAE18"/>
    <w:multiLevelType w:val="hybridMultilevel"/>
    <w:lvl w:ilvl="0">
      <w:lvlJc w:val="left"/>
      <w:lvlText w:val="(%1)"/>
      <w:numFmt w:val="lowerLetter"/>
      <w:start w:val="1"/>
    </w:lvl>
  </w:abstractNum>
  <w:abstractNum w:abstractNumId="67">
    <w:nsid w:val="E3E47A8"/>
    <w:multiLevelType w:val="hybridMultilevel"/>
    <w:lvl w:ilvl="0">
      <w:lvlJc w:val="left"/>
      <w:lvlText w:val="(%1)"/>
      <w:numFmt w:val="lowerLetter"/>
      <w:start w:val="6"/>
    </w:lvl>
  </w:abstractNum>
  <w:abstractNum w:abstractNumId="68">
    <w:nsid w:val="2E48F044"/>
    <w:multiLevelType w:val="hybridMultilevel"/>
    <w:lvl w:ilvl="0">
      <w:lvlJc w:val="left"/>
      <w:lvlText w:val="(%1)"/>
      <w:numFmt w:val="lowerLetter"/>
      <w:start w:val="1"/>
    </w:lvl>
  </w:abstractNum>
  <w:abstractNum w:abstractNumId="69">
    <w:nsid w:val="49D0FEAC"/>
    <w:multiLevelType w:val="hybridMultilevel"/>
    <w:lvl w:ilvl="0">
      <w:lvlJc w:val="left"/>
      <w:lvlText w:val="%1"/>
      <w:numFmt w:val="decimal"/>
      <w:start w:val="1"/>
    </w:lvl>
    <w:lvl w:ilvl="1">
      <w:lvlJc w:val="left"/>
      <w:lvlText w:val="(%2)"/>
      <w:numFmt w:val="lowerLetter"/>
      <w:start w:val="2"/>
    </w:lvl>
  </w:abstractNum>
  <w:abstractNum w:abstractNumId="70">
    <w:nsid w:val="4BEE5A5B"/>
    <w:multiLevelType w:val="hybridMultilevel"/>
    <w:lvl w:ilvl="0">
      <w:lvlJc w:val="left"/>
      <w:lvlText w:val="%1."/>
      <w:numFmt w:val="decimal"/>
      <w:start w:val="3"/>
    </w:lvl>
    <w:lvl w:ilvl="1">
      <w:lvlJc w:val="left"/>
      <w:lvlText w:val="%2"/>
      <w:numFmt w:val="lowerLetter"/>
      <w:start w:val="1"/>
    </w:lvl>
  </w:abstractNum>
  <w:abstractNum w:abstractNumId="71">
    <w:nsid w:val="5551B9F3"/>
    <w:multiLevelType w:val="hybridMultilevel"/>
    <w:lvl w:ilvl="0">
      <w:lvlJc w:val="left"/>
      <w:lvlText w:val="%1."/>
      <w:numFmt w:val="decimal"/>
      <w:start w:val="4"/>
    </w:lvl>
  </w:abstractNum>
  <w:abstractNum w:abstractNumId="72">
    <w:nsid w:val="24F6AB8E"/>
    <w:multiLevelType w:val="hybridMultilevel"/>
    <w:lvl w:ilvl="0">
      <w:lvlJc w:val="left"/>
      <w:lvlText w:val="%1."/>
      <w:numFmt w:val="decimal"/>
      <w:start w:val="5"/>
    </w:lvl>
  </w:abstractNum>
  <w:abstractNum w:abstractNumId="73">
    <w:nsid w:val="634C574C"/>
    <w:multiLevelType w:val="hybridMultilevel"/>
    <w:lvl w:ilvl="0">
      <w:lvlJc w:val="left"/>
      <w:lvlText w:val="%1."/>
      <w:numFmt w:val="decimal"/>
      <w:start w:val="6"/>
    </w:lvl>
  </w:abstractNum>
  <w:abstractNum w:abstractNumId="74">
    <w:nsid w:val="24E99DD7"/>
    <w:multiLevelType w:val="hybridMultilevel"/>
    <w:lvl w:ilvl="0">
      <w:lvlJc w:val="left"/>
      <w:lvlText w:val="%1."/>
      <w:numFmt w:val="decimal"/>
      <w:start w:val="7"/>
    </w:lvl>
  </w:abstractNum>
  <w:abstractNum w:abstractNumId="75">
    <w:nsid w:val="2A31B62D"/>
    <w:multiLevelType w:val="hybridMultilevel"/>
    <w:lvl w:ilvl="0">
      <w:lvlJc w:val="left"/>
      <w:lvlText w:val="%1."/>
      <w:numFmt w:val="decimal"/>
      <w:start w:val="8"/>
    </w:lvl>
  </w:abstractNum>
  <w:abstractNum w:abstractNumId="76">
    <w:nsid w:val="1849C29B"/>
    <w:multiLevelType w:val="hybridMultilevel"/>
    <w:lvl w:ilvl="0">
      <w:lvlJc w:val="left"/>
      <w:lvlText w:val="(%1)"/>
      <w:numFmt w:val="decimal"/>
      <w:start w:val="3"/>
    </w:lvl>
  </w:abstractNum>
  <w:abstractNum w:abstractNumId="77">
    <w:nsid w:val="7DFF9D09"/>
    <w:multiLevelType w:val="hybridMultilevel"/>
    <w:lvl w:ilvl="0">
      <w:lvlJc w:val="left"/>
      <w:lvlText w:val="%1."/>
      <w:numFmt w:val="decimal"/>
      <w:start w:val="9"/>
    </w:lvl>
  </w:abstractNum>
  <w:abstractNum w:abstractNumId="78">
    <w:nsid w:val="754342"/>
    <w:multiLevelType w:val="hybridMultilevel"/>
    <w:lvl w:ilvl="0">
      <w:lvlJc w:val="left"/>
      <w:lvlText w:val="(%1)"/>
      <w:numFmt w:val="lowerRoman"/>
      <w:start w:val="3"/>
    </w:lvl>
  </w:abstractNum>
  <w:abstractNum w:abstractNumId="79">
    <w:nsid w:val="69E7F3E5"/>
    <w:multiLevelType w:val="hybridMultilevel"/>
    <w:lvl w:ilvl="0">
      <w:lvlJc w:val="left"/>
      <w:lvlText w:val="%1."/>
      <w:numFmt w:val="decimal"/>
      <w:start w:val="10"/>
    </w:lvl>
  </w:abstractNum>
  <w:abstractNum w:abstractNumId="80">
    <w:nsid w:val="2A6DE806"/>
    <w:multiLevelType w:val="hybridMultilevel"/>
    <w:lvl w:ilvl="0">
      <w:lvlJc w:val="left"/>
      <w:lvlText w:val="1"/>
      <w:numFmt w:val="bullet"/>
      <w:start w:val="1"/>
    </w:lvl>
  </w:abstractNum>
  <w:abstractNum w:abstractNumId="81">
    <w:nsid w:val="1816F8C4"/>
    <w:multiLevelType w:val="hybridMultilevel"/>
    <w:lvl w:ilvl="0">
      <w:lvlJc w:val="left"/>
      <w:lvlText w:val="%1."/>
      <w:numFmt w:val="decimal"/>
      <w:start w:val="11"/>
    </w:lvl>
  </w:abstractNum>
  <w:abstractNum w:abstractNumId="82">
    <w:nsid w:val="37DF2233"/>
    <w:multiLevelType w:val="hybridMultilevel"/>
    <w:lvl w:ilvl="0">
      <w:lvlJc w:val="left"/>
      <w:lvlText w:val="%1."/>
      <w:numFmt w:val="decimal"/>
      <w:start w:val="12"/>
    </w:lvl>
  </w:abstractNum>
  <w:abstractNum w:abstractNumId="83">
    <w:nsid w:val="7AB49DAF"/>
    <w:multiLevelType w:val="hybridMultilevel"/>
    <w:lvl w:ilvl="0">
      <w:lvlJc w:val="left"/>
      <w:lvlText w:val="%1."/>
      <w:numFmt w:val="decimal"/>
      <w:start w:val="13"/>
    </w:lvl>
  </w:abstractNum>
  <w:abstractNum w:abstractNumId="84">
    <w:nsid w:val="759F82CD"/>
    <w:multiLevelType w:val="hybridMultilevel"/>
    <w:lvl w:ilvl="0">
      <w:lvlJc w:val="left"/>
      <w:lvlText w:val="(%1)"/>
      <w:numFmt w:val="lowerLetter"/>
      <w:start w:val="1"/>
    </w:lvl>
  </w:abstractNum>
  <w:abstractNum w:abstractNumId="85">
    <w:nsid w:val="61E74EA3"/>
    <w:multiLevelType w:val="hybridMultilevel"/>
    <w:lvl w:ilvl="0">
      <w:lvlJc w:val="left"/>
      <w:lvlText w:val="%1."/>
      <w:numFmt w:val="decimal"/>
      <w:start w:val="1"/>
    </w:lvl>
  </w:abstractNum>
  <w:abstractNum w:abstractNumId="86">
    <w:nsid w:val="597B4D84"/>
    <w:multiLevelType w:val="hybridMultilevel"/>
    <w:lvl w:ilvl="0">
      <w:lvlJc w:val="left"/>
      <w:lvlText w:val="%1."/>
      <w:numFmt w:val="decimal"/>
      <w:start w:val="1"/>
    </w:lvl>
  </w:abstractNum>
  <w:abstractNum w:abstractNumId="87">
    <w:nsid w:val="F819E7F"/>
    <w:multiLevelType w:val="hybridMultilevel"/>
    <w:lvl w:ilvl="0">
      <w:lvlJc w:val="left"/>
      <w:lvlText w:val="(%1)"/>
      <w:numFmt w:val="lowerLetter"/>
      <w:start w:val="1"/>
    </w:lvl>
  </w:abstractNum>
  <w:abstractNum w:abstractNumId="88">
    <w:nsid w:val="57C7D42D"/>
    <w:multiLevelType w:val="hybridMultilevel"/>
    <w:lvl w:ilvl="0">
      <w:lvlJc w:val="left"/>
      <w:lvlText w:val="%1."/>
      <w:numFmt w:val="decimal"/>
      <w:start w:val="2"/>
    </w:lvl>
  </w:abstractNum>
  <w:abstractNum w:abstractNumId="89">
    <w:nsid w:val="312167AD"/>
    <w:multiLevelType w:val="hybridMultilevel"/>
    <w:lvl w:ilvl="0">
      <w:lvlJc w:val="left"/>
      <w:lvlText w:val="(%1)"/>
      <w:numFmt w:val="lowerLetter"/>
      <w:start w:val="1"/>
    </w:lvl>
  </w:abstractNum>
  <w:abstractNum w:abstractNumId="90">
    <w:nsid w:val="631B64D4"/>
    <w:multiLevelType w:val="hybridMultilevel"/>
    <w:lvl w:ilvl="0">
      <w:lvlJc w:val="left"/>
      <w:lvlText w:val="(%1)"/>
      <w:numFmt w:val="lowerLetter"/>
      <w:start w:val="10"/>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decimal"/>
      <w:start w:val="3"/>
    </w:lvl>
  </w:abstractNum>
  <w:abstractNum w:abstractNumId="93">
    <w:nsid w:val="6E534CDE"/>
    <w:multiLevelType w:val="hybridMultilevel"/>
    <w:lvl w:ilvl="0">
      <w:lvlJc w:val="left"/>
      <w:lvlText w:val="%1."/>
      <w:numFmt w:val="decimal"/>
      <w:start w:val="4"/>
    </w:lvl>
  </w:abstractNum>
  <w:abstractNum w:abstractNumId="94">
    <w:nsid w:val="1A0DDE32"/>
    <w:multiLevelType w:val="hybridMultilevel"/>
    <w:lvl w:ilvl="0">
      <w:lvlJc w:val="left"/>
      <w:lvlText w:val="%1."/>
      <w:numFmt w:val="decimal"/>
      <w:start w:val="5"/>
    </w:lvl>
  </w:abstractNum>
  <w:abstractNum w:abstractNumId="95">
    <w:nsid w:val="65968C1C"/>
    <w:multiLevelType w:val="hybridMultilevel"/>
    <w:lvl w:ilvl="0">
      <w:lvlJc w:val="left"/>
      <w:lvlText w:val="%1."/>
      <w:numFmt w:val="decimal"/>
      <w:start w:val="6"/>
    </w:lvl>
  </w:abstractNum>
  <w:abstractNum w:abstractNumId="96">
    <w:nsid w:val="46263DEC"/>
    <w:multiLevelType w:val="hybridMultilevel"/>
    <w:lvl w:ilvl="0">
      <w:lvlJc w:val="left"/>
      <w:lvlText w:val="%1."/>
      <w:numFmt w:val="decimal"/>
      <w:start w:val="7"/>
    </w:lvl>
  </w:abstractNum>
  <w:abstractNum w:abstractNumId="97">
    <w:nsid w:val="260D8C4A"/>
    <w:multiLevelType w:val="hybridMultilevel"/>
    <w:lvl w:ilvl="0">
      <w:lvlJc w:val="left"/>
      <w:lvlText w:val="%1."/>
      <w:numFmt w:val="decimal"/>
      <w:start w:val="8"/>
    </w:lvl>
  </w:abstractNum>
  <w:abstractNum w:abstractNumId="98">
    <w:nsid w:val="73D4D3C4"/>
    <w:multiLevelType w:val="hybridMultilevel"/>
    <w:lvl w:ilvl="0">
      <w:lvlJc w:val="left"/>
      <w:lvlText w:val="(%1)"/>
      <w:numFmt w:val="decimal"/>
      <w:start w:val="3"/>
    </w:lvl>
  </w:abstractNum>
  <w:abstractNum w:abstractNumId="99">
    <w:nsid w:val="746F2E30"/>
    <w:multiLevelType w:val="hybridMultilevel"/>
    <w:lvl w:ilvl="0">
      <w:lvlJc w:val="left"/>
      <w:lvlText w:val="%1."/>
      <w:numFmt w:val="decimal"/>
      <w:start w:val="9"/>
    </w:lvl>
  </w:abstractNum>
  <w:abstractNum w:abstractNumId="100">
    <w:nsid w:val="6FDE8AF6"/>
    <w:multiLevelType w:val="hybridMultilevel"/>
    <w:lvl w:ilvl="0">
      <w:lvlJc w:val="left"/>
      <w:lvlText w:val="%1."/>
      <w:numFmt w:val="decimal"/>
      <w:start w:val="10"/>
    </w:lvl>
  </w:abstractNum>
  <w:abstractNum w:abstractNumId="101">
    <w:nsid w:val="3FC32E20"/>
    <w:multiLevelType w:val="hybridMultilevel"/>
    <w:lvl w:ilvl="0">
      <w:lvlJc w:val="left"/>
      <w:lvlText w:val="%1."/>
      <w:numFmt w:val="decimal"/>
      <w:start w:val="11"/>
    </w:lvl>
  </w:abstractNum>
  <w:abstractNum w:abstractNumId="102">
    <w:nsid w:val="49C0E823"/>
    <w:multiLevelType w:val="hybridMultilevel"/>
    <w:lvl w:ilvl="0">
      <w:lvlJc w:val="left"/>
      <w:lvlText w:val="%1."/>
      <w:numFmt w:val="decimal"/>
      <w:start w:val="12"/>
    </w:lvl>
  </w:abstractNum>
  <w:abstractNum w:abstractNumId="103">
    <w:nsid w:val="14D53685"/>
    <w:multiLevelType w:val="hybridMultilevel"/>
    <w:lvl w:ilvl="0">
      <w:lvlJc w:val="left"/>
      <w:lvlText w:val="%1."/>
      <w:numFmt w:val="decimal"/>
      <w:start w:val="13"/>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decimal"/>
      <w:start w:val="1"/>
    </w:lvl>
  </w:abstractNum>
  <w:abstractNum w:abstractNumId="106">
    <w:nsid w:val="3F06ECB2"/>
    <w:multiLevelType w:val="hybridMultilevel"/>
    <w:lvl w:ilvl="0">
      <w:lvlJc w:val="left"/>
      <w:lvlText w:val="(%1)"/>
      <w:numFmt w:val="lowerRoman"/>
      <w:start w:val="1"/>
    </w:lvl>
  </w:abstractNum>
  <w:abstractNum w:abstractNumId="107">
    <w:nsid w:val="3B594807"/>
    <w:multiLevelType w:val="hybridMultilevel"/>
    <w:lvl w:ilvl="0">
      <w:lvlJc w:val="left"/>
      <w:lvlText w:val="2"/>
      <w:numFmt w:val="bullet"/>
      <w:start w:val="1"/>
    </w:lvl>
  </w:abstractNum>
  <w:abstractNum w:abstractNumId="108">
    <w:nsid w:val="6CAA2304"/>
    <w:multiLevelType w:val="hybridMultilevel"/>
    <w:lvl w:ilvl="0">
      <w:lvlJc w:val="left"/>
      <w:lvlText w:val="%1."/>
      <w:numFmt w:val="decimal"/>
      <w:start w:val="1"/>
    </w:lvl>
    <w:lvl w:ilvl="1">
      <w:lvlJc w:val="left"/>
      <w:lvlText w:val="(%2)"/>
      <w:numFmt w:val="lowerLetter"/>
      <w:start w:val="1"/>
    </w:lvl>
  </w:abstractNum>
  <w:abstractNum w:abstractNumId="109">
    <w:nsid w:val="3F7C2FF4"/>
    <w:multiLevelType w:val="hybridMultilevel"/>
    <w:lvl w:ilvl="0">
      <w:lvlJc w:val="left"/>
      <w:lvlText w:val="(%1)"/>
      <w:numFmt w:val="decimal"/>
      <w:start w:val="90"/>
    </w:lvl>
    <w:lvl w:ilvl="1">
      <w:lvlJc w:val="left"/>
      <w:lvlText w:val="(%2)"/>
      <w:numFmt w:val="lowerLetter"/>
      <w:start w:val="7"/>
    </w:lvl>
  </w:abstractNum>
  <w:abstractNum w:abstractNumId="110">
    <w:nsid w:val="25413BEC"/>
    <w:multiLevelType w:val="hybridMultilevel"/>
    <w:lvl w:ilvl="0">
      <w:lvlJc w:val="left"/>
      <w:lvlText w:val="(%1)"/>
      <w:numFmt w:val="upperLetter"/>
      <w:start w:val="2"/>
    </w:lvl>
    <w:lvl w:ilvl="1">
      <w:lvlJc w:val="left"/>
      <w:lvlText w:val="(%2)"/>
      <w:numFmt w:val="lowerLetter"/>
      <w:start w:val="14"/>
    </w:lvl>
  </w:abstractNum>
  <w:abstractNum w:abstractNumId="111">
    <w:nsid w:val="17180B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12">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3">
    <w:nsid w:val="5D205E2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4">
    <w:nsid w:val="11CCA8BA"/>
    <w:multiLevelType w:val="hybridMultilevel"/>
    <w:lvl w:ilvl="0">
      <w:lvlJc w:val="left"/>
      <w:lvlText w:val="(%1)"/>
      <w:numFmt w:val="lowerLetter"/>
      <w:start w:val="2"/>
    </w:lvl>
  </w:abstractNum>
  <w:abstractNum w:abstractNumId="115">
    <w:nsid w:val="4D32AB8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6">
    <w:nsid w:val="3F07ACC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7">
    <w:nsid w:val="6B47F63E"/>
    <w:multiLevelType w:val="hybridMultilevel"/>
    <w:lvl w:ilvl="0">
      <w:lvlJc w:val="left"/>
      <w:lvlText w:val="(%1)"/>
      <w:numFmt w:val="lowerLetter"/>
      <w:start w:val="2"/>
    </w:lvl>
  </w:abstractNum>
  <w:abstractNum w:abstractNumId="118">
    <w:nsid w:val="5CB44A05"/>
    <w:multiLevelType w:val="hybridMultilevel"/>
    <w:lvl w:ilvl="0">
      <w:lvlJc w:val="left"/>
      <w:lvlText w:val="%1"/>
      <w:numFmt w:val="decimal"/>
      <w:start w:val="1"/>
    </w:lvl>
    <w:lvl w:ilvl="1">
      <w:lvlJc w:val="left"/>
      <w:lvlText w:val="(%2)"/>
      <w:numFmt w:val="lowerLetter"/>
      <w:start w:val="3"/>
    </w:lvl>
  </w:abstractNum>
  <w:abstractNum w:abstractNumId="119">
    <w:nsid w:val="16CF80F1"/>
    <w:multiLevelType w:val="hybridMultilevel"/>
    <w:lvl w:ilvl="0">
      <w:lvlJc w:val="left"/>
      <w:lvlText w:val="%1."/>
      <w:numFmt w:val="decimal"/>
      <w:start w:val="5"/>
    </w:lvl>
    <w:lvl w:ilvl="1">
      <w:lvlJc w:val="left"/>
      <w:lvlText w:val="(%2)"/>
      <w:numFmt w:val="lowerLetter"/>
      <w:start w:val="1"/>
    </w:lvl>
  </w:abstractNum>
  <w:abstractNum w:abstractNumId="120">
    <w:nsid w:val="1C695DEC"/>
    <w:multiLevelType w:val="hybridMultilevel"/>
    <w:lvl w:ilvl="0">
      <w:lvlJc w:val="left"/>
      <w:lvlText w:val="%1"/>
      <w:numFmt w:val="decimal"/>
      <w:start w:val="1"/>
    </w:lvl>
    <w:lvl w:ilvl="1">
      <w:lvlJc w:val="left"/>
      <w:lvlText w:val="(%2)"/>
      <w:numFmt w:val="lowerRoman"/>
      <w:start w:val="1"/>
    </w:lvl>
  </w:abstractNum>
  <w:abstractNum w:abstractNumId="121">
    <w:nsid w:val="3FCFAED9"/>
    <w:multiLevelType w:val="hybridMultilevel"/>
    <w:lvl w:ilvl="0">
      <w:lvlJc w:val="left"/>
      <w:lvlText w:val="(%1)"/>
      <w:numFmt w:val="decimal"/>
      <w:start w:val="12"/>
    </w:lvl>
    <w:lvl w:ilvl="1">
      <w:lvlJc w:val="left"/>
      <w:lvlText w:val="(%2)"/>
      <w:numFmt w:val="lowerRoman"/>
      <w:start w:val="2"/>
    </w:lvl>
  </w:abstractNum>
  <w:abstractNum w:abstractNumId="122">
    <w:nsid w:val="F856867"/>
    <w:multiLevelType w:val="hybridMultilevel"/>
    <w:lvl w:ilvl="0">
      <w:lvlJc w:val="left"/>
      <w:lvlText w:val="%1"/>
      <w:numFmt w:val="decimal"/>
      <w:start w:val="1"/>
    </w:lvl>
    <w:lvl w:ilvl="1">
      <w:lvlJc w:val="left"/>
      <w:lvlText w:val="(%2)"/>
      <w:numFmt w:val="lowerLetter"/>
      <w:start w:val="3"/>
    </w:lvl>
  </w:abstractNum>
  <w:abstractNum w:abstractNumId="123">
    <w:nsid w:val="11B1CC33"/>
    <w:multiLevelType w:val="hybridMultilevel"/>
    <w:lvl w:ilvl="0">
      <w:lvlJc w:val="left"/>
      <w:lvlText w:val="%1."/>
      <w:numFmt w:val="decimal"/>
      <w:start w:val="6"/>
    </w:lvl>
    <w:lvl w:ilvl="1">
      <w:lvlJc w:val="left"/>
      <w:lvlText w:val="(%2)"/>
      <w:numFmt w:val="lowerLetter"/>
      <w:start w:val="1"/>
    </w:lvl>
  </w:abstractNum>
  <w:abstractNum w:abstractNumId="124">
    <w:nsid w:val="2E22FBB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5">
    <w:nsid w:val="2993469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6">
    <w:nsid w:val="77485850"/>
    <w:multiLevelType w:val="hybridMultilevel"/>
    <w:lvl w:ilvl="0">
      <w:lvlJc w:val="left"/>
      <w:lvlText w:val="%1"/>
      <w:numFmt w:val="lowerLetter"/>
      <w:start w:val="1"/>
    </w:lvl>
    <w:lvl w:ilvl="1">
      <w:lvlJc w:val="left"/>
      <w:lvlText w:val="(%2)"/>
      <w:numFmt w:val="lowerLetter"/>
      <w:start w:val="35"/>
    </w:lvl>
  </w:abstractNum>
  <w:abstractNum w:abstractNumId="127">
    <w:nsid w:val="744939A3"/>
    <w:multiLevelType w:val="hybridMultilevel"/>
    <w:lvl w:ilvl="0">
      <w:lvlJc w:val="left"/>
      <w:lvlText w:val="(%1)"/>
      <w:numFmt w:val="lowerLetter"/>
      <w:start w:val="4"/>
    </w:lvl>
    <w:lvl w:ilvl="1">
      <w:lvlJc w:val="left"/>
      <w:lvlText w:val="%2"/>
      <w:numFmt w:val="lowerLetter"/>
      <w:start w:val="1"/>
    </w:lvl>
  </w:abstractNum>
  <w:abstractNum w:abstractNumId="128">
    <w:nsid w:val="4FA0D2E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9">
    <w:nsid w:val="6B1D2C1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0">
    <w:nsid w:val="68B867D3"/>
    <w:multiLevelType w:val="hybridMultilevel"/>
    <w:lvl w:ilvl="0">
      <w:lvlJc w:val="left"/>
      <w:lvlText w:val="%1."/>
      <w:numFmt w:val="decimal"/>
      <w:start w:val="9"/>
    </w:lvl>
    <w:lvl w:ilvl="1">
      <w:lvlJc w:val="left"/>
      <w:lvlText w:val="(%2)"/>
      <w:numFmt w:val="lowerLetter"/>
      <w:start w:val="1"/>
    </w:lvl>
  </w:abstractNum>
  <w:abstractNum w:abstractNumId="131">
    <w:nsid w:val="3F7F5DD9"/>
    <w:multiLevelType w:val="hybridMultilevel"/>
    <w:lvl w:ilvl="0">
      <w:lvlJc w:val="left"/>
      <w:lvlText w:val="%1"/>
      <w:numFmt w:val="decimal"/>
      <w:start w:val="1"/>
    </w:lvl>
    <w:lvl w:ilvl="1">
      <w:lvlJc w:val="left"/>
      <w:lvlText w:val="(%2)"/>
      <w:numFmt w:val="lowerLetter"/>
      <w:start w:val="2"/>
    </w:lvl>
  </w:abstractNum>
  <w:abstractNum w:abstractNumId="132">
    <w:nsid w:val="2AE05A34"/>
    <w:multiLevelType w:val="hybridMultilevel"/>
    <w:lvl w:ilvl="0">
      <w:lvlJc w:val="left"/>
      <w:lvlText w:val="%1."/>
      <w:numFmt w:val="decimal"/>
      <w:start w:val="12"/>
    </w:lvl>
    <w:lvl w:ilvl="1">
      <w:lvlJc w:val="left"/>
      <w:lvlText w:val="(%2)"/>
      <w:numFmt w:val="lowerLetter"/>
      <w:start w:val="1"/>
    </w:lvl>
  </w:abstractNum>
  <w:abstractNum w:abstractNumId="133">
    <w:nsid w:val="32794FF7"/>
    <w:multiLevelType w:val="hybridMultilevel"/>
    <w:lvl w:ilvl="0">
      <w:lvlJc w:val="left"/>
      <w:lvlText w:val="(%1)"/>
      <w:numFmt w:val="decimal"/>
      <w:start w:val="1"/>
    </w:lvl>
    <w:lvl w:ilvl="1">
      <w:lvlJc w:val="left"/>
      <w:lvlText w:val="(%2)"/>
      <w:numFmt w:val="lowerLetter"/>
      <w:start w:val="2"/>
    </w:lvl>
  </w:abstractNum>
  <w:abstractNum w:abstractNumId="134">
    <w:nsid w:val="5454945E"/>
    <w:multiLevelType w:val="hybridMultilevel"/>
    <w:lvl w:ilvl="0">
      <w:lvlJc w:val="left"/>
      <w:lvlText w:val="%1."/>
      <w:numFmt w:val="decimal"/>
      <w:start w:val="13"/>
    </w:lvl>
  </w:abstractNum>
  <w:abstractNum w:abstractNumId="135">
    <w:nsid w:val="4DEFDFA0"/>
    <w:multiLevelType w:val="hybridMultilevel"/>
    <w:lvl w:ilvl="0">
      <w:lvlJc w:val="left"/>
      <w:lvlText w:val="%1."/>
      <w:numFmt w:val="decimal"/>
      <w:start w:val="14"/>
    </w:lvl>
    <w:lvl w:ilvl="1">
      <w:lvlJc w:val="left"/>
      <w:lvlText w:val="(%2)"/>
      <w:numFmt w:val="lowerLetter"/>
      <w:start w:val="1"/>
    </w:lvl>
  </w:abstractNum>
  <w:abstractNum w:abstractNumId="136">
    <w:nsid w:val="2123D5F2"/>
    <w:multiLevelType w:val="hybridMultilevel"/>
    <w:lvl w:ilvl="0">
      <w:lvlJc w:val="left"/>
      <w:lvlText w:val="%1."/>
      <w:numFmt w:val="decimal"/>
      <w:start w:val="20"/>
    </w:lvl>
  </w:abstractNum>
  <w:abstractNum w:abstractNumId="137">
    <w:nsid w:val="135B8110"/>
    <w:multiLevelType w:val="hybridMultilevel"/>
    <w:lvl w:ilvl="0">
      <w:lvlJc w:val="left"/>
      <w:lvlText w:val="%1."/>
      <w:numFmt w:val="decimal"/>
      <w:start w:val="25"/>
    </w:lvl>
  </w:abstractNum>
  <w:abstractNum w:abstractNumId="138">
    <w:nsid w:val="94927A8"/>
    <w:multiLevelType w:val="hybridMultilevel"/>
    <w:lvl w:ilvl="0">
      <w:lvlJc w:val="left"/>
      <w:lvlText w:val="(%1)"/>
      <w:numFmt w:val="lowerLetter"/>
      <w:start w:val="25"/>
    </w:lvl>
  </w:abstractNum>
  <w:abstractNum w:abstractNumId="139">
    <w:nsid w:val="DCDF8F6"/>
    <w:multiLevelType w:val="hybridMultilevel"/>
    <w:lvl w:ilvl="0">
      <w:lvlJc w:val="left"/>
      <w:lvlText w:val="(%1)"/>
      <w:numFmt w:val="lowerRoman"/>
      <w:start w:val="1"/>
    </w:lvl>
  </w:abstractNum>
  <w:abstractNum w:abstractNumId="140">
    <w:nsid w:val="52D7B105"/>
    <w:multiLevelType w:val="hybridMultilevel"/>
    <w:lvl w:ilvl="0">
      <w:lvlJc w:val="left"/>
      <w:lvlText w:val="1"/>
      <w:numFmt w:val="bullet"/>
      <w:start w:val="1"/>
    </w:lvl>
  </w:abstractNum>
  <w:abstractNum w:abstractNumId="141">
    <w:nsid w:val="2E8A6394"/>
    <w:multiLevelType w:val="hybridMultilevel"/>
    <w:lvl w:ilvl="0">
      <w:lvlJc w:val="left"/>
      <w:lvlText w:val="%1."/>
      <w:numFmt w:val="decimal"/>
      <w:start w:val="1"/>
    </w:lvl>
  </w:abstractNum>
  <w:abstractNum w:abstractNumId="142">
    <w:nsid w:val="24E60401"/>
    <w:multiLevelType w:val="hybridMultilevel"/>
    <w:lvl w:ilvl="0">
      <w:lvlJc w:val="left"/>
      <w:lvlText w:val="(%1)"/>
      <w:numFmt w:val="lowerLetter"/>
      <w:start w:val="1"/>
    </w:lvl>
  </w:abstractNum>
  <w:abstractNum w:abstractNumId="143">
    <w:nsid w:val="2A6AD9BE"/>
    <w:multiLevelType w:val="hybridMultilevel"/>
    <w:lvl w:ilvl="0">
      <w:lvlJc w:val="left"/>
      <w:lvlText w:val="%1."/>
      <w:numFmt w:val="decimal"/>
      <w:start w:val="2"/>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lowerLetter"/>
      <w:start w:val="10"/>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decimal"/>
      <w:start w:val="3"/>
    </w:lvl>
  </w:abstractNum>
  <w:abstractNum w:abstractNumId="148">
    <w:nsid w:val="21FAA2FA"/>
    <w:multiLevelType w:val="hybridMultilevel"/>
    <w:lvl w:ilvl="0">
      <w:lvlJc w:val="left"/>
      <w:lvlText w:val="%1."/>
      <w:numFmt w:val="decimal"/>
      <w:start w:val="4"/>
    </w:lvl>
  </w:abstractNum>
  <w:abstractNum w:abstractNumId="149">
    <w:nsid w:val="5451CF49"/>
    <w:multiLevelType w:val="hybridMultilevel"/>
    <w:lvl w:ilvl="0">
      <w:lvlJc w:val="left"/>
      <w:lvlText w:val="%1."/>
      <w:numFmt w:val="decimal"/>
      <w:start w:val="5"/>
    </w:lvl>
  </w:abstractNum>
  <w:abstractNum w:abstractNumId="150">
    <w:nsid w:val="6181EF69"/>
    <w:multiLevelType w:val="hybridMultilevel"/>
    <w:lvl w:ilvl="0">
      <w:lvlJc w:val="left"/>
      <w:lvlText w:val="%1."/>
      <w:numFmt w:val="decimal"/>
      <w:start w:val="6"/>
    </w:lvl>
  </w:abstractNum>
  <w:abstractNum w:abstractNumId="151">
    <w:nsid w:val="3E6400E6"/>
    <w:multiLevelType w:val="hybridMultilevel"/>
    <w:lvl w:ilvl="0">
      <w:lvlJc w:val="left"/>
      <w:lvlText w:val="%1."/>
      <w:numFmt w:val="decimal"/>
      <w:start w:val="7"/>
    </w:lvl>
  </w:abstractNum>
  <w:abstractNum w:abstractNumId="152">
    <w:nsid w:val="14217E23"/>
    <w:multiLevelType w:val="hybridMultilevel"/>
    <w:lvl w:ilvl="0">
      <w:lvlJc w:val="left"/>
      <w:lvlText w:val="%1."/>
      <w:numFmt w:val="decimal"/>
      <w:start w:val="8"/>
    </w:lvl>
  </w:abstractNum>
  <w:abstractNum w:abstractNumId="153">
    <w:nsid w:val="710757D0"/>
    <w:multiLevelType w:val="hybridMultilevel"/>
    <w:lvl w:ilvl="0">
      <w:lvlJc w:val="left"/>
      <w:lvlText w:val="(%1)"/>
      <w:numFmt w:val="decimal"/>
      <w:start w:val="3"/>
    </w:lvl>
  </w:abstractNum>
  <w:abstractNum w:abstractNumId="154">
    <w:nsid w:val="5015CD1A"/>
    <w:multiLevelType w:val="hybridMultilevel"/>
    <w:lvl w:ilvl="0">
      <w:lvlJc w:val="left"/>
      <w:lvlText w:val="%1."/>
      <w:numFmt w:val="decimal"/>
      <w:start w:val="9"/>
    </w:lvl>
  </w:abstractNum>
  <w:abstractNum w:abstractNumId="155">
    <w:nsid w:val="424479DA"/>
    <w:multiLevelType w:val="hybridMultilevel"/>
    <w:lvl w:ilvl="0">
      <w:lvlJc w:val="left"/>
      <w:lvlText w:val="%1."/>
      <w:numFmt w:val="decimal"/>
      <w:start w:val="10"/>
    </w:lvl>
  </w:abstractNum>
  <w:abstractNum w:abstractNumId="156">
    <w:nsid w:val="1A9A9E69"/>
    <w:multiLevelType w:val="hybridMultilevel"/>
    <w:lvl w:ilvl="0">
      <w:lvlJc w:val="left"/>
      <w:lvlText w:val="%1."/>
      <w:numFmt w:val="decimal"/>
      <w:start w:val="11"/>
    </w:lvl>
  </w:abstractNum>
  <w:abstractNum w:abstractNumId="157">
    <w:nsid w:val="475E256A"/>
    <w:multiLevelType w:val="hybridMultilevel"/>
    <w:lvl w:ilvl="0">
      <w:lvlJc w:val="left"/>
      <w:lvlText w:val="%1."/>
      <w:numFmt w:val="decimal"/>
      <w:start w:val="12"/>
    </w:lvl>
  </w:abstractNum>
  <w:abstractNum w:abstractNumId="158">
    <w:nsid w:val="368DB37E"/>
    <w:multiLevelType w:val="hybridMultilevel"/>
    <w:lvl w:ilvl="0">
      <w:lvlJc w:val="left"/>
      <w:lvlText w:val="%1."/>
      <w:numFmt w:val="decimal"/>
      <w:start w:val="13"/>
    </w:lvl>
  </w:abstractNum>
  <w:abstractNum w:abstractNumId="159">
    <w:nsid w:val="6A3B714C"/>
    <w:multiLevelType w:val="hybridMultilevel"/>
    <w:lvl w:ilvl="0">
      <w:lvlJc w:val="left"/>
      <w:lvlText w:val="(%1)"/>
      <w:numFmt w:val="lowerLetter"/>
      <w:start w:val="1"/>
    </w:lvl>
  </w:abstractNum>
  <w:abstractNum w:abstractNumId="160">
    <w:nsid w:val="327B517E"/>
    <w:multiLevelType w:val="hybridMultilevel"/>
    <w:lvl w:ilvl="0">
      <w:lvlJc w:val="left"/>
      <w:lvlText w:val="%1."/>
      <w:numFmt w:val="decimal"/>
      <w:start w:val="1"/>
    </w:lvl>
  </w:abstractNum>
  <w:abstractNum w:abstractNumId="161">
    <w:nsid w:val="1F461B51"/>
    <w:multiLevelType w:val="hybridMultilevel"/>
    <w:lvl w:ilvl="0">
      <w:lvlJc w:val="left"/>
      <w:lvlText w:val="%1."/>
      <w:numFmt w:val="decimal"/>
      <w:start w:val="1"/>
    </w:lvl>
  </w:abstractNum>
  <w:abstractNum w:abstractNumId="162">
    <w:nsid w:val="29BACF25"/>
    <w:multiLevelType w:val="hybridMultilevel"/>
    <w:lvl w:ilvl="0">
      <w:lvlJc w:val="left"/>
      <w:lvlText w:val="(%1)"/>
      <w:numFmt w:val="lowerLetter"/>
      <w:start w:val="1"/>
    </w:lvl>
  </w:abstractNum>
  <w:abstractNum w:abstractNumId="163">
    <w:nsid w:val="5D5BABB3"/>
    <w:multiLevelType w:val="hybridMultilevel"/>
    <w:lvl w:ilvl="0">
      <w:lvlJc w:val="left"/>
      <w:lvlText w:val="%1."/>
      <w:numFmt w:val="decimal"/>
      <w:start w:val="2"/>
    </w:lvl>
  </w:abstractNum>
  <w:abstractNum w:abstractNumId="164">
    <w:nsid w:val="51BF6B48"/>
    <w:multiLevelType w:val="hybridMultilevel"/>
    <w:lvl w:ilvl="0">
      <w:lvlJc w:val="left"/>
      <w:lvlText w:val="(%1)"/>
      <w:numFmt w:val="lowerLetter"/>
      <w:start w:val="1"/>
    </w:lvl>
  </w:abstractNum>
  <w:abstractNum w:abstractNumId="165">
    <w:nsid w:val="7E0F6384"/>
    <w:multiLevelType w:val="hybridMultilevel"/>
    <w:lvl w:ilvl="0">
      <w:lvlJc w:val="left"/>
      <w:lvlText w:val="(%1)"/>
      <w:numFmt w:val="lowerLetter"/>
      <w:start w:val="5"/>
    </w:lvl>
  </w:abstractNum>
  <w:abstractNum w:abstractNumId="166">
    <w:nsid w:val="2B4B8B53"/>
    <w:multiLevelType w:val="hybridMultilevel"/>
    <w:lvl w:ilvl="0">
      <w:lvlJc w:val="left"/>
      <w:lvlText w:val="%1"/>
      <w:numFmt w:val="decimal"/>
      <w:start w:val="1"/>
    </w:lvl>
    <w:lvl w:ilvl="1">
      <w:lvlJc w:val="left"/>
      <w:lvlText w:val="(%2)"/>
      <w:numFmt w:val="lowerLetter"/>
      <w:start w:val="1"/>
    </w:lvl>
  </w:abstractNum>
  <w:abstractNum w:abstractNumId="167">
    <w:nsid w:val="72E3413A"/>
    <w:multiLevelType w:val="hybridMultilevel"/>
    <w:lvl w:ilvl="0">
      <w:lvlJc w:val="left"/>
      <w:lvlText w:val="%1."/>
      <w:numFmt w:val="decimal"/>
      <w:start w:val="3"/>
    </w:lvl>
    <w:lvl w:ilvl="1">
      <w:lvlJc w:val="left"/>
      <w:lvlText w:val="%2"/>
      <w:numFmt w:val="lowerLetter"/>
      <w:start w:val="1"/>
    </w:lvl>
  </w:abstractNum>
  <w:abstractNum w:abstractNumId="168">
    <w:nsid w:val="116AE494"/>
    <w:multiLevelType w:val="hybridMultilevel"/>
    <w:lvl w:ilvl="0">
      <w:lvlJc w:val="left"/>
      <w:lvlText w:val="%1."/>
      <w:numFmt w:val="decimal"/>
      <w:start w:val="4"/>
    </w:lvl>
  </w:abstractNum>
  <w:abstractNum w:abstractNumId="169">
    <w:nsid w:val="3494B2FB"/>
    <w:multiLevelType w:val="hybridMultilevel"/>
    <w:lvl w:ilvl="0">
      <w:lvlJc w:val="left"/>
      <w:lvlText w:val="%1."/>
      <w:numFmt w:val="decimal"/>
      <w:start w:val="5"/>
    </w:lvl>
  </w:abstractNum>
  <w:abstractNum w:abstractNumId="170">
    <w:nsid w:val="B13A31"/>
    <w:multiLevelType w:val="hybridMultilevel"/>
    <w:lvl w:ilvl="0">
      <w:lvlJc w:val="left"/>
      <w:lvlText w:val="%1."/>
      <w:numFmt w:val="decimal"/>
      <w:start w:val="6"/>
    </w:lvl>
  </w:abstractNum>
  <w:abstractNum w:abstractNumId="171">
    <w:nsid w:val="64429599"/>
    <w:multiLevelType w:val="hybridMultilevel"/>
    <w:lvl w:ilvl="0">
      <w:lvlJc w:val="left"/>
      <w:lvlText w:val="%1."/>
      <w:numFmt w:val="decimal"/>
      <w:start w:val="7"/>
    </w:lvl>
  </w:abstractNum>
  <w:abstractNum w:abstractNumId="172">
    <w:nsid w:val="631F1690"/>
    <w:multiLevelType w:val="hybridMultilevel"/>
    <w:lvl w:ilvl="0">
      <w:lvlJc w:val="left"/>
      <w:lvlText w:val="%1."/>
      <w:numFmt w:val="decimal"/>
      <w:start w:val="8"/>
    </w:lvl>
  </w:abstractNum>
  <w:abstractNum w:abstractNumId="173">
    <w:nsid w:val="25973E32"/>
    <w:multiLevelType w:val="hybridMultilevel"/>
    <w:lvl w:ilvl="0">
      <w:lvlJc w:val="left"/>
      <w:lvlText w:val="(%1)"/>
      <w:numFmt w:val="decimal"/>
      <w:start w:val="3"/>
    </w:lvl>
  </w:abstractNum>
  <w:abstractNum w:abstractNumId="174">
    <w:nsid w:val="EAD6F57"/>
    <w:multiLevelType w:val="hybridMultilevel"/>
    <w:lvl w:ilvl="0">
      <w:lvlJc w:val="left"/>
      <w:lvlText w:val="%1."/>
      <w:numFmt w:val="decimal"/>
      <w:start w:val="9"/>
    </w:lvl>
  </w:abstractNum>
  <w:abstractNum w:abstractNumId="175">
    <w:nsid w:val="6EC9D844"/>
    <w:multiLevelType w:val="hybridMultilevel"/>
    <w:lvl w:ilvl="0">
      <w:lvlJc w:val="left"/>
      <w:lvlText w:val="(%1)"/>
      <w:numFmt w:val="lowerRoman"/>
      <w:start w:val="3"/>
    </w:lvl>
    <w:lvl w:ilvl="1">
      <w:lvlJc w:val="left"/>
      <w:lvlText w:val="%2."/>
      <w:numFmt w:val="decimal"/>
      <w:start w:val="10"/>
    </w:lvl>
  </w:abstractNum>
  <w:abstractNum w:abstractNumId="176">
    <w:nsid w:val="5C49EAEE"/>
    <w:multiLevelType w:val="hybridMultilevel"/>
    <w:lvl w:ilvl="0">
      <w:lvlJc w:val="left"/>
      <w:lvlText w:val="1"/>
      <w:numFmt w:val="bullet"/>
      <w:start w:val="1"/>
    </w:lvl>
  </w:abstractNum>
  <w:abstractNum w:abstractNumId="177">
    <w:nsid w:val="64AF49B"/>
    <w:multiLevelType w:val="hybridMultilevel"/>
    <w:lvl w:ilvl="0">
      <w:lvlJc w:val="left"/>
      <w:lvlText w:val="%1."/>
      <w:numFmt w:val="decimal"/>
      <w:start w:val="11"/>
    </w:lvl>
  </w:abstractNum>
  <w:abstractNum w:abstractNumId="178">
    <w:nsid w:val="397C46BC"/>
    <w:multiLevelType w:val="hybridMultilevel"/>
    <w:lvl w:ilvl="0">
      <w:lvlJc w:val="left"/>
      <w:lvlText w:val="%1."/>
      <w:numFmt w:val="decimal"/>
      <w:start w:val="12"/>
    </w:lvl>
  </w:abstractNum>
  <w:abstractNum w:abstractNumId="179">
    <w:nsid w:val="7E448DE9"/>
    <w:multiLevelType w:val="hybridMultilevel"/>
    <w:lvl w:ilvl="0">
      <w:lvlJc w:val="left"/>
      <w:lvlText w:val="%1."/>
      <w:numFmt w:val="decimal"/>
      <w:start w:val="13"/>
    </w:lvl>
  </w:abstractNum>
  <w:abstractNum w:abstractNumId="180">
    <w:nsid w:val="5A9CC3E5"/>
    <w:multiLevelType w:val="hybridMultilevel"/>
    <w:lvl w:ilvl="0">
      <w:lvlJc w:val="left"/>
      <w:lvlText w:val="(%1)"/>
      <w:numFmt w:val="lowerLetter"/>
      <w:start w:val="1"/>
    </w:lvl>
  </w:abstractNum>
  <w:abstractNum w:abstractNumId="181">
    <w:nsid w:val="1AFE3625"/>
    <w:multiLevelType w:val="hybridMultilevel"/>
    <w:lvl w:ilvl="0">
      <w:lvlJc w:val="left"/>
      <w:lvlText w:val="%1."/>
      <w:numFmt w:val="decimal"/>
      <w:start w:val="1"/>
    </w:lvl>
  </w:abstractNum>
  <w:abstractNum w:abstractNumId="182">
    <w:nsid w:val="3CA88ECF"/>
    <w:multiLevelType w:val="hybridMultilevel"/>
    <w:lvl w:ilvl="0">
      <w:lvlJc w:val="left"/>
      <w:lvlText w:val="%1."/>
      <w:numFmt w:val="decimal"/>
      <w:start w:val="1"/>
    </w:lvl>
  </w:abstractNum>
  <w:abstractNum w:abstractNumId="183">
    <w:nsid w:val="6EBE4208"/>
    <w:multiLevelType w:val="hybridMultilevel"/>
    <w:lvl w:ilvl="0">
      <w:lvlJc w:val="left"/>
      <w:lvlText w:val="(%1)"/>
      <w:numFmt w:val="lowerLetter"/>
      <w:start w:val="1"/>
    </w:lvl>
  </w:abstractNum>
  <w:abstractNum w:abstractNumId="184">
    <w:nsid w:val="C058DF5"/>
    <w:multiLevelType w:val="hybridMultilevel"/>
    <w:lvl w:ilvl="0">
      <w:lvlJc w:val="left"/>
      <w:lvlText w:val="%1."/>
      <w:numFmt w:val="decimal"/>
      <w:start w:val="2"/>
    </w:lvl>
  </w:abstractNum>
  <w:abstractNum w:abstractNumId="185">
    <w:nsid w:val="CBE5BE9"/>
    <w:multiLevelType w:val="hybridMultilevel"/>
    <w:lvl w:ilvl="0">
      <w:lvlJc w:val="left"/>
      <w:lvlText w:val="(%1)"/>
      <w:numFmt w:val="lowerLetter"/>
      <w:start w:val="1"/>
    </w:lvl>
  </w:abstractNum>
  <w:abstractNum w:abstractNumId="186">
    <w:nsid w:val="3102BBE2"/>
    <w:multiLevelType w:val="hybridMultilevel"/>
    <w:lvl w:ilvl="0">
      <w:lvlJc w:val="left"/>
      <w:lvlText w:val="(%1)"/>
      <w:numFmt w:val="lowerLetter"/>
      <w:start w:val="7"/>
    </w:lvl>
  </w:abstractNum>
  <w:abstractNum w:abstractNumId="187">
    <w:nsid w:val="26A02C5E"/>
    <w:multiLevelType w:val="hybridMultilevel"/>
    <w:lvl w:ilvl="0">
      <w:lvlJc w:val="left"/>
      <w:lvlText w:val="(%1)"/>
      <w:numFmt w:val="lowerLetter"/>
      <w:start w:val="1"/>
    </w:lvl>
  </w:abstractNum>
  <w:abstractNum w:abstractNumId="188">
    <w:nsid w:val="541C8153"/>
    <w:multiLevelType w:val="hybridMultilevel"/>
    <w:lvl w:ilvl="0">
      <w:lvlJc w:val="left"/>
      <w:lvlText w:val="%1"/>
      <w:numFmt w:val="decimal"/>
      <w:start w:val="1"/>
    </w:lvl>
    <w:lvl w:ilvl="1">
      <w:lvlJc w:val="left"/>
      <w:lvlText w:val="(%2)"/>
      <w:numFmt w:val="lowerLetter"/>
      <w:start w:val="2"/>
    </w:lvl>
  </w:abstractNum>
  <w:abstractNum w:abstractNumId="189">
    <w:nsid w:val="67906F60"/>
    <w:multiLevelType w:val="hybridMultilevel"/>
    <w:lvl w:ilvl="0">
      <w:lvlJc w:val="left"/>
      <w:lvlText w:val="%1."/>
      <w:numFmt w:val="decimal"/>
      <w:start w:val="3"/>
    </w:lvl>
    <w:lvl w:ilvl="1">
      <w:lvlJc w:val="left"/>
      <w:lvlText w:val="%2"/>
      <w:numFmt w:val="lowerLetter"/>
      <w:start w:val="1"/>
    </w:lvl>
  </w:abstractNum>
  <w:abstractNum w:abstractNumId="190">
    <w:nsid w:val="10DB9DAA"/>
    <w:multiLevelType w:val="hybridMultilevel"/>
    <w:lvl w:ilvl="0">
      <w:lvlJc w:val="left"/>
      <w:lvlText w:val="%1."/>
      <w:numFmt w:val="decimal"/>
      <w:start w:val="4"/>
    </w:lvl>
  </w:abstractNum>
  <w:abstractNum w:abstractNumId="191">
    <w:nsid w:val="697D2D2"/>
    <w:multiLevelType w:val="hybridMultilevel"/>
    <w:lvl w:ilvl="0">
      <w:lvlJc w:val="left"/>
      <w:lvlText w:val="%1."/>
      <w:numFmt w:val="decimal"/>
      <w:start w:val="5"/>
    </w:lvl>
  </w:abstractNum>
  <w:abstractNum w:abstractNumId="192">
    <w:nsid w:val="6D68AB2"/>
    <w:multiLevelType w:val="hybridMultilevel"/>
    <w:lvl w:ilvl="0">
      <w:lvlJc w:val="left"/>
      <w:lvlText w:val="%1."/>
      <w:numFmt w:val="decimal"/>
      <w:start w:val="6"/>
    </w:lvl>
  </w:abstractNum>
  <w:abstractNum w:abstractNumId="193">
    <w:nsid w:val="3A966CD0"/>
    <w:multiLevelType w:val="hybridMultilevel"/>
    <w:lvl w:ilvl="0">
      <w:lvlJc w:val="left"/>
      <w:lvlText w:val="%1."/>
      <w:numFmt w:val="decimal"/>
      <w:start w:val="7"/>
    </w:lvl>
  </w:abstractNum>
  <w:abstractNum w:abstractNumId="194">
    <w:nsid w:val="63F37E85"/>
    <w:multiLevelType w:val="hybridMultilevel"/>
    <w:lvl w:ilvl="0">
      <w:lvlJc w:val="left"/>
      <w:lvlText w:val="%1."/>
      <w:numFmt w:val="decimal"/>
      <w:start w:val="8"/>
    </w:lvl>
  </w:abstractNum>
  <w:abstractNum w:abstractNumId="195">
    <w:nsid w:val="5895F5FA"/>
    <w:multiLevelType w:val="hybridMultilevel"/>
    <w:lvl w:ilvl="0">
      <w:lvlJc w:val="left"/>
      <w:lvlText w:val="(%1)"/>
      <w:numFmt w:val="decimal"/>
      <w:start w:val="3"/>
    </w:lvl>
  </w:abstractNum>
  <w:abstractNum w:abstractNumId="196">
    <w:nsid w:val="38A5D054"/>
    <w:multiLevelType w:val="hybridMultilevel"/>
    <w:lvl w:ilvl="0">
      <w:lvlJc w:val="left"/>
      <w:lvlText w:val="%1."/>
      <w:numFmt w:val="decimal"/>
      <w:start w:val="9"/>
    </w:lvl>
  </w:abstractNum>
  <w:abstractNum w:abstractNumId="197">
    <w:nsid w:val="F3F09D8"/>
    <w:multiLevelType w:val="hybridMultilevel"/>
    <w:lvl w:ilvl="0">
      <w:lvlJc w:val="left"/>
      <w:lvlText w:val="%1."/>
      <w:numFmt w:val="decimal"/>
      <w:start w:val="10"/>
    </w:lvl>
  </w:abstractNum>
  <w:abstractNum w:abstractNumId="198">
    <w:nsid w:val="4B793735"/>
    <w:multiLevelType w:val="hybridMultilevel"/>
    <w:lvl w:ilvl="0">
      <w:lvlJc w:val="left"/>
      <w:lvlText w:val="%1."/>
      <w:numFmt w:val="decimal"/>
      <w:start w:val="11"/>
    </w:lvl>
  </w:abstractNum>
  <w:abstractNum w:abstractNumId="199">
    <w:nsid w:val="4A10B4E8"/>
    <w:multiLevelType w:val="hybridMultilevel"/>
    <w:lvl w:ilvl="0">
      <w:lvlJc w:val="left"/>
      <w:lvlText w:val="%1."/>
      <w:numFmt w:val="decimal"/>
      <w:start w:val="12"/>
    </w:lvl>
  </w:abstractNum>
  <w:abstractNum w:abstractNumId="200">
    <w:nsid w:val="43D3BCD4"/>
    <w:multiLevelType w:val="hybridMultilevel"/>
    <w:lvl w:ilvl="0">
      <w:lvlJc w:val="left"/>
      <w:lvlText w:val="%1."/>
      <w:numFmt w:val="decimal"/>
      <w:start w:val="13"/>
    </w:lvl>
  </w:abstractNum>
  <w:abstractNum w:abstractNumId="201">
    <w:nsid w:val="4C2A7166"/>
    <w:multiLevelType w:val="hybridMultilevel"/>
    <w:lvl w:ilvl="0">
      <w:lvlJc w:val="left"/>
      <w:lvlText w:val="(%1)"/>
      <w:numFmt w:val="lowerLetter"/>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2019-12-28T18:58:55Z</dcterms:created>
  <dcterms:modified xsi:type="dcterms:W3CDTF">2019-12-28T18:58:55Z</dcterms:modified>
</cp:coreProperties>
</file>