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Kim Young-Joon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MAGNACHIP SEMICONDUCTOR, LTD.,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108, YEOUI-DAERO, YEONGDEUNGPO-GU</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SEOUL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M5</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07335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MAGNACHIP SEMICONDUCTOR Corp</w:t>
              </w:r>
            </w:hyperlink>
            <w:r>
              <w:rPr/>
              <w:t xml:space="preserve"> [ </w:t>
            </w:r>
            <w:r>
              <w:rPr>
                <w:rFonts w:ascii="Times;serif" w:hAnsi="Times;serif"/>
                <w:color w:val="0000FF"/>
                <w:sz w:val="24"/>
                <w:shd w:fill="FFFFFF" w:val="clear"/>
              </w:rPr>
              <w:t>MX</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06/01/2025</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73"/>
        <w:gridCol w:w="904"/>
        <w:gridCol w:w="774"/>
        <w:gridCol w:w="600"/>
        <w:gridCol w:w="349"/>
        <w:gridCol w:w="1016"/>
        <w:gridCol w:w="454"/>
        <w:gridCol w:w="617"/>
        <w:gridCol w:w="1195"/>
        <w:gridCol w:w="998"/>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7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7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7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06/01/2025</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164,269</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590,970</w:t>
            </w:r>
            <w:r>
              <w:rPr>
                <w:rFonts w:ascii="Times;serif" w:hAnsi="Times;serif"/>
                <w:color w:val="008000"/>
                <w:position w:val="7"/>
                <w:sz w:val="16"/>
                <w:sz w:val="20"/>
                <w:shd w:fill="FFFFFF" w:val="clear"/>
              </w:rPr>
              <w:t>(1)</w:t>
            </w:r>
            <w:r>
              <w:rPr/>
              <w:t xml:space="preserve"> </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3154" w:type="dxa"/>
        <w:jc w:val="left"/>
        <w:tblInd w:w="-7" w:type="dxa"/>
        <w:tblLayout w:type="fixed"/>
        <w:tblCellMar>
          <w:top w:w="60" w:type="dxa"/>
          <w:left w:w="60" w:type="dxa"/>
          <w:bottom w:w="60" w:type="dxa"/>
          <w:right w:w="60" w:type="dxa"/>
        </w:tblCellMar>
      </w:tblPr>
      <w:tblGrid>
        <w:gridCol w:w="17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31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7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7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Performance-Based 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06/01/2025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164,269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01/31/2028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164,269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164,269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Since the date of the reporting person's last ownership report, he transferred 193,056 shares of the Issuer's common stock to his former spouse pursuant to a domestic relations order. The reporting person no longer reports as beneficially owned any securities owned by his former spouse.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Performance-Based Restricted Stock Unit ("PRSU") represents a contingent right to receive one share of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a number of shares of Issuer common stock that the Reporting Person would receive upon vesting and settlement of the PRSUs at the target level of performance. The PRSUs vest upon Issuer's common stock achieving a specified price per share.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Director and Chief Executive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Theodore Kim,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06/03/2025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6117" TargetMode="External"/><Relationship Id="rId5" Type="http://schemas.openxmlformats.org/officeDocument/2006/relationships/hyperlink" Target="http://www.sec.gov/cgi-bin/browse-edgar?action=getcompany&amp;CIK=00013257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690</Words>
  <Characters>3795</Characters>
  <CharactersWithSpaces>4411</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