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820" w:type="dxa"/>
            <w:vAlign w:val="bottom"/>
          </w:tcPr>
          <w:p>
            <w:pPr>
              <w:jc w:val="center"/>
              <w:ind w:right="20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rPr>
              <w:t>83-0406195</w:t>
            </w:r>
          </w:p>
        </w:tc>
      </w:tr>
      <w:tr>
        <w:trPr>
          <w:trHeight w:val="149"/>
        </w:trPr>
        <w:tc>
          <w:tcPr>
            <w:tcW w:w="3820" w:type="dxa"/>
            <w:vAlign w:val="bottom"/>
          </w:tcPr>
          <w:p>
            <w:pPr>
              <w:jc w:val="center"/>
              <w:ind w:right="20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2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20" w:type="dxa"/>
            <w:vAlign w:val="bottom"/>
          </w:tcPr>
          <w:p>
            <w:pPr>
              <w:jc w:val="center"/>
              <w:ind w:right="20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820" w:type="dxa"/>
            <w:vAlign w:val="bottom"/>
          </w:tcPr>
          <w:p>
            <w:pPr>
              <w:jc w:val="center"/>
              <w:ind w:right="258"/>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8"/>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382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38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251460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2" w:right="67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tab/>
        <w:t>Results of Operations and Financial Condition.</w:t>
      </w:r>
    </w:p>
    <w:p>
      <w:pPr>
        <w:spacing w:after="0" w:line="121"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7"/>
          <w:szCs w:val="17"/>
          <w:color w:val="auto"/>
        </w:rPr>
        <w:t>Attached hereto as Exhibit 99.1 and incorporated by reference herein is financial information for MagnaChip Semiconductor Corporation and its consolidated subsidiaries for the fourth quarter and full year ended December 31, 2018, as presented in a press release dated February 14, 2019.</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500" w:type="dxa"/>
            <w:vAlign w:val="bottom"/>
            <w:gridSpan w:val="3"/>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98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Press release for MagnaChip Semiconductor Corporation dated February 14, 2019, announcing the results for the fourth quarter and full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year ended December 31, 2018.</w:t>
              </w:r>
            </w:hyperlink>
          </w:p>
        </w:tc>
        <w:tc>
          <w:tcPr>
            <w:tcW w:w="7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66" w:right="6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14, 2019</w:t>
            </w:r>
          </w:p>
        </w:tc>
        <w:tc>
          <w:tcPr>
            <w:tcW w:w="72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Theodore Kim</w:t>
            </w:r>
          </w:p>
        </w:tc>
      </w:tr>
      <w:tr>
        <w:trPr>
          <w:trHeight w:val="191"/>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Theodore Kim</w:t>
            </w:r>
          </w:p>
        </w:tc>
      </w:tr>
      <w:tr>
        <w:trPr>
          <w:trHeight w:val="216"/>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Compliance Officer, Executive Vice President, General</w:t>
            </w:r>
          </w:p>
        </w:tc>
      </w:tr>
      <w:tr>
        <w:trPr>
          <w:trHeight w:val="234"/>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 and Secretary</w:t>
            </w:r>
          </w:p>
        </w:tc>
      </w:tr>
    </w:tbl>
    <w:p>
      <w:pPr>
        <w:sectPr>
          <w:pgSz w:w="11900" w:h="16838" w:orient="portrait"/>
          <w:cols w:equalWidth="0" w:num="1">
            <w:col w:w="11040"/>
          </w:cols>
          <w:pgMar w:left="440" w:top="266"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176657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65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Reports Fourth Quarter and Full Year 2018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Announces Strategic Review Process of its Foundry Operations</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SEOUL, South Korea and SAN JOSE, Calif., February 14, 2019 </w:t>
      </w:r>
      <w:r>
        <w:rPr>
          <w:rFonts w:ascii="Times New Roman" w:cs="Times New Roman" w:eastAsia="Times New Roman" w:hAnsi="Times New Roman"/>
          <w:sz w:val="18"/>
          <w:szCs w:val="18"/>
          <w:color w:val="auto"/>
        </w:rPr>
        <w:t>— MagnaChip Semiconductor Corporation (NYSE: MX)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fourth quarter and full year 2018. Revenue in the fourth quarter was $179.4 million and gross profit margin was 24.5%. For the year 2018, revenue was $750.9 million and gross margin was 26.4%.</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MagnaChip also announced today that it has undertaken a strategic evaluation of the Company’s Foundry business and Fab 4, the larger of the Company’s two 8” manufacturing facilities. Fab 4 is an analog and mixed signal fab that produces approximately 73% of the Company’s total capacity, and is used primarily to meet wafer demand from Foundry customers that rely on outside suppliers. The strategic evaluation is expected to include a range of possible options, including, but not limited to, joint ventures, strategic partnerships as well as M&amp;A possibilities. The Company has retained financial and legal advisors to assist in the evaluation.</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Nader Tavakoli, Chairman of the Board of MagnaChip, said, “The Board is committed to improving MagnaChip’s profitability and unlocking shareholder value. As we undertake this strategic evaluation of the Foundry business, we will be mindful of the best interests of all of our stakeholders including shareholders, customers and employees.”</w:t>
      </w:r>
    </w:p>
    <w:p>
      <w:pPr>
        <w:spacing w:after="0" w:line="176" w:lineRule="exact"/>
        <w:rPr>
          <w:sz w:val="20"/>
          <w:szCs w:val="20"/>
          <w:color w:val="auto"/>
        </w:rPr>
      </w:pPr>
    </w:p>
    <w:p>
      <w:pPr>
        <w:jc w:val="both"/>
        <w:ind w:right="180"/>
        <w:spacing w:after="0" w:line="313" w:lineRule="auto"/>
        <w:rPr>
          <w:sz w:val="20"/>
          <w:szCs w:val="20"/>
          <w:color w:val="auto"/>
        </w:rPr>
      </w:pPr>
      <w:r>
        <w:rPr>
          <w:rFonts w:ascii="Times New Roman" w:cs="Times New Roman" w:eastAsia="Times New Roman" w:hAnsi="Times New Roman"/>
          <w:sz w:val="17"/>
          <w:szCs w:val="17"/>
          <w:color w:val="auto"/>
        </w:rPr>
        <w:t>In commenting on the Company’s financial performance in Q4, YJ Kim, CEO of MagnaChip, said, “We are pleased to have met our revenue guidance in the seasonally soft fourth quarter despite a challenging macroeconomic backdrop, a slowdown in China, and an inventory correction by customers.”</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commenting on the 2018 financial results, Mr. Kim said, “Our OLED and Power businesses both had record annual revenue in 2018 and are positioned for success in 2019 due to a strong product lineup, robust product roadmap and well-established customer traction. Higher-margin Premium Power products represented over 45% of total Power revenue in Q4, due mainly to growth in the industrial, television, and lighting markets. In the OLED business, MagnaChip secured new design wins for display driver ICs from China smartphone makers and three design wins from a major smartphone maker in Korea for a line of mid-range smartphones. Our latest and lowest-power 28 nanometer OLED display driver IC will sample at the end of this month, and we anticipate volume production in the second half of this year.” Mr. Kim added, “Our foundry business under-performed in Q4 2018 on an “as adjusted” basis, due in part to an inventory correction by customers that caused a drop in utilization in Fab 4. We expect utilization in Fab 4 will decline significantly further in the first half of 2019, due in part to a continuing inventory correction and our decision to be more selective about business as we undergo our strategic evaluation process.”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2018 Summary</w:t>
      </w:r>
    </w:p>
    <w:p>
      <w:pPr>
        <w:spacing w:after="0" w:line="135" w:lineRule="exact"/>
        <w:rPr>
          <w:sz w:val="20"/>
          <w:szCs w:val="20"/>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$179.4 million within guidance range of $174-$184 million; revenue up 2.8% Year-over-Year (YoY)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Products Group revenue of $96.3 million up 2.5% YoY on an “as reported” basis; up 14.3% on an “as adjusted” basis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Foundry Services Group revenue of $83.1 million up 3.1% YoY on an “as reported” basis; down 8.0% on an “as adjusted” basis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Power standard products revenue of $46.1 million; up 14.6% YoY</w:t>
      </w:r>
    </w:p>
    <w:p>
      <w:pPr>
        <w:spacing w:after="0" w:line="130" w:lineRule="exact"/>
        <w:rPr>
          <w:rFonts w:ascii="Times New Roman" w:cs="Times New Roman" w:eastAsia="Times New Roman" w:hAnsi="Times New Roman"/>
          <w:sz w:val="18"/>
          <w:szCs w:val="18"/>
          <w:color w:val="auto"/>
        </w:rPr>
      </w:pPr>
    </w:p>
    <w:p>
      <w:pPr>
        <w:ind w:left="860" w:hanging="31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margin of 24.5% was below the guidance range of 25-27%; gross margin down 3.8 percentage points YoY primarily due to lower Foundry-related fab utilization and increased costs for wafers</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$7.9 million, or 4.4% of revenue, up 2.9% YoY and Net Loss, on a GAAP basis, of $2.4 million, down 105.5% YoY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$17.4 million, or 9.7% of revenue, down 15.4% YoY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2018 Summary</w:t>
      </w:r>
    </w:p>
    <w:p>
      <w:pPr>
        <w:spacing w:after="0" w:line="135" w:lineRule="exact"/>
        <w:rPr>
          <w:sz w:val="20"/>
          <w:szCs w:val="20"/>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$750.9 million, up 10.5% YoY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OLED revenue of $188.0 million, up 3-fold YoY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Power revenue of $169.3 million, up 13.0% YoY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Foundry revenue of $325.3 million, up 1.6% YoY on an “as reported” basis; down 7.2% on an “as adjusted” basis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26.4% declined by 1.2 percentage points YoY primarily due to lower Foundry-related fab utilization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2019 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2019, MagnaChip anticipates:</w:t>
      </w:r>
    </w:p>
    <w:p>
      <w:pPr>
        <w:sectPr>
          <w:pgSz w:w="11900" w:h="16838" w:orient="portrait"/>
          <w:cols w:equalWidth="0" w:num="1">
            <w:col w:w="11020"/>
          </w:cols>
          <w:pgMar w:left="440" w:top="117" w:right="439" w:bottom="1440" w:gutter="0" w:footer="0" w:header="0"/>
        </w:sectPr>
      </w:pPr>
    </w:p>
    <w:bookmarkStart w:id="4" w:name="page5"/>
    <w:bookmarkEnd w:id="4"/>
    <w:p>
      <w:pPr>
        <w:ind w:left="860" w:hanging="316"/>
        <w:spacing w:after="0" w:line="26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in this seasonally soft quarter to be in the range of $150 million to $155 million, down sequentially about 15.0% at the mid-point of the projected range. The guidance for the first quarter of 2019 compares with revenue of $179.4 million in the fourth quarter of 2018, and $165.8 million in the first quarter of 2018.</w:t>
      </w:r>
    </w:p>
    <w:p>
      <w:pPr>
        <w:spacing w:after="0" w:line="81" w:lineRule="exact"/>
        <w:rPr>
          <w:rFonts w:ascii="Times New Roman" w:cs="Times New Roman" w:eastAsia="Times New Roman" w:hAnsi="Times New Roman"/>
          <w:sz w:val="18"/>
          <w:szCs w:val="18"/>
          <w:color w:val="auto"/>
        </w:rPr>
      </w:pPr>
    </w:p>
    <w:p>
      <w:pPr>
        <w:ind w:left="860" w:right="18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to be in the range of 14% to 16%. This compares to 24.5% in the fourth quarter of 2018, and 26.9% in the first quarter of 2018.</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Both revenue and gross profit margin guidance reflect a downturn in the Foundry business due in part to a continuing inventory correction and the Company’s decision to be more selective about business as it undergoes a strategic evaluation process.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Total revenue in the fourth quarter of 2018 was $179.4 million, up 2.8% as compared to reported revenue of $174.6 million from the fourth quarter of 2017, and down 12.9% from $206.0 million in the third quarter of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 and Segment Adjustments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2018, as part of our ongoing portfolio optimization effort to realign business processes and streamline our organizational structure, we transferred a portion of our non-OLED display solutions business (“Transferred Business”), which represented $13.4 million of net sales for Q4 2018 and $33.0 million of net sales for the 2018 year, from our Standards Products Group to our Foundry Services Group. The corresponding non-OLED display business represented $30.3 million of net sales for the year ended December 31, 2017. As a result, the historical financial results in the tables below are discussed both on an “as reported” basis, which presents the Transferred Business in the Standards Products Group results, and “as adjusted” basis, which presents the Transferred Business in the Foundry Services Group results, for comparative purposes.</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Foundry Services Group revenue in the fourth quarter was $83.1 million, up 3.1%, on an “as reported” basis from the fourth quarter of 2017, and down 0.9% from $83.9 million in the third quarter of 2018; and on an “as adjusted” basis, down 8.0% from $90.3 million in the fourth quarter of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strategic realignment and portfolio optimization discussed above, Standard Products Group revenue in the fourth quarter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$96.3 million, up 2.5% year-over-year on an “as reported” basis, and down 21.1% sequentially; and on an “as adjusted” basis, up 14.3% year-over-year.</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improved results in the Standard Products Group year-over-year were primarily attributable to a sharp increase in revenue from mobile OLED display driver ICs in connection with the introduction of new OLED smartphones from China manufacturers, which was offset in part by a strategic reduction of low-margin LCD business. In addition, the increase was also attributable to a higher demand for premium Power products such as high-end MOSFETs and IGBTs, primarily for TV and industrial applications.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Gross Profit and Gross Profit Margin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gross profit in the fourth quarter of 2018 was $43.9 million or 24.5% as a percentage of sales as compared with gross profit of $49.4 million or 28.3% in the fourth quarter of 2017, and $55.7 million or 27.1% in the third quarter of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Gross Profit Margin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Foundry Services Group gross profit margin was 23.2% in the fourth quarter of 2018 as compared with, on an “as reported” basis, 31.7% in the fourth quarter of 2017 and 24.4% in the third quarter of 2018. The Foundry Services Group gross profit margin was, on an “as adjusted” basis, 30.4% in the fourth quarter of 2017. The Standard Products Group gross profit margin was 25.6% in the fourth quarter of 2018 as compared with, on an “as reported” basis, 25.3% in the fourth quarter of 2017, and 28.8% in the third quarter of 2018. The Standard Products Group gross profit margin was, on an “as adjusted” basis, 25.9% in the fourth quarter of 2017.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Net Income, Adjusted Net Income, Adjusted EBITDA</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Operating income, on a GAAP basis, for the fourth quarter was $7.9 million as compared with $7.6 million in the fourth quarter of 2017 and $18.3 million in the third quarter of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on a GAAP basis, for the fourth quarter was $2.4 million or $0.07 cents per basic and diluted share as compared with net income of</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$43.7 million or $1.28 per basic share and $0.99 per diluted share in the fourth quarter of 2017, and net income of $17.2 million or $0.50 per basic share and $0.41 per diluted share in the third quarter of 2018.</w:t>
      </w:r>
    </w:p>
    <w:p>
      <w:pPr>
        <w:sectPr>
          <w:pgSz w:w="11900" w:h="16838" w:orient="portrait"/>
          <w:cols w:equalWidth="0" w:num="1">
            <w:col w:w="11020"/>
          </w:cols>
          <w:pgMar w:left="440" w:top="270" w:right="439" w:bottom="1440" w:gutter="0" w:footer="0" w:header="0"/>
        </w:sectPr>
      </w:pPr>
    </w:p>
    <w:bookmarkStart w:id="5" w:name="page6"/>
    <w:bookmarkEnd w:id="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Net Income, a non-GAAP financial measure, for the fourth quarter of 2018 totaled $3.5 million or $0.10 per basic share and $0.10 per diluted share, as compared with Adjusted Net Income of $9.1 million or $0.27 per basic share and $0.23 per diluted share in the fourth quarter of 2017, and compared with Adjusted Net Income of $13.3 million or $0.38 per basic share and $0.32 per diluted share in the third quarter of 2018.</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 the fourth quarter was $17.4 million or 9.7% of revenue as compared with Adjusted EBITDA of $20.5 million or 11.8% of revenue in the fourth quarter of 2017, and compared with Adjusted EBITDA of $27.9 million or 13.5% of revenue in the third quarter of 2018.</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$132.4 million at the end of the fourth quarter, slightly down from $133.5 million at the end of the third quarter of 2018.</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Note: The following table sets forth information relating to our operating segments (in thousands). The historical amounts below are presented both on an “as reported” and “as adjusted” basis to show the impact of the strategic realignment and transfer of a portion of the non-OLED Display business from the Standard Products Group to the Foundry Services Group beginning in the first quarter of 2018:</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ind w:right="173"/>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As Reported</w:t>
            </w: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rPr>
              <w:t>As Adjusted</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Foundry Services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80,629</w:t>
            </w:r>
          </w:p>
        </w:tc>
        <w:tc>
          <w:tcPr>
            <w:tcW w:w="3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53,671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Standard Products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96,258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93,912</w:t>
            </w:r>
          </w:p>
        </w:tc>
        <w:tc>
          <w:tcPr>
            <w:tcW w:w="3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net sales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179,394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174,580</w:t>
            </w:r>
          </w:p>
        </w:tc>
        <w:tc>
          <w:tcPr>
            <w:tcW w:w="30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174,580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ind w:right="173"/>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As Reported</w:t>
            </w: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rPr>
              <w:t>As Adjusted</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Foundry Services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325,312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320,089</w:t>
            </w:r>
          </w:p>
        </w:tc>
        <w:tc>
          <w:tcPr>
            <w:tcW w:w="3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350,395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256,113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209,539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179,233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149,836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149,836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Standard Products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425,397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359,375</w:t>
            </w:r>
          </w:p>
        </w:tc>
        <w:tc>
          <w:tcPr>
            <w:tcW w:w="3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329,069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net sales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750,898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679,672</w:t>
            </w:r>
          </w:p>
        </w:tc>
        <w:tc>
          <w:tcPr>
            <w:tcW w:w="30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679,672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6"/>
          </w:tcPr>
          <w:p>
            <w:pPr>
              <w:jc w:val="center"/>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 2017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tcPr>
          <w:p>
            <w:pPr>
              <w:jc w:val="center"/>
              <w:ind w:right="13"/>
              <w:spacing w:after="0" w:line="116" w:lineRule="exact"/>
              <w:rPr>
                <w:sz w:val="20"/>
                <w:szCs w:val="20"/>
                <w:color w:val="auto"/>
              </w:rPr>
            </w:pPr>
            <w:r>
              <w:rPr>
                <w:rFonts w:ascii="Times New Roman" w:cs="Times New Roman" w:eastAsia="Times New Roman" w:hAnsi="Times New Roman"/>
                <w:sz w:val="13"/>
                <w:szCs w:val="13"/>
                <w:b w:val="1"/>
                <w:bCs w:val="1"/>
                <w:color w:val="auto"/>
              </w:rPr>
              <w:t>December 31, 2017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As Reported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As Adjusted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1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Foundry Services Group</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gross profit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6"/>
          </w:tcPr>
          <w:p>
            <w:pPr>
              <w:jc w:val="center"/>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 2017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tcPr>
          <w:p>
            <w:pPr>
              <w:jc w:val="center"/>
              <w:ind w:right="13"/>
              <w:spacing w:after="0" w:line="116" w:lineRule="exact"/>
              <w:rPr>
                <w:sz w:val="20"/>
                <w:szCs w:val="20"/>
                <w:color w:val="auto"/>
              </w:rPr>
            </w:pPr>
            <w:r>
              <w:rPr>
                <w:rFonts w:ascii="Times New Roman" w:cs="Times New Roman" w:eastAsia="Times New Roman" w:hAnsi="Times New Roman"/>
                <w:sz w:val="13"/>
                <w:szCs w:val="13"/>
                <w:b w:val="1"/>
                <w:bCs w:val="1"/>
                <w:color w:val="auto"/>
              </w:rPr>
              <w:t>December 31, 2017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As Reported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As Adjusted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1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Foundry Services Group</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$101,780</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115,478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85,905</w:t>
            </w: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gross profit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198,096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$187,893</w:t>
            </w: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$187,893</w:t>
            </w: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Fourth Quarter 2018 and Recent Company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announced:</w:t>
      </w:r>
    </w:p>
    <w:p>
      <w:pPr>
        <w:spacing w:after="0" w:line="131" w:lineRule="exact"/>
        <w:rPr>
          <w:sz w:val="20"/>
          <w:szCs w:val="20"/>
          <w:color w:val="auto"/>
        </w:rPr>
      </w:pPr>
    </w:p>
    <w:p>
      <w:pPr>
        <w:ind w:left="860" w:right="460" w:hanging="316"/>
        <w:spacing w:after="0" w:line="26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new High-Voltage Super Junction MOSFET with a 900V breakdown voltage and low total gate charge (Qg). The device with two package types, I-PAK and D-PAK, will be manufactured in high volume in the first quarter of 2019. </w:t>
      </w:r>
      <w:r>
        <w:rPr>
          <w:rFonts w:ascii="Times New Roman" w:cs="Times New Roman" w:eastAsia="Times New Roman" w:hAnsi="Times New Roman"/>
          <w:sz w:val="18"/>
          <w:szCs w:val="18"/>
          <w:b w:val="1"/>
          <w:bCs w:val="1"/>
          <w:color w:val="auto"/>
        </w:rPr>
        <w:t>http://www.magnachip.com/aboutus/aboutus_sub12_view.html?tname=ez_Press_Room_e&amp;seq=223&amp;page=1</w:t>
      </w:r>
    </w:p>
    <w:p>
      <w:pPr>
        <w:sectPr>
          <w:pgSz w:w="11900" w:h="16838" w:orient="portrait"/>
          <w:cols w:equalWidth="0" w:num="1">
            <w:col w:w="11040"/>
          </w:cols>
          <w:pgMar w:left="440" w:top="263" w:right="419" w:bottom="1440" w:gutter="0" w:footer="0" w:header="0"/>
        </w:sectPr>
      </w:pPr>
    </w:p>
    <w:bookmarkStart w:id="7" w:name="page8"/>
    <w:bookmarkEnd w:id="7"/>
    <w:p>
      <w:pPr>
        <w:ind w:left="316" w:right="40" w:hanging="316"/>
        <w:spacing w:after="0" w:line="256"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Volume production of a new Display Driver IC (DDIC) for automotive panel displays has commenced. MagnaChip is planning to expand its business to various automotive display applications, starting with the design-win of a new product at a leading Japanese panel maker of automotive CSD (Center Stack Display) panels. The application of this LCD-based display driver product will be further extended to a wide range of automotive applications such as instrument cluster, GPS navigation and car entertainment displays in the future. Over time, it is widely anticipated that OLED display drivers also will be adopted for use in automotive applications. </w:t>
      </w:r>
      <w:r>
        <w:rPr>
          <w:rFonts w:ascii="Times New Roman" w:cs="Times New Roman" w:eastAsia="Times New Roman" w:hAnsi="Times New Roman"/>
          <w:sz w:val="18"/>
          <w:szCs w:val="18"/>
          <w:b w:val="1"/>
          <w:bCs w:val="1"/>
          <w:color w:val="auto"/>
        </w:rPr>
        <w:t>http://www.magnachip.com/aboutus/aboutus_sub12_view.html?tname=ez_Press_Room_e&amp;seq=224&amp;page=1</w:t>
      </w:r>
    </w:p>
    <w:p>
      <w:pPr>
        <w:spacing w:after="0" w:line="93" w:lineRule="exact"/>
        <w:rPr>
          <w:rFonts w:ascii="Times New Roman" w:cs="Times New Roman" w:eastAsia="Times New Roman" w:hAnsi="Times New Roman"/>
          <w:sz w:val="18"/>
          <w:szCs w:val="18"/>
          <w:color w:val="auto"/>
        </w:rPr>
      </w:pPr>
    </w:p>
    <w:p>
      <w:pPr>
        <w:ind w:left="316" w:right="240" w:hanging="316"/>
        <w:spacing w:after="0" w:line="256"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Appointment of Jeong Ki Min to the newly created position of Chief of Strategic Planning. Mr. Min, a seasoned semiconductor executive with 33 years of global business experience, previously held senior positions at Samsung Semiconductor, Samsung Electronics, Samsung Display, and SK Telecom. During his more than three decades in the high-tech industry, Mr. Min has initiated and negotiated high-profile joint venture agreements, strategic alliances and acquisitions. Among his other accomplishments, Mr. Min also has led new business planning teams, managed R&amp;D operations, led Foundry marketing teams, and helped develop semiconductor growth strategies. </w:t>
      </w:r>
      <w:r>
        <w:rPr>
          <w:rFonts w:ascii="Times New Roman" w:cs="Times New Roman" w:eastAsia="Times New Roman" w:hAnsi="Times New Roman"/>
          <w:sz w:val="18"/>
          <w:szCs w:val="18"/>
          <w:b w:val="1"/>
          <w:bCs w:val="1"/>
          <w:color w:val="auto"/>
        </w:rPr>
        <w:t>http://www.magnachip.com/aboutus/aboutus_sub12_view.html?tname=ez_Press_Room_e&amp;seq=226&amp;page=1</w:t>
      </w:r>
    </w:p>
    <w:p>
      <w:pPr>
        <w:spacing w:after="0" w:line="93" w:lineRule="exact"/>
        <w:rPr>
          <w:rFonts w:ascii="Times New Roman" w:cs="Times New Roman" w:eastAsia="Times New Roman" w:hAnsi="Times New Roman"/>
          <w:sz w:val="18"/>
          <w:szCs w:val="18"/>
          <w:color w:val="auto"/>
        </w:rPr>
      </w:pPr>
    </w:p>
    <w:p>
      <w:pPr>
        <w:ind w:left="316" w:right="60" w:hanging="316"/>
        <w:spacing w:after="0" w:line="258"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now offers Foundry customers a 0.18 micron BCD (Bipolar-CMOS-DMOS) 200V high-voltage process. This new BCD process uses SOI (Silicon On Insulator) substrates with solid high-voltage isolation and extends MagnaChip’s existing BCD processes from 100V to 200V. Having 200V devices in a BCD process is valuable because it enables a Power IC to be designed for high voltage applications, including automobiles, electrical vehicles, industrial motor drivers, ultrasonic medical imaging systems and solar panels. </w:t>
      </w:r>
      <w:r>
        <w:rPr>
          <w:rFonts w:ascii="Times New Roman" w:cs="Times New Roman" w:eastAsia="Times New Roman" w:hAnsi="Times New Roman"/>
          <w:sz w:val="18"/>
          <w:szCs w:val="18"/>
          <w:b w:val="1"/>
          <w:bCs w:val="1"/>
          <w:color w:val="auto"/>
        </w:rPr>
        <w:t>http://www.magnachip.com/aboutus/aboutus_sub12_view.html?tname=ez_Press_Room_e&amp;seq=227&amp;page=1</w:t>
      </w:r>
    </w:p>
    <w:p>
      <w:pPr>
        <w:spacing w:after="0" w:line="89" w:lineRule="exact"/>
        <w:rPr>
          <w:rFonts w:ascii="Times New Roman" w:cs="Times New Roman" w:eastAsia="Times New Roman" w:hAnsi="Times New Roman"/>
          <w:sz w:val="18"/>
          <w:szCs w:val="18"/>
          <w:color w:val="auto"/>
        </w:rPr>
      </w:pPr>
    </w:p>
    <w:p>
      <w:pPr>
        <w:ind w:left="316" w:hanging="316"/>
        <w:spacing w:after="0" w:line="258"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Volume production has commenced for an IGBT product for power module targeted to high-voltage industrial applications. IGBT is one of a MagnaChip family of Power standard products called Insulated Gate Bipolar Transistors.The new IGBT P-series (“MBW100T120PHF”) allows designers to operate devices at an improved switching frequency, which enables reducing the size and cost of capacitors and inductive devices in circuits. </w:t>
      </w:r>
      <w:r>
        <w:rPr>
          <w:rFonts w:ascii="Times New Roman" w:cs="Times New Roman" w:eastAsia="Times New Roman" w:hAnsi="Times New Roman"/>
          <w:sz w:val="18"/>
          <w:szCs w:val="18"/>
          <w:b w:val="1"/>
          <w:bCs w:val="1"/>
          <w:color w:val="auto"/>
        </w:rPr>
        <w:t>http://www.magnachip.com/aboutus/aboutus_sub12_view.html?tname=ez_Press_Room_e&amp;seq=228&amp;page=1</w:t>
      </w:r>
    </w:p>
    <w:p>
      <w:pPr>
        <w:spacing w:after="0" w:line="89"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Nader Tavakoli as its new non-executive Chairman of the Board of Directors, effective November 26, 2018.</w:t>
      </w:r>
    </w:p>
    <w:p>
      <w:pPr>
        <w:spacing w:after="0" w:line="27" w:lineRule="exact"/>
        <w:rPr>
          <w:rFonts w:ascii="Times New Roman" w:cs="Times New Roman" w:eastAsia="Times New Roman" w:hAnsi="Times New Roman"/>
          <w:sz w:val="18"/>
          <w:szCs w:val="18"/>
          <w:color w:val="auto"/>
        </w:rPr>
      </w:pPr>
    </w:p>
    <w:p>
      <w:pPr>
        <w:ind w:left="316" w:right="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Tavakoli replaces Gary Tanner as the Company’s Chairman. Mr. Tanner will remain a Director on the Board and will continue to serve as a member of the Audit, Compensation and Risk Committees of the Board. Mr. Tanner joined MagnaChip’s Board in August 2015, and has served as its non-executive Chairman since October 2016. Mr. Tavakoli has served on MagnaChip’s Board of Directors since 2009. He has served on, and chaired, various committees of the Board, and is currently a member of the Audit, Compensation and Risk Committees. Mr. Tavakoli is the Chief Executive Officer of Cobalt International Energy and serves as a Plan Administrator of MF Global Inc. </w:t>
      </w:r>
      <w:r>
        <w:rPr>
          <w:rFonts w:ascii="Times New Roman" w:cs="Times New Roman" w:eastAsia="Times New Roman" w:hAnsi="Times New Roman"/>
          <w:sz w:val="18"/>
          <w:szCs w:val="18"/>
          <w:b w:val="1"/>
          <w:bCs w:val="1"/>
          <w:color w:val="auto"/>
        </w:rPr>
        <w:t>http://www.magnachip.com/aboutus/aboutus_sub12_view.html?tname=ez_Press_Room_e&amp;seq=229&amp;page=1</w:t>
      </w:r>
    </w:p>
    <w:p>
      <w:pPr>
        <w:spacing w:after="0" w:line="95" w:lineRule="exact"/>
        <w:rPr>
          <w:rFonts w:ascii="Times New Roman" w:cs="Times New Roman" w:eastAsia="Times New Roman" w:hAnsi="Times New Roman"/>
          <w:sz w:val="18"/>
          <w:szCs w:val="18"/>
          <w:color w:val="auto"/>
        </w:rPr>
      </w:pPr>
    </w:p>
    <w:p>
      <w:pPr>
        <w:ind w:left="316" w:right="140" w:hanging="316"/>
        <w:spacing w:after="0" w:line="261"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of a low noise, low power consumption, fast transient LDO (Low Dropout) regulator that also can be designed into BGA (Ball Grid Array) SSD (Solid State Drive) components commonly used in mobile devices. An LDO regulator is a power standard product whose function can be designed into various components. </w:t>
      </w:r>
      <w:r>
        <w:rPr>
          <w:rFonts w:ascii="Times New Roman" w:cs="Times New Roman" w:eastAsia="Times New Roman" w:hAnsi="Times New Roman"/>
          <w:sz w:val="18"/>
          <w:szCs w:val="18"/>
          <w:b w:val="1"/>
          <w:bCs w:val="1"/>
          <w:color w:val="auto"/>
        </w:rPr>
        <w:t>http://www.magnachip.com/aboutus/aboutus_sub12_view.html?tname=ez_Press_Room_e&amp;seq=230&amp;page=1</w:t>
      </w:r>
    </w:p>
    <w:p>
      <w:pPr>
        <w:spacing w:after="0" w:line="85" w:lineRule="exact"/>
        <w:rPr>
          <w:rFonts w:ascii="Times New Roman" w:cs="Times New Roman" w:eastAsia="Times New Roman" w:hAnsi="Times New Roman"/>
          <w:sz w:val="18"/>
          <w:szCs w:val="18"/>
          <w:color w:val="auto"/>
        </w:rPr>
      </w:pPr>
    </w:p>
    <w:p>
      <w:pPr>
        <w:ind w:left="316" w:right="40" w:hanging="316"/>
        <w:spacing w:after="0" w:line="266"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Availability of its third generation 0.18 micron Bipolar-CMOS-DMOS (BCD) process technology for Foundry customers. The technology is highly suitable for PMIC, DC-DC converters, battery charger ICs, protection ICs, motor driver ICs, LED driver ICs and audio amplifiers. </w:t>
      </w:r>
      <w:r>
        <w:rPr>
          <w:rFonts w:ascii="Times New Roman" w:cs="Times New Roman" w:eastAsia="Times New Roman" w:hAnsi="Times New Roman"/>
          <w:sz w:val="18"/>
          <w:szCs w:val="18"/>
          <w:b w:val="1"/>
          <w:bCs w:val="1"/>
          <w:color w:val="auto"/>
        </w:rPr>
        <w:t>http://www.magnachip.com/aboutus/aboutus_sub12_view.html?tname=ez_Press_Room_e&amp;seq=231&amp;page=1.</w:t>
      </w:r>
    </w:p>
    <w:p>
      <w:pPr>
        <w:sectPr>
          <w:pgSz w:w="11900" w:h="16838" w:orient="portrait"/>
          <w:cols w:equalWidth="0" w:num="1">
            <w:col w:w="10476"/>
          </w:cols>
          <w:pgMar w:left="984"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Quarter 2018 Conference Call</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conference call will be webcast live today (February 14, 2019) at 5:00 p.m. EST and also is available by dialing toll-free at 1-844 536 5472. International call-in participants can dial 1-614-999-9318. The conference ID number is 9483865. Participants are encouraged to initiate their calls at least 10 minutes in advance of the 5:00 p.m. EST start time to ensure a timely connection. The webcast and earnings release will be accessible at www.magnachip.com. A replay of the conference call will be available the same day and will run for 72 hours. The replay dial-in numbers are 1-404-537-3406 or toll-free at 1-855-859-2056. The access code is 9483865.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 Corporation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3,000 registered patents and pending applications, and has extensive engineering, design and manufacturing process expertise. For more information, please visit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 Information on or accessible through, MagnaChip’s website is not a part of, and is not incorporated into, this release.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first quarter 2019 revenue and gross profit margin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w:t>
      </w:r>
    </w:p>
    <w:p>
      <w:pPr>
        <w:spacing w:after="0" w:line="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10-K filed on February 22, 2018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tc>
        <w:tc>
          <w:tcPr>
            <w:tcW w:w="5960" w:type="dxa"/>
            <w:vAlign w:val="bottom"/>
            <w:gridSpan w:val="2"/>
          </w:tcPr>
          <w:p>
            <w:pPr>
              <w:ind w:left="3580"/>
              <w:spacing w:after="0"/>
              <w:rPr>
                <w:sz w:val="20"/>
                <w:szCs w:val="20"/>
                <w:color w:val="auto"/>
              </w:rPr>
            </w:pPr>
            <w:r>
              <w:rPr>
                <w:rFonts w:ascii="Times New Roman" w:cs="Times New Roman" w:eastAsia="Times New Roman" w:hAnsi="Times New Roman"/>
                <w:sz w:val="18"/>
                <w:szCs w:val="18"/>
                <w:b w:val="1"/>
                <w:bCs w:val="1"/>
                <w:color w:val="auto"/>
              </w:rPr>
              <w:t>In Korea:</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Bruce Entin</w:t>
            </w:r>
          </w:p>
        </w:tc>
        <w:tc>
          <w:tcPr>
            <w:tcW w:w="596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Chankeun Park</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596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Director, Public Relations</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Tel. +1-408-625-1262</w:t>
            </w:r>
          </w:p>
        </w:tc>
        <w:tc>
          <w:tcPr>
            <w:tcW w:w="596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Tel. +82-2-6903-5223</w:t>
            </w:r>
          </w:p>
        </w:tc>
      </w:tr>
      <w:tr>
        <w:trPr>
          <w:trHeight w:val="194"/>
        </w:trPr>
        <w:tc>
          <w:tcPr>
            <w:tcW w:w="2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Investor.relations@magnachip.com</w:t>
            </w:r>
          </w:p>
        </w:tc>
        <w:tc>
          <w:tcPr>
            <w:tcW w:w="3580" w:type="dxa"/>
            <w:vAlign w:val="bottom"/>
          </w:tcPr>
          <w:p>
            <w:pPr>
              <w:spacing w:after="0"/>
              <w:rPr>
                <w:sz w:val="16"/>
                <w:szCs w:val="16"/>
                <w:color w:val="auto"/>
              </w:rPr>
            </w:pPr>
          </w:p>
        </w:tc>
        <w:tc>
          <w:tcPr>
            <w:tcW w:w="2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chankeun.park@magnachip.com</w:t>
            </w: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jc w:val="right"/>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580" w:type="dxa"/>
            <w:vAlign w:val="bottom"/>
            <w:gridSpan w:val="2"/>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6"/>
                <w:szCs w:val="16"/>
                <w:color w:val="auto"/>
              </w:rPr>
            </w:pPr>
          </w:p>
        </w:tc>
        <w:tc>
          <w:tcPr>
            <w:tcW w:w="11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179,394</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206,000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174,580</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750,898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135,482</w:t>
            </w:r>
          </w:p>
        </w:tc>
        <w:tc>
          <w:tcPr>
            <w:tcW w:w="40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150,251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552,802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491,779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43,912</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55,749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198,096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17,516</w:t>
            </w:r>
          </w:p>
        </w:tc>
        <w:tc>
          <w:tcPr>
            <w:tcW w:w="40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18,566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72,639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18,536</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18,918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78,039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and other gain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(17,010)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36,052</w:t>
            </w:r>
          </w:p>
        </w:tc>
        <w:tc>
          <w:tcPr>
            <w:tcW w:w="40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37,484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150,678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7,860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18,265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47,418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(5,743)</w:t>
            </w:r>
          </w:p>
        </w:tc>
        <w:tc>
          <w:tcPr>
            <w:tcW w:w="40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(5,587)</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(22,282)</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(21,559)</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(4,316)</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6,002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(24,445)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65,516</w:t>
            </w:r>
          </w:p>
        </w:tc>
        <w:tc>
          <w:tcPr>
            <w:tcW w:w="2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8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Loss on early extinguishment of long-term</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borrowings, net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555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(1,850)</w:t>
            </w:r>
          </w:p>
        </w:tc>
        <w:tc>
          <w:tcPr>
            <w:tcW w:w="40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18,830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530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1,608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4,649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(2,380)</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17,222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(3,900)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8"/>
              </w:rPr>
              <w:t>34,627,292</w:t>
            </w:r>
          </w:p>
        </w:tc>
        <w:tc>
          <w:tcPr>
            <w:tcW w:w="40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96"/>
              </w:rPr>
              <w:t>34,573,377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34,176,812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8"/>
              </w:rPr>
              <w:t>34,469,921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33,943,264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8"/>
              </w:rPr>
              <w:t>34,627,292</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96"/>
              </w:rPr>
              <w:t>46,021,610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45,573,889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98"/>
              </w:rPr>
              <w:t>34,469,921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44,755,137</w:t>
            </w:r>
          </w:p>
        </w:tc>
        <w:tc>
          <w:tcPr>
            <w:tcW w:w="220" w:type="dxa"/>
            <w:vAlign w:val="bottom"/>
            <w:shd w:val="clear" w:color="auto" w:fill="CCEEFF"/>
          </w:tcPr>
          <w:p>
            <w:pPr>
              <w:spacing w:after="0"/>
              <w:rPr>
                <w:sz w:val="18"/>
                <w:szCs w:val="18"/>
                <w:color w:val="auto"/>
              </w:rPr>
            </w:pPr>
          </w:p>
        </w:tc>
      </w:tr>
    </w:tbl>
    <w:p>
      <w:pPr>
        <w:sectPr>
          <w:pgSz w:w="11900" w:h="16838" w:orient="portrait"/>
          <w:cols w:equalWidth="0" w:num="1">
            <w:col w:w="11040"/>
          </w:cols>
          <w:pgMar w:left="440" w:top="266" w:right="4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17"/>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540" w:type="dxa"/>
            <w:vAlign w:val="bottom"/>
            <w:tcBorders>
              <w:top w:val="single" w:sz="8" w:color="auto"/>
            </w:tcBorders>
            <w:gridSpan w:val="2"/>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21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6"/>
                <w:szCs w:val="16"/>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(2,380)</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17,222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5,180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5,055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20,417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530</w:t>
            </w:r>
          </w:p>
        </w:tc>
        <w:tc>
          <w:tcPr>
            <w:tcW w:w="4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1,608</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4,649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8,165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7,913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32,048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11,495</w:t>
            </w:r>
          </w:p>
        </w:tc>
        <w:tc>
          <w:tcPr>
            <w:tcW w:w="4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31,798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53,214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gain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(17,010)</w:t>
            </w: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4,409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4,315</w:t>
            </w:r>
          </w:p>
        </w:tc>
        <w:tc>
          <w:tcPr>
            <w:tcW w:w="40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(6,001)</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24,445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(65,516)</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2,369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Restatement related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Secondary offering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Loss on early extinguishment of long-term</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borrowings, net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tcPr>
          <w:p>
            <w:pPr>
              <w:spacing w:after="0"/>
              <w:rPr>
                <w:sz w:val="20"/>
                <w:szCs w:val="20"/>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indemnification costs and reimbursement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17,391</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27,871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84,262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(2,380)</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17,222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gain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(17,010)</w:t>
            </w: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4,409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4,315</w:t>
            </w:r>
          </w:p>
        </w:tc>
        <w:tc>
          <w:tcPr>
            <w:tcW w:w="40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(6,001)</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24,445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(65,516)</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2,369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Restatement related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Secondary offering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Loss on early extinguishment of long-term</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borrowings, net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tcPr>
          <w:p>
            <w:pPr>
              <w:spacing w:after="0"/>
              <w:rPr>
                <w:sz w:val="20"/>
                <w:szCs w:val="20"/>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indemnification costs and reimbursements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3,516</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13,295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27,148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common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0.71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6"/>
              </w:rPr>
              <w:t>34,627,292</w:t>
            </w:r>
          </w:p>
        </w:tc>
        <w:tc>
          <w:tcPr>
            <w:tcW w:w="4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34,573,377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34,176,812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8"/>
              </w:rPr>
              <w:t>34,469,921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33,943,264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6"/>
              </w:rPr>
              <w:t>35,128,341</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6"/>
              </w:rPr>
              <w:t>46,021,610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45,573,889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98"/>
              </w:rPr>
              <w:t>45,941,853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44,755,137</w:t>
            </w:r>
          </w:p>
        </w:tc>
        <w:tc>
          <w:tcPr>
            <w:tcW w:w="120" w:type="dxa"/>
            <w:vAlign w:val="bottom"/>
            <w:shd w:val="clear" w:color="auto" w:fill="CCEEFF"/>
          </w:tcPr>
          <w:p>
            <w:pPr>
              <w:spacing w:after="0"/>
              <w:rPr>
                <w:sz w:val="18"/>
                <w:szCs w:val="18"/>
                <w:color w:val="auto"/>
              </w:rPr>
            </w:pPr>
          </w:p>
        </w:tc>
      </w:tr>
    </w:tbl>
    <w:p>
      <w:pPr>
        <w:spacing w:after="0" w:line="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present Adjusted EBITDA and Adjusted Net Income as supplemental measures of our performance. We define Adjusted EBITDA for the periods indicated as EBITDA (as defined below), adjusted to exclude (i) Restructuring and other gain, (ii) Early termination charges, (iii) Equity-based compensation expense, (iv) Foreign currency loss (gain), net, (v) Derivative valuation loss (gain), net, (vi) Restatement related expenses, (vii) Secondary offering expenses, (viii) Loss on early extinguishment of long-term borrowings, net and (ix) Other indemnification costs and reimbursements. EBITDA for the periods indicated is defined as net income (loss) before interest expense, net, income tax expenses and depreciation and amortization.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adjusted to exclude (i) Restructuring and other gain, (ii) Early termination charges, (iii) Equity-based compensation expense, (iv) Foreign currency loss (gain), net, (v) Derivative valuation loss (gain), net, (vi) Restatement related expenses, (vii) Secondary offering expenses, (viii) Loss on early extinguishment of long-term borrowings, net and (ix) Other indemnification costs and reimbursements.</w:t>
      </w:r>
    </w:p>
    <w:p>
      <w:pPr>
        <w:sectPr>
          <w:pgSz w:w="11900" w:h="16838" w:orient="portrait"/>
          <w:cols w:equalWidth="0" w:num="1">
            <w:col w:w="11040"/>
          </w:cols>
          <w:pgMar w:left="440" w:top="266" w:right="419" w:bottom="1440" w:gutter="0" w:footer="0" w:header="0"/>
        </w:sectPr>
      </w:pPr>
    </w:p>
    <w:bookmarkStart w:id="11" w:name="page12"/>
    <w:bookmarkEnd w:id="11"/>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86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Hedge collateral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330,260</w:t>
            </w:r>
          </w:p>
        </w:tc>
        <w:tc>
          <w:tcPr>
            <w:tcW w:w="12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accounts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43,054,458 shares issued and 34,441,232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December 31, 2018 and 42,563,808 shares issued and 34,189,599 outstanding at December 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(40,889)</w:t>
            </w:r>
          </w:p>
        </w:tc>
      </w:tr>
      <w:tr>
        <w:trPr>
          <w:trHeight w:val="198"/>
        </w:trPr>
        <w:tc>
          <w:tcPr>
            <w:tcW w:w="20" w:type="dxa"/>
            <w:vAlign w:val="bottom"/>
          </w:tcPr>
          <w:p>
            <w:pPr>
              <w:spacing w:after="0"/>
              <w:rPr>
                <w:sz w:val="17"/>
                <w:szCs w:val="17"/>
                <w:color w:val="auto"/>
              </w:rPr>
            </w:pPr>
          </w:p>
        </w:tc>
        <w:tc>
          <w:tcPr>
            <w:tcW w:w="86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8,613,226 shares at December 31, 2018 and 8,374,209 shares at December 31, 2017,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(103,926)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(33,114)</w:t>
            </w: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583,196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558,789</w:t>
            </w:r>
          </w:p>
        </w:tc>
        <w:tc>
          <w:tcPr>
            <w:tcW w:w="120" w:type="dxa"/>
            <w:vAlign w:val="bottom"/>
            <w:shd w:val="clear" w:color="auto" w:fill="CCEEFF"/>
          </w:tcPr>
          <w:p>
            <w:pPr>
              <w:spacing w:after="0"/>
              <w:rPr>
                <w:sz w:val="18"/>
                <w:szCs w:val="18"/>
                <w:color w:val="auto"/>
              </w:rPr>
            </w:pPr>
          </w:p>
        </w:tc>
      </w:tr>
    </w:tbl>
    <w:p>
      <w:pPr>
        <w:sectPr>
          <w:pgSz w:w="11900" w:h="16838" w:orient="portrait"/>
          <w:cols w:equalWidth="0" w:num="1">
            <w:col w:w="11040"/>
          </w:cols>
          <w:pgMar w:left="440" w:top="266" w:right="4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6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tcBorders>
              <w:top w:val="single" w:sz="8" w:color="auto"/>
            </w:tcBorders>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on foreign currency,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gain and other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accounts payable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disposal of plant, property and equipment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plant, property and equipment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property related to water treatment facility arrangement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long-term borrowings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property related to water treatment facility arrangement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of the period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of the period</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132,438</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2019-12-28T16:15:16Z</dcterms:created>
  <dcterms:modified xsi:type="dcterms:W3CDTF">2019-12-28T16:15:16Z</dcterms:modified>
</cp:coreProperties>
</file>