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420"/>
        <w:spacing w:after="0" w:line="342" w:lineRule="auto"/>
        <w:rPr>
          <w:sz w:val="20"/>
          <w:szCs w:val="20"/>
          <w:color w:val="auto"/>
        </w:rPr>
      </w:pPr>
      <w:r>
        <w:rPr>
          <w:rFonts w:ascii="Arial" w:cs="Arial" w:eastAsia="Arial" w:hAnsi="Arial"/>
          <w:sz w:val="16"/>
          <w:szCs w:val="16"/>
          <w:color w:val="auto"/>
        </w:rPr>
        <w:t>Attached hereto as Exhibit 99.1 and incorporated by reference herein is financial information for Magnachip Semiconductor Corporation and its consolidated subsidiaries for the third quarter ended September 30, 2021, as presented in a press release dated October 25, 2021.</w:t>
      </w:r>
    </w:p>
    <w:p>
      <w:pPr>
        <w:spacing w:after="0" w:line="12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3"/>
                <w:szCs w:val="23"/>
                <w:color w:val="auto"/>
              </w:rPr>
            </w:pPr>
          </w:p>
        </w:tc>
        <w:tc>
          <w:tcPr>
            <w:tcW w:w="94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October 25, 2021, announcing the results for the third quarter ended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30, 2021</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04"/>
          </w:cols>
          <w:pgMar w:left="436" w:top="297" w:right="6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October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96278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27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Third Quarter 2021</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Third quarter revenue of $127.0 million was up 11.5% sequentially and up 1.8% year-over-year (YoY).</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for the third quarter was 36.7%, up 690 bps sequentially and up 1,380 bps YoY.</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net income was $10.8 million or $0.23 per diluted share.</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net income was $20.1 million or $0.42 per diluted share.</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SEOUL, South Korea, October 25, 2021 — Magnachip Semiconductor Corporation (NYSE: MX) (“Magnachip” or the “Company”) today announced its financial results for the third quarter 2021.</w:t>
      </w:r>
    </w:p>
    <w:p>
      <w:pPr>
        <w:spacing w:after="0" w:line="16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“Magnachip delivered solid third quarter results driven mainly by higher gross profit margin. Supported by an improved product mix, combined with an increase in average selling price under a favorable pricing environment, and high utilization rate at Fab 3, our gross profit margin reached 36.7%, the highest level reported in the company’s history, enabling us to achieve a very healthy bottom line,” said YJ Kim, Magnachip’s chief executive officer.</w:t>
      </w:r>
    </w:p>
    <w:p>
      <w:pPr>
        <w:spacing w:after="0" w:line="14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Power business posted record revenue again for the third consecutive quarter, driven by strong demand across all our end markets. While demand for Magnachip’s OLED DDICs has been strong and outpacing supply, our Display business revenue continues to be limited by foundry capacity allocation amid global shortages in manufacturing capacities. As the supply constraint is expected to persist for the foreseeable future, we will keep pressing forward relentlessly to navigate the ongoing challenges by focusing on mix management in the near-term while also securing and expanding sustainable supply capacity for 2022 and beyond, which has already yielded some future capacity commitments.”</w:t>
      </w:r>
    </w:p>
    <w:p>
      <w:pPr>
        <w:spacing w:after="0" w:line="1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Magnachip is not hosting a quarterly earnings conference call and has suspended the practice of providing forward-looking guidance while the Agreement and Plan of Merger executed on March 25, 2021 with an investment vehicle formed by an affiliate of Wise Road Capital LTD is in effect. Please review the ‘Investors’ section of the Company’s website for the quarterly financial results and SEC filings for the latest updates on the pending transaction.</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183515</wp:posOffset>
            </wp:positionV>
            <wp:extent cx="104584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Q3 2021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color w:val="auto"/>
                <w:w w:val="91"/>
              </w:rPr>
              <w:t>In thousands of U.S. dollars, except share data</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rPr>
              <w:t>GAAP</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Q3 2021</w:t>
            </w:r>
          </w:p>
        </w:tc>
        <w:tc>
          <w:tcPr>
            <w:tcW w:w="8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Q2 2021</w:t>
            </w:r>
          </w:p>
        </w:tc>
        <w:tc>
          <w:tcPr>
            <w:tcW w:w="1720" w:type="dxa"/>
            <w:vAlign w:val="bottom"/>
            <w:gridSpan w:val="2"/>
          </w:tcPr>
          <w:p>
            <w:pPr>
              <w:jc w:val="right"/>
              <w:ind w:right="613"/>
              <w:spacing w:after="0" w:line="142" w:lineRule="exact"/>
              <w:rPr>
                <w:sz w:val="20"/>
                <w:szCs w:val="20"/>
                <w:color w:val="auto"/>
              </w:rPr>
            </w:pPr>
            <w:r>
              <w:rPr>
                <w:rFonts w:ascii="Arial" w:cs="Arial" w:eastAsia="Arial" w:hAnsi="Arial"/>
                <w:sz w:val="14"/>
                <w:szCs w:val="14"/>
                <w:b w:val="1"/>
                <w:bCs w:val="1"/>
                <w:color w:val="auto"/>
              </w:rPr>
              <w:t>Q/Q change</w:t>
            </w:r>
          </w:p>
        </w:tc>
        <w:tc>
          <w:tcPr>
            <w:tcW w:w="9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Q3 2020</w:t>
            </w:r>
          </w:p>
        </w:tc>
        <w:tc>
          <w:tcPr>
            <w:tcW w:w="112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58,528</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46,601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25.6%</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69,583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w:t>
            </w:r>
          </w:p>
        </w:tc>
      </w:tr>
      <w:tr>
        <w:trPr>
          <w:trHeight w:val="216"/>
        </w:trPr>
        <w:tc>
          <w:tcPr>
            <w:tcW w:w="516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58,887</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56,667</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3.9%</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46,679</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26.2%</w:t>
            </w: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Services(1)</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9,585</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10,608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9.6%</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8,551</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29.8%</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6.9%pts</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22.9%</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13.8%pts</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20,001</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1,627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1,129.3%</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3,223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520.6%</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Income (Loss)(2)</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10,768</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(198)</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n/a</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272,962</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0.23</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7.74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0.23</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(0.00)</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373"/>
              <w:spacing w:after="0"/>
              <w:rPr>
                <w:sz w:val="20"/>
                <w:szCs w:val="20"/>
                <w:color w:val="auto"/>
              </w:rPr>
            </w:pPr>
            <w:r>
              <w:rPr>
                <w:rFonts w:ascii="Arial" w:cs="Arial" w:eastAsia="Arial" w:hAnsi="Arial"/>
                <w:sz w:val="18"/>
                <w:szCs w:val="18"/>
                <w:color w:val="auto"/>
              </w:rPr>
              <w:t>n/a</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5.89</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r>
      <w:tr>
        <w:trPr>
          <w:trHeight w:val="346"/>
        </w:trPr>
        <w:tc>
          <w:tcPr>
            <w:tcW w:w="51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color w:val="auto"/>
                <w:w w:val="91"/>
              </w:rPr>
              <w:t>In thousands of U.S. dollars, except share data</w:t>
            </w: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8"/>
              </w:rPr>
              <w:t>Non-GAAP(3)</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8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Q3 2021</w:t>
            </w:r>
          </w:p>
        </w:tc>
        <w:tc>
          <w:tcPr>
            <w:tcW w:w="8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Q2 2021</w:t>
            </w:r>
          </w:p>
        </w:tc>
        <w:tc>
          <w:tcPr>
            <w:tcW w:w="1720" w:type="dxa"/>
            <w:vAlign w:val="bottom"/>
            <w:gridSpan w:val="2"/>
          </w:tcPr>
          <w:p>
            <w:pPr>
              <w:jc w:val="right"/>
              <w:ind w:right="613"/>
              <w:spacing w:after="0" w:line="142" w:lineRule="exact"/>
              <w:rPr>
                <w:sz w:val="20"/>
                <w:szCs w:val="20"/>
                <w:color w:val="auto"/>
              </w:rPr>
            </w:pPr>
            <w:r>
              <w:rPr>
                <w:rFonts w:ascii="Arial" w:cs="Arial" w:eastAsia="Arial" w:hAnsi="Arial"/>
                <w:sz w:val="14"/>
                <w:szCs w:val="14"/>
                <w:b w:val="1"/>
                <w:bCs w:val="1"/>
                <w:color w:val="auto"/>
              </w:rPr>
              <w:t>Q/Q change</w:t>
            </w:r>
          </w:p>
        </w:tc>
        <w:tc>
          <w:tcPr>
            <w:tcW w:w="9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Q3 2020</w:t>
            </w:r>
          </w:p>
        </w:tc>
        <w:tc>
          <w:tcPr>
            <w:tcW w:w="11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22,691</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9,052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150.7%</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8,823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157.2%</w:t>
            </w: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w w:val="98"/>
              </w:rPr>
              <w:t>26,361</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12,692</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107.7%</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11,731</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124.7%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8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8"/>
              </w:rPr>
              <w:t>20,073</w:t>
            </w:r>
          </w:p>
        </w:tc>
        <w:tc>
          <w:tcPr>
            <w:tcW w:w="8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7,034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185.4%</w:t>
            </w:r>
          </w:p>
        </w:tc>
        <w:tc>
          <w:tcPr>
            <w:tcW w:w="9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5,147</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290.0%</w:t>
            </w:r>
          </w:p>
        </w:tc>
      </w:t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0.42</w:t>
            </w:r>
          </w:p>
        </w:tc>
        <w:tc>
          <w:tcPr>
            <w:tcW w:w="860" w:type="dxa"/>
            <w:vAlign w:val="bottom"/>
          </w:tcPr>
          <w:p>
            <w:pPr>
              <w:jc w:val="right"/>
              <w:ind w:right="155"/>
              <w:spacing w:after="0"/>
              <w:rPr>
                <w:sz w:val="20"/>
                <w:szCs w:val="20"/>
                <w:color w:val="auto"/>
              </w:rPr>
            </w:pPr>
            <w:r>
              <w:rPr>
                <w:rFonts w:ascii="Arial" w:cs="Arial" w:eastAsia="Arial" w:hAnsi="Arial"/>
                <w:sz w:val="18"/>
                <w:szCs w:val="18"/>
                <w:color w:val="auto"/>
              </w:rPr>
              <w:t>0.15</w:t>
            </w:r>
          </w:p>
        </w:tc>
        <w:tc>
          <w:tcPr>
            <w:tcW w:w="560" w:type="dxa"/>
            <w:vAlign w:val="bottom"/>
          </w:tcPr>
          <w:p>
            <w:pPr>
              <w:jc w:val="right"/>
              <w:spacing w:after="0"/>
              <w:rPr>
                <w:sz w:val="20"/>
                <w:szCs w:val="20"/>
                <w:color w:val="auto"/>
              </w:rPr>
            </w:pPr>
            <w:r>
              <w:rPr>
                <w:rFonts w:ascii="Arial" w:cs="Arial" w:eastAsia="Arial" w:hAnsi="Arial"/>
                <w:sz w:val="18"/>
                <w:szCs w:val="18"/>
                <w:color w:val="auto"/>
              </w:rPr>
              <w:t>up</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180.0%</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0.14</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r>
    </w:tbl>
    <w:p>
      <w:pPr>
        <w:spacing w:after="0" w:line="89" w:lineRule="exact"/>
        <w:rPr>
          <w:sz w:val="20"/>
          <w:szCs w:val="20"/>
          <w:color w:val="auto"/>
        </w:rPr>
      </w:pPr>
    </w:p>
    <w:p>
      <w:pPr>
        <w:ind w:left="424" w:right="40" w:hanging="424"/>
        <w:spacing w:after="0" w:line="25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in Q3 2020, and for a period of up to three years, the Company will provide transitional foundry services to the buyer for foundry products manufactured in the Company’s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3" w:lineRule="exact"/>
        <w:rPr>
          <w:rFonts w:ascii="Arial" w:cs="Arial" w:eastAsia="Arial" w:hAnsi="Arial"/>
          <w:sz w:val="18"/>
          <w:szCs w:val="18"/>
          <w:color w:val="auto"/>
        </w:rPr>
      </w:pPr>
    </w:p>
    <w:p>
      <w:pPr>
        <w:ind w:left="424" w:right="540" w:hanging="424"/>
        <w:spacing w:after="0" w:line="265"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third quarter of 2020, total net income of $273.0 million included income from discontinued operations, net of tax, of $264.5 million, primarily attributable to the recognition of $287.1 million as gain on sale of the Foundry Services Group business and Fab 4.</w:t>
      </w:r>
    </w:p>
    <w:p>
      <w:pPr>
        <w:ind w:left="424" w:right="80" w:hanging="424"/>
        <w:spacing w:after="0" w:line="252"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financial measures are calculated based on the results from continuing operations. 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possibility that any or all of the conditions precedent to the consummation of the pending merger may not be satisfied or waived; unanticipated difficulties or expenditures relating to the proposed merger; the possibility that the merger may not be completed in a timely manner or at all; the diversion of and attention of Magnachip’s management on merger-related issues; legal proceedings, judgments or settlements following the announcement of the proposed merger; disruptions of current plans and operations caused by the announcement and pendency of the proposed merger; potential difficulties in employee retention due to the announcement and pendency of the proposed merger; the response of customers, suppliers, business partners and regulators to the announcement of the proposed merger; the impact of changes in macroeconomic and/or general economic conditions, including those caused by or related to the COVID-19 outbreak, recessions, economic instability and the outbreak of disease;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w:t>
      </w:r>
    </w:p>
    <w:p>
      <w:pPr>
        <w:sectPr>
          <w:pgSz w:w="11900" w:h="16838" w:orient="portrait"/>
          <w:cols w:equalWidth="0" w:num="1">
            <w:col w:w="11024"/>
          </w:cols>
          <w:pgMar w:left="436" w:top="972" w:right="439" w:bottom="1440" w:gutter="0" w:footer="0" w:header="0"/>
        </w:sectPr>
      </w:pPr>
    </w:p>
    <w:bookmarkStart w:id="5" w:name="page6"/>
    <w:bookmarkEnd w:id="5"/>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 the COVID-19 pandemic, trade tensions and supply constraints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ectPr>
          <w:pgSz w:w="11900" w:h="16838" w:orient="portrait"/>
          <w:cols w:equalWidth="0" w:num="1">
            <w:col w:w="10960"/>
          </w:cols>
          <w:pgMar w:left="440" w:top="274" w:right="49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182880</wp:posOffset>
            </wp:positionV>
            <wp:extent cx="104584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280" w:type="dxa"/>
            <w:vAlign w:val="bottom"/>
          </w:tcPr>
          <w:p>
            <w:pPr>
              <w:spacing w:after="0"/>
              <w:rPr>
                <w:sz w:val="10"/>
                <w:szCs w:val="10"/>
                <w:color w:val="auto"/>
              </w:rPr>
            </w:pPr>
          </w:p>
        </w:tc>
        <w:tc>
          <w:tcPr>
            <w:tcW w:w="11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51"/>
              <w:spacing w:after="0" w:line="119" w:lineRule="exact"/>
              <w:rPr>
                <w:sz w:val="20"/>
                <w:szCs w:val="20"/>
                <w:color w:val="auto"/>
              </w:rPr>
            </w:pPr>
            <w:r>
              <w:rPr>
                <w:rFonts w:ascii="Arial" w:cs="Arial" w:eastAsia="Arial" w:hAnsi="Arial"/>
                <w:sz w:val="13"/>
                <w:szCs w:val="13"/>
                <w:b w:val="1"/>
                <w:bCs w:val="1"/>
                <w:color w:val="auto"/>
                <w:w w:val="99"/>
              </w:rPr>
              <w:t>June 30,</w:t>
            </w:r>
          </w:p>
        </w:tc>
        <w:tc>
          <w:tcPr>
            <w:tcW w:w="106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500" w:type="dxa"/>
            <w:vAlign w:val="bottom"/>
          </w:tcPr>
          <w:p>
            <w:pPr>
              <w:spacing w:after="0"/>
              <w:rPr>
                <w:sz w:val="10"/>
                <w:szCs w:val="10"/>
                <w:color w:val="auto"/>
              </w:rPr>
            </w:pPr>
          </w:p>
        </w:tc>
        <w:tc>
          <w:tcPr>
            <w:tcW w:w="12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06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20" w:type="dxa"/>
            <w:vAlign w:val="bottom"/>
          </w:tcPr>
          <w:p>
            <w:pPr>
              <w:spacing w:after="0"/>
              <w:rPr>
                <w:sz w:val="10"/>
                <w:szCs w:val="10"/>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51"/>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117,415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103,268</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116,262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333,589</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335,953</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9,585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10,608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8,551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28,161</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127,000</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113,876</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124,813</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363,895</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364,114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71,641</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70,409</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87,494</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221,297</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245,917</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8,772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9,497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27,659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28,341</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80,413</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79,906</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96,225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248,956</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274,258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46,587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33,970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28,588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114,939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89,856</w:t>
            </w: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12,550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14,001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12,888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39,185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37,398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12,270</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13,322</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39,015</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34,094</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1,766</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5,020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17,202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r>
      <w:tr>
        <w:trPr>
          <w:trHeight w:val="216"/>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26,586</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32,343</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25,365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95,402</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72,046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20,001</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1,627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19,537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17,810</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8"/>
                <w:szCs w:val="18"/>
                <w:color w:val="auto"/>
              </w:rPr>
            </w:pPr>
          </w:p>
        </w:tc>
        <w:tc>
          <w:tcPr>
            <w:tcW w:w="1140" w:type="dxa"/>
            <w:vAlign w:val="bottom"/>
          </w:tcPr>
          <w:p>
            <w:pPr>
              <w:jc w:val="right"/>
              <w:ind w:right="191"/>
              <w:spacing w:after="0"/>
              <w:rPr>
                <w:sz w:val="20"/>
                <w:szCs w:val="20"/>
                <w:color w:val="auto"/>
              </w:rPr>
            </w:pPr>
            <w:r>
              <w:rPr>
                <w:rFonts w:ascii="Arial" w:cs="Arial" w:eastAsia="Arial" w:hAnsi="Arial"/>
                <w:sz w:val="18"/>
                <w:szCs w:val="18"/>
                <w:color w:val="auto"/>
              </w:rPr>
              <w:t>(1,239)</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(16,522)</w:t>
            </w: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(7,579)</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(12,000)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(13,638)</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1,608</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2,839</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13,917</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2,403</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7,316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9,137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rPr>
              <w:t>3,149</w:t>
            </w:r>
          </w:p>
        </w:tc>
        <w:tc>
          <w:tcPr>
            <w:tcW w:w="36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2,601</w:t>
            </w: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rPr>
              <w:t>6,040</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10,768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3,097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(10,843)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264,501</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289,227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10,768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272,962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3,097</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278,384</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8"/>
              </w:rPr>
              <w:t>46,449,234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8"/>
              </w:rPr>
              <w:t>46,322,027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35,280,864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6"/>
              </w:rPr>
              <w:t>44,377,250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35,089,479</w:t>
            </w: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40" w:type="dxa"/>
            <w:vAlign w:val="bottom"/>
          </w:tcPr>
          <w:p>
            <w:pPr>
              <w:jc w:val="right"/>
              <w:ind w:right="131"/>
              <w:spacing w:after="0"/>
              <w:rPr>
                <w:sz w:val="20"/>
                <w:szCs w:val="20"/>
                <w:color w:val="auto"/>
              </w:rPr>
            </w:pPr>
            <w:r>
              <w:rPr>
                <w:rFonts w:ascii="Arial" w:cs="Arial" w:eastAsia="Arial" w:hAnsi="Arial"/>
                <w:sz w:val="18"/>
                <w:szCs w:val="18"/>
                <w:color w:val="auto"/>
                <w:w w:val="88"/>
              </w:rPr>
              <w:t>47,808,457</w:t>
            </w:r>
          </w:p>
        </w:tc>
        <w:tc>
          <w:tcPr>
            <w:tcW w:w="360" w:type="dxa"/>
            <w:vAlign w:val="bottom"/>
          </w:tcPr>
          <w:p>
            <w:pPr>
              <w:spacing w:after="0"/>
              <w:rPr>
                <w:sz w:val="20"/>
                <w:szCs w:val="20"/>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w w:val="88"/>
              </w:rPr>
              <w:t>46,322,027</w:t>
            </w:r>
          </w:p>
        </w:tc>
        <w:tc>
          <w:tcPr>
            <w:tcW w:w="24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46,581,788</w:t>
            </w:r>
          </w:p>
        </w:tc>
        <w:tc>
          <w:tcPr>
            <w:tcW w:w="100" w:type="dxa"/>
            <w:vAlign w:val="bottom"/>
          </w:tcPr>
          <w:p>
            <w:pPr>
              <w:spacing w:after="0"/>
              <w:rPr>
                <w:sz w:val="20"/>
                <w:szCs w:val="20"/>
                <w:color w:val="auto"/>
              </w:rPr>
            </w:pPr>
          </w:p>
        </w:tc>
        <w:tc>
          <w:tcPr>
            <w:tcW w:w="1140" w:type="dxa"/>
            <w:vAlign w:val="bottom"/>
          </w:tcPr>
          <w:p>
            <w:pPr>
              <w:jc w:val="right"/>
              <w:ind w:right="251"/>
              <w:spacing w:after="0"/>
              <w:rPr>
                <w:sz w:val="20"/>
                <w:szCs w:val="20"/>
                <w:color w:val="auto"/>
              </w:rPr>
            </w:pPr>
            <w:r>
              <w:rPr>
                <w:rFonts w:ascii="Arial" w:cs="Arial" w:eastAsia="Arial" w:hAnsi="Arial"/>
                <w:sz w:val="18"/>
                <w:szCs w:val="18"/>
                <w:color w:val="auto"/>
                <w:w w:val="86"/>
              </w:rPr>
              <w:t>45,811,792</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35,089,479</w:t>
            </w:r>
          </w:p>
        </w:tc>
      </w:tr>
    </w:tbl>
    <w:p>
      <w:pPr>
        <w:sectPr>
          <w:pgSz w:w="11900" w:h="16838" w:orient="portrait"/>
          <w:cols w:equalWidth="0" w:num="1">
            <w:col w:w="11020"/>
          </w:cols>
          <w:pgMar w:left="440" w:top="756" w:right="4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182880</wp:posOffset>
            </wp:positionV>
            <wp:extent cx="1045845"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5"/>
          </w:tcPr>
          <w:p>
            <w:pPr>
              <w:jc w:val="right"/>
              <w:ind w:right="71"/>
              <w:spacing w:after="0" w:line="119" w:lineRule="exact"/>
              <w:rPr>
                <w:sz w:val="20"/>
                <w:szCs w:val="20"/>
                <w:color w:val="auto"/>
              </w:rPr>
            </w:pPr>
            <w:r>
              <w:rPr>
                <w:rFonts w:ascii="Arial" w:cs="Arial" w:eastAsia="Arial" w:hAnsi="Arial"/>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52,523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38,773</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8,971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391,873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103,352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3,727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9,451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41,255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562,689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33,386</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18,671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13,168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37,741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7"/>
              </w:rPr>
              <w:t>Common stock, $0.01 par value, 150,000,000 shares authorized, 55,676,851 shares issued and 46,464,889</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540"/>
              <w:spacing w:after="0"/>
              <w:rPr>
                <w:sz w:val="20"/>
                <w:szCs w:val="20"/>
                <w:color w:val="auto"/>
              </w:rPr>
            </w:pPr>
            <w:r>
              <w:rPr>
                <w:rFonts w:ascii="Arial" w:cs="Arial" w:eastAsia="Arial" w:hAnsi="Arial"/>
                <w:sz w:val="18"/>
                <w:szCs w:val="18"/>
                <w:color w:val="auto"/>
              </w:rPr>
              <w:t>outstanding at September 30, 2021 and 44,943,854 shares issued and 35,783,347 outstanding at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289,931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Treasury stock, 9,211,962 shares at September 30, 2021 and 9,160,507 shares at December 31, 2020,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(109,407)</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(108,397)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562,689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756"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182880</wp:posOffset>
            </wp:positionV>
            <wp:extent cx="1045845"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31"/>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10,768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3,097</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278,384</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3,578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10,576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13,333</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14,150</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14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1,824</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foreign currency, net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19,254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6,609</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4,079</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6,056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discontinued operations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(287,117)</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6,696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(16,583)</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 accounts receivable, net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14,260</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1,390</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6,111</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(690)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7,933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9,143</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(5,156)</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accounts payable</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(3,126)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(8,034)</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(8,308)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12,546</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severance benefits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(5,888)</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19,650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51,541</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8,029</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Payment of hedge collateral</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(16,353)</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Collection of guarantee deposits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Payment of guarantee deposits</w:t>
            </w:r>
          </w:p>
        </w:tc>
        <w:tc>
          <w:tcPr>
            <w:tcW w:w="14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discontinued operations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350,553</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334,030</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2,690</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14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w:t>
            </w: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8"/>
                <w:szCs w:val="18"/>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color w:val="auto"/>
              </w:rPr>
              <w:t>(11,552)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(21,003)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3,781</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390,454</w:t>
            </w: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271,880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279,940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151,657</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End of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276,301</w:t>
            </w:r>
          </w:p>
        </w:tc>
        <w:tc>
          <w:tcPr>
            <w:tcW w:w="28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276,301</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542,111</w:t>
            </w:r>
          </w:p>
        </w:tc>
      </w:tr>
      <w:tr>
        <w:trPr>
          <w:trHeight w:val="20"/>
        </w:trPr>
        <w:tc>
          <w:tcPr>
            <w:tcW w:w="6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756" w:right="4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182880</wp:posOffset>
            </wp:positionV>
            <wp:extent cx="1045845"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MAGNACHIP SEMICONDUCTOR CORPORATION AND SUBSIDIARIES RECONCILIATION OF OPERATING INCOME TO ADJUSTED OPERATING INCOME (In thousands of U.S. dollars)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24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9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2"/>
              </w:rPr>
              <w:t>June 30,</w:t>
            </w: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20,001</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$ 1,627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w:t>
            </w:r>
          </w:p>
        </w:tc>
        <w:tc>
          <w:tcPr>
            <w:tcW w:w="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2,005</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4,366</w:t>
            </w:r>
          </w:p>
        </w:tc>
      </w:tr>
      <w:tr>
        <w:trPr>
          <w:trHeight w:val="202"/>
        </w:trPr>
        <w:tc>
          <w:tcPr>
            <w:tcW w:w="524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 downstream</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240" w:type="dxa"/>
            <w:vAlign w:val="bottom"/>
          </w:tcPr>
          <w:p>
            <w:pPr>
              <w:ind w:left="540"/>
              <w:spacing w:after="0"/>
              <w:rPr>
                <w:sz w:val="20"/>
                <w:szCs w:val="20"/>
                <w:color w:val="auto"/>
              </w:rPr>
            </w:pPr>
            <w:r>
              <w:rPr>
                <w:rFonts w:ascii="Arial" w:cs="Arial" w:eastAsia="Arial" w:hAnsi="Arial"/>
                <w:sz w:val="18"/>
                <w:szCs w:val="18"/>
                <w:color w:val="auto"/>
              </w:rPr>
              <w:t>trade restrictions</w:t>
            </w:r>
          </w:p>
        </w:tc>
        <w:tc>
          <w:tcPr>
            <w:tcW w:w="180" w:type="dxa"/>
            <w:vAlign w:val="bottom"/>
          </w:tcPr>
          <w:p>
            <w:pPr>
              <w:spacing w:after="0"/>
              <w:rPr>
                <w:sz w:val="20"/>
                <w:szCs w:val="20"/>
                <w:color w:val="auto"/>
              </w:rPr>
            </w:pPr>
          </w:p>
        </w:tc>
        <w:tc>
          <w:tcPr>
            <w:tcW w:w="1140" w:type="dxa"/>
            <w:vAlign w:val="bottom"/>
            <w:gridSpan w:val="2"/>
          </w:tcPr>
          <w:p>
            <w:pPr>
              <w:jc w:val="right"/>
              <w:ind w:right="308"/>
              <w:spacing w:after="0"/>
              <w:rPr>
                <w:sz w:val="20"/>
                <w:szCs w:val="20"/>
                <w:color w:val="auto"/>
              </w:rPr>
            </w:pPr>
            <w:r>
              <w:rPr>
                <w:rFonts w:ascii="Arial" w:cs="Arial" w:eastAsia="Arial" w:hAnsi="Arial"/>
                <w:sz w:val="18"/>
                <w:szCs w:val="18"/>
                <w:color w:val="auto"/>
              </w:rPr>
              <w:t>(1,081)</w:t>
            </w: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2,331</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Other charges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1,766</w:t>
            </w:r>
          </w:p>
        </w:tc>
        <w:tc>
          <w:tcPr>
            <w:tcW w:w="4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5,020</w:t>
            </w:r>
          </w:p>
        </w:tc>
        <w:tc>
          <w:tcPr>
            <w:tcW w:w="1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17,202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r>
      <w:tr>
        <w:trPr>
          <w:trHeight w:val="27"/>
        </w:trPr>
        <w:tc>
          <w:tcPr>
            <w:tcW w:w="5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9,052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41,714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26,229</w:t>
            </w:r>
          </w:p>
        </w:tc>
      </w:tr>
      <w:tr>
        <w:trPr>
          <w:trHeight w:val="20"/>
        </w:trPr>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We present Adjusted Operating Income as a supplemental measure of our performance. We define Adjusted Operating Income for the periods indicated as operating income adjusted to exclude (i) Equity-based compensation expense, (ii) Inventory reserve related to Huawei impact of downstream trade restrictions, (iii) Expenses related to Fab 3 power outage and (iv) Other charges.</w:t>
      </w:r>
    </w:p>
    <w:p>
      <w:pPr>
        <w:spacing w:after="0" w:line="184" w:lineRule="exact"/>
        <w:rPr>
          <w:sz w:val="20"/>
          <w:szCs w:val="20"/>
          <w:color w:val="auto"/>
        </w:rPr>
      </w:pPr>
    </w:p>
    <w:p>
      <w:pPr>
        <w:ind w:right="640" w:firstLine="440"/>
        <w:spacing w:after="0" w:line="342" w:lineRule="auto"/>
        <w:rPr>
          <w:sz w:val="20"/>
          <w:szCs w:val="20"/>
          <w:color w:val="auto"/>
        </w:rPr>
      </w:pPr>
      <w:r>
        <w:rPr>
          <w:rFonts w:ascii="Arial" w:cs="Arial" w:eastAsia="Arial" w:hAnsi="Arial"/>
          <w:sz w:val="16"/>
          <w:szCs w:val="16"/>
          <w:color w:val="auto"/>
        </w:rPr>
        <w:t>For the three and nine months ended September 30, 2021, other charges of $1,766 thousand and $17,202 thousand, respectively, related to non-recurring professional service fees and expenses in connection with the pending merger transaction and regulatory requests.</w:t>
      </w:r>
    </w:p>
    <w:p>
      <w:pPr>
        <w:spacing w:after="0" w:line="12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For the nine months ended September 30, 2020, other charges were $554 thousand, which pertained to non-recurring professional service fees and expenses incurred in connection with certain treasury and finance initiatives.</w:t>
      </w:r>
    </w:p>
    <w:p>
      <w:pPr>
        <w:sectPr>
          <w:pgSz w:w="11900" w:h="16838" w:orient="portrait"/>
          <w:cols w:equalWidth="0" w:num="1">
            <w:col w:w="11020"/>
          </w:cols>
          <w:pgMar w:left="440" w:top="756" w:right="439" w:bottom="1440" w:gutter="0" w:footer="0" w:header="0"/>
        </w:sectPr>
      </w:pPr>
    </w:p>
    <w:bookmarkStart w:id="10" w:name="page11"/>
    <w:bookmarkEnd w:id="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6226175</wp:posOffset>
            </wp:positionH>
            <wp:positionV relativeFrom="page">
              <wp:posOffset>183515</wp:posOffset>
            </wp:positionV>
            <wp:extent cx="1045845"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45845" cy="21463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42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Adjustments: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(income),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EBITDA</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15,045</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7,579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4160" w:type="dxa"/>
            <w:vAlign w:val="bottom"/>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40"/>
              <w:spacing w:after="0"/>
              <w:rPr>
                <w:sz w:val="20"/>
                <w:szCs w:val="20"/>
                <w:color w:val="auto"/>
              </w:rPr>
            </w:pPr>
            <w:r>
              <w:rPr>
                <w:rFonts w:ascii="Arial" w:cs="Arial" w:eastAsia="Arial" w:hAnsi="Arial"/>
                <w:sz w:val="18"/>
                <w:szCs w:val="18"/>
                <w:color w:val="auto"/>
              </w:rPr>
              <w:t>downstream trade restrictions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Other charges,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16,475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52,557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34,337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8,461</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(8,864)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13,638</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Inventory reserve related to Huawei impact of</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downstream trade restrictions</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Expenses related to Fab 3 power outage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Adjusted Net Income</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 Basic</w:t>
            </w:r>
          </w:p>
        </w:tc>
        <w:tc>
          <w:tcPr>
            <w:tcW w:w="580" w:type="dxa"/>
            <w:vAlign w:val="bottom"/>
            <w:gridSpan w:val="2"/>
          </w:tcPr>
          <w:p>
            <w:pPr>
              <w:ind w:left="5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0.82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46,449,234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46,322,027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35,280,864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44,377,250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35,089,479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47,808,457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47,846,217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46,581,788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47,718,578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36,151,622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 w:right="400" w:firstLine="440"/>
        <w:spacing w:after="0" w:line="291" w:lineRule="auto"/>
        <w:rPr>
          <w:sz w:val="20"/>
          <w:szCs w:val="20"/>
          <w:color w:val="auto"/>
        </w:rPr>
      </w:pPr>
      <w:r>
        <w:rPr>
          <w:rFonts w:ascii="Arial" w:cs="Arial" w:eastAsia="Arial" w:hAnsi="Arial"/>
          <w:sz w:val="16"/>
          <w:szCs w:val="16"/>
          <w:color w:val="auto"/>
        </w:rPr>
        <w:t>We present Adjusted EBITDA and Adjusted Net Income as supplemental measures of our performance. We define Adjusted EBITDA for the periods indicated as EBITDA (as defined below), adjusted to exclude (i) Equity-based compensation expense, (ii) Foreign currency loss (gain), net,</w:t>
      </w:r>
    </w:p>
    <w:p>
      <w:pPr>
        <w:ind w:left="4" w:right="40" w:hanging="4"/>
        <w:spacing w:after="0" w:line="255"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Derivative valuation loss (gain), net, (iv) Inventory reserve related to Huawei impact of downstream trade restrictions, (v) Expenses related to Fab 3 power outage and (vi) Other charges, net. EBITDA for the periods indicated is defined as Income (loss) from continuing operations before interest expense (income), net, income tax expense (benefit), and depreciation and amortization.</w:t>
      </w:r>
    </w:p>
    <w:p>
      <w:pPr>
        <w:spacing w:after="0" w:line="190"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We present Adjusted Net Income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(loss) from continuing operations, adjusted to exclude (i) Equity-based compensation expense,</w:t>
      </w:r>
    </w:p>
    <w:p>
      <w:pPr>
        <w:spacing w:after="0" w:line="1" w:lineRule="exact"/>
        <w:rPr>
          <w:sz w:val="20"/>
          <w:szCs w:val="20"/>
          <w:color w:val="auto"/>
        </w:rPr>
      </w:pPr>
    </w:p>
    <w:p>
      <w:pPr>
        <w:ind w:left="4" w:right="380" w:hanging="4"/>
        <w:spacing w:after="0" w:line="260"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loss (gain), net, (iii) Derivative valuation loss (gain), net, (iv) Inventory reserve related to Huawei impact of downstream trade restrictions, (v) Expenses related to Fab 3 power outage and (vi) Other charges, net.</w:t>
      </w:r>
    </w:p>
    <w:p>
      <w:pPr>
        <w:spacing w:after="0" w:line="185"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For the three and nine months ended September 30, 2021, other charges, net included expenses of $1,766 thousand and $17,202 thousand, respectively, related to non-recurring professional service fees and expenses in connection with the pending merger transaction and regulatory requests, both of which were offset in part by $727 thousand legal settlement gain related to certain expenses incurred in prior periods in connection with our legacy Fab 4 (which was sold during the year ended December 31, 2020) and awarded in the current quarter.</w:t>
      </w:r>
    </w:p>
    <w:p>
      <w:pPr>
        <w:spacing w:after="0" w:line="17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For the nine months ended September 30, 2020, other charges, net were $554 thousand, which pertained to non-recurring professional service fees and expenses incurred in connection with certain treasury and finance initiatives.</w:t>
      </w:r>
    </w:p>
    <w:sectPr>
      <w:pgSz w:w="11900" w:h="16838" w:orient="portrait"/>
      <w:cols w:equalWidth="0" w:num="1">
        <w:col w:w="11024"/>
      </w:cols>
      <w:pgMar w:left="436" w:top="75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2021-10-25T05:52:53Z</dcterms:created>
  <dcterms:modified xsi:type="dcterms:W3CDTF">2021-10-25T05:52:53Z</dcterms:modified>
</cp:coreProperties>
</file>