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158750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144145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120" w:type="dxa"/>
            <w:vAlign w:val="bottom"/>
          </w:tcPr>
          <w:p>
            <w:pPr>
              <w:jc w:val="center"/>
              <w:ind w:right="231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100"/>
              <w:spacing w:after="0"/>
              <w:rPr>
                <w:sz w:val="20"/>
                <w:szCs w:val="20"/>
                <w:color w:val="auto"/>
              </w:rPr>
            </w:pPr>
            <w:r>
              <w:rPr>
                <w:rFonts w:ascii="Arial" w:cs="Arial" w:eastAsia="Arial" w:hAnsi="Arial"/>
                <w:sz w:val="18"/>
                <w:szCs w:val="18"/>
                <w:b w:val="1"/>
                <w:bCs w:val="1"/>
                <w:color w:val="auto"/>
              </w:rPr>
              <w:t>001-34791</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1, Allée Scheffer, L-2520</w:t>
            </w:r>
          </w:p>
        </w:tc>
        <w:tc>
          <w:tcPr>
            <w:tcW w:w="22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5"/>
        </w:trPr>
        <w:tc>
          <w:tcPr>
            <w:tcW w:w="634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2"/>
              </w:rPr>
              <w:t>Luxembourg, Grand Duchy of Luxembourg</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180340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4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449" w:right="4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MagnaChip Semiconductor Corporation (the “Company”) held its 2019 Annual Meeting of Stockholders on June 11, 2019. As of the close of business on the record date of April 18, 2019, there were 34,223,502 shares of the Company’s common stock outstanding and entitled to vote at the Annual Meeting. The number of shares of the Company’s common stock present at the meeting, in person or by proxy, was 28,925,446, or 84.52% of the outstanding shares entitled to vote.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the meeting, the following proposals were submitted to a vote of the Company’s stockholders, with the final voting results indicated below:</w:t>
      </w:r>
    </w:p>
    <w:p>
      <w:pPr>
        <w:spacing w:after="0" w:line="23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auto"/>
        </w:rPr>
        <w:t>Proposal 1 – Election of Directors</w:t>
      </w:r>
      <w:r>
        <w:rPr>
          <w:rFonts w:ascii="Arial" w:cs="Arial" w:eastAsia="Arial" w:hAnsi="Arial"/>
          <w:sz w:val="18"/>
          <w:szCs w:val="18"/>
          <w:color w:val="auto"/>
        </w:rPr>
        <w:t>. The Company’s stockholders elected the following six directors to serve until the 2020 Annual Meetings of Stockholders and until their respective successors are elected and qualified.</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Arial" w:cs="Arial" w:eastAsia="Arial" w:hAnsi="Arial"/>
                <w:sz w:val="14"/>
                <w:szCs w:val="14"/>
                <w:b w:val="1"/>
                <w:bCs w:val="1"/>
                <w:color w:val="auto"/>
              </w:rPr>
              <w:t>For</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Withheld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5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Melvin L. Keating</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20,186,084</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3,522,402</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5,216,960</w:t>
            </w: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Young-Joon (YJ) Kim</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23,559,103</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149,383</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5,216,960</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Ilbok Lee</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20,252,029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3,456,457</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5,216,960</w:t>
            </w: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Camillo Martino</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22,351,594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1,356,892</w:t>
            </w:r>
          </w:p>
        </w:tc>
        <w:tc>
          <w:tcPr>
            <w:tcW w:w="6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5,216,960</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Gary Tanner</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22,358,037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1,350,449</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5,216,960</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Nader Tavakoli</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22,356,667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1,351,819</w:t>
            </w:r>
          </w:p>
        </w:tc>
        <w:tc>
          <w:tcPr>
            <w:tcW w:w="6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5,216,960</w:t>
            </w:r>
          </w:p>
        </w:tc>
      </w:tr>
    </w:tbl>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u w:val="single" w:color="auto"/>
          <w:color w:val="auto"/>
        </w:rPr>
        <w:t>Proposal 2 – Advisory Vote on the Compensation of the Named Executive Officers</w:t>
      </w:r>
      <w:r>
        <w:rPr>
          <w:rFonts w:ascii="Arial" w:cs="Arial" w:eastAsia="Arial" w:hAnsi="Arial"/>
          <w:sz w:val="18"/>
          <w:szCs w:val="18"/>
          <w:color w:val="auto"/>
        </w:rPr>
        <w:t>. The Company’s stockholders approved, on an advisory basis, the compensation of the Company’s named executive officers as disclosed in the Company’s 2019 proxy materials.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18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Abstained</w:t>
            </w:r>
          </w:p>
        </w:tc>
        <w:tc>
          <w:tcPr>
            <w:tcW w:w="14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540" w:type="dxa"/>
            <w:vAlign w:val="bottom"/>
          </w:tcPr>
          <w:p>
            <w:pPr>
              <w:spacing w:after="0"/>
              <w:rPr>
                <w:sz w:val="14"/>
                <w:szCs w:val="14"/>
                <w:color w:val="auto"/>
              </w:rPr>
            </w:pPr>
          </w:p>
        </w:tc>
      </w:tr>
      <w:tr>
        <w:trPr>
          <w:trHeight w:val="210"/>
        </w:trPr>
        <w:tc>
          <w:tcPr>
            <w:tcW w:w="23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23,387,664</w:t>
            </w:r>
          </w:p>
        </w:tc>
        <w:tc>
          <w:tcPr>
            <w:tcW w:w="32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285,692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35,130</w:t>
            </w:r>
          </w:p>
        </w:tc>
        <w:tc>
          <w:tcPr>
            <w:tcW w:w="26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5,216,960</w:t>
            </w:r>
          </w:p>
        </w:tc>
        <w:tc>
          <w:tcPr>
            <w:tcW w:w="5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u w:val="single" w:color="auto"/>
          <w:color w:val="auto"/>
        </w:rPr>
        <w:t>Proposal 3 – Ratification of the Appointment of Samil PricewaterhouseCoopers</w:t>
      </w:r>
      <w:r>
        <w:rPr>
          <w:rFonts w:ascii="Arial" w:cs="Arial" w:eastAsia="Arial" w:hAnsi="Arial"/>
          <w:sz w:val="16"/>
          <w:szCs w:val="16"/>
          <w:color w:val="auto"/>
        </w:rPr>
        <w:t>. The Company’s stockholders ratified the appointment of Samil PricewaterhouseCoopers as the Company’s independent registered public accounting firm for the fiscal year ending December 31,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34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7"/>
              </w:rPr>
              <w:t>For</w:t>
            </w:r>
          </w:p>
        </w:tc>
        <w:tc>
          <w:tcPr>
            <w:tcW w:w="54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Against</w:t>
            </w:r>
          </w:p>
        </w:tc>
        <w:tc>
          <w:tcPr>
            <w:tcW w:w="16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1"/>
              </w:rPr>
              <w:t>Abstained</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vMerge w:val="continue"/>
          </w:tcPr>
          <w:p>
            <w:pPr>
              <w:spacing w:after="0"/>
              <w:rPr>
                <w:sz w:val="18"/>
                <w:szCs w:val="18"/>
                <w:color w:val="auto"/>
              </w:rPr>
            </w:pPr>
          </w:p>
        </w:tc>
        <w:tc>
          <w:tcPr>
            <w:tcW w:w="3460" w:type="dxa"/>
            <w:vAlign w:val="bottom"/>
            <w:gridSpan w:val="3"/>
            <w:shd w:val="clear" w:color="auto" w:fill="CCEEFF"/>
          </w:tcPr>
          <w:p>
            <w:pPr>
              <w:jc w:val="right"/>
              <w:ind w:right="1680"/>
              <w:spacing w:after="0"/>
              <w:rPr>
                <w:sz w:val="20"/>
                <w:szCs w:val="20"/>
                <w:color w:val="auto"/>
              </w:rPr>
            </w:pPr>
            <w:r>
              <w:rPr>
                <w:rFonts w:ascii="Arial" w:cs="Arial" w:eastAsia="Arial" w:hAnsi="Arial"/>
                <w:sz w:val="18"/>
                <w:szCs w:val="18"/>
                <w:color w:val="auto"/>
              </w:rPr>
              <w:t>28,860,417</w:t>
            </w:r>
          </w:p>
        </w:tc>
        <w:tc>
          <w:tcPr>
            <w:tcW w:w="32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43,244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21,785</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00" w:type="dxa"/>
            <w:vAlign w:val="bottom"/>
            <w:gridSpan w:val="4"/>
          </w:tcPr>
          <w:p>
            <w:pPr>
              <w:spacing w:after="0"/>
              <w:rPr>
                <w:sz w:val="20"/>
                <w:szCs w:val="20"/>
                <w:color w:val="auto"/>
              </w:rPr>
            </w:pPr>
            <w:r>
              <w:rPr>
                <w:rFonts w:ascii="Arial" w:cs="Arial" w:eastAsia="Arial" w:hAnsi="Arial"/>
                <w:sz w:val="18"/>
                <w:szCs w:val="18"/>
                <w:color w:val="auto"/>
              </w:rPr>
              <w:t>There were no broker non-votes with respect to Proposal 3.</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40" w:top="270" w:right="5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7140" w:type="dxa"/>
            <w:vAlign w:val="bottom"/>
            <w:gridSpan w:val="2"/>
          </w:tcPr>
          <w:p>
            <w:pPr>
              <w:ind w:left="2380"/>
              <w:spacing w:after="0"/>
              <w:rPr>
                <w:sz w:val="20"/>
                <w:szCs w:val="20"/>
                <w:color w:val="auto"/>
              </w:rPr>
            </w:pPr>
            <w:r>
              <w:rPr>
                <w:rFonts w:ascii="Arial" w:cs="Arial" w:eastAsia="Arial" w:hAnsi="Arial"/>
                <w:sz w:val="18"/>
                <w:szCs w:val="18"/>
                <w:color w:val="auto"/>
              </w:rPr>
              <w:t>MAGNACHIP SEMICONDUCTOR CORPORATION</w:t>
            </w:r>
          </w:p>
        </w:tc>
      </w:tr>
      <w:tr>
        <w:trPr>
          <w:trHeight w:val="540"/>
        </w:trPr>
        <w:tc>
          <w:tcPr>
            <w:tcW w:w="3900" w:type="dxa"/>
            <w:vAlign w:val="bottom"/>
          </w:tcPr>
          <w:p>
            <w:pPr>
              <w:spacing w:after="0"/>
              <w:rPr>
                <w:sz w:val="20"/>
                <w:szCs w:val="20"/>
                <w:color w:val="auto"/>
              </w:rPr>
            </w:pPr>
            <w:r>
              <w:rPr>
                <w:rFonts w:ascii="Arial" w:cs="Arial" w:eastAsia="Arial" w:hAnsi="Arial"/>
                <w:sz w:val="18"/>
                <w:szCs w:val="18"/>
                <w:color w:val="auto"/>
              </w:rPr>
              <w:t>Dated: June 17, 2019</w:t>
            </w:r>
          </w:p>
        </w:tc>
        <w:tc>
          <w:tcPr>
            <w:tcW w:w="7140" w:type="dxa"/>
            <w:vAlign w:val="bottom"/>
            <w:gridSpan w:val="2"/>
          </w:tcPr>
          <w:p>
            <w:pPr>
              <w:ind w:left="2380"/>
              <w:spacing w:after="0"/>
              <w:rPr>
                <w:sz w:val="20"/>
                <w:szCs w:val="20"/>
                <w:color w:val="auto"/>
              </w:rPr>
            </w:pPr>
            <w:r>
              <w:rPr>
                <w:rFonts w:ascii="Arial" w:cs="Arial" w:eastAsia="Arial" w:hAnsi="Arial"/>
                <w:sz w:val="18"/>
                <w:szCs w:val="18"/>
                <w:color w:val="auto"/>
              </w:rPr>
              <w:t>By:  /s/ Theodore Kim</w:t>
            </w:r>
          </w:p>
        </w:tc>
      </w:tr>
      <w:tr>
        <w:trPr>
          <w:trHeight w:val="195"/>
        </w:trPr>
        <w:tc>
          <w:tcPr>
            <w:tcW w:w="39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4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Theodore Kim</w:t>
            </w:r>
          </w:p>
        </w:tc>
      </w:tr>
      <w:tr>
        <w:trPr>
          <w:trHeight w:val="216"/>
        </w:trPr>
        <w:tc>
          <w:tcPr>
            <w:tcW w:w="3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Chief Compliance Officer, Executive Vice President,</w:t>
            </w:r>
          </w:p>
        </w:tc>
      </w:tr>
      <w:tr>
        <w:trPr>
          <w:trHeight w:val="230"/>
        </w:trPr>
        <w:tc>
          <w:tcPr>
            <w:tcW w:w="3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2019-12-01T16:23:19Z</dcterms:created>
  <dcterms:modified xsi:type="dcterms:W3CDTF">2019-12-01T16:23:19Z</dcterms:modified>
</cp:coreProperties>
</file>