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ind w:left="3400"/>
        <w:spacing w:after="0"/>
        <w:tabs>
          <w:tab w:leader="none" w:pos="6700" w:val="left"/>
          <w:tab w:leader="none" w:pos="7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6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83-0406195</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5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210820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5" w:lineRule="exact"/>
        <w:rPr>
          <w:sz w:val="24"/>
          <w:szCs w:val="24"/>
          <w:color w:val="auto"/>
        </w:rPr>
      </w:pPr>
    </w:p>
    <w:p>
      <w:pPr>
        <w:jc w:val="both"/>
        <w:ind w:left="120"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3"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1"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left="560" w:right="108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April 30, 2020, the registrant had 35,065,248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1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No.</w:t>
            </w:r>
          </w:p>
        </w:tc>
      </w:tr>
      <w:tr>
        <w:trPr>
          <w:trHeight w:val="304"/>
        </w:trPr>
        <w:tc>
          <w:tcPr>
            <w:tcW w:w="10400" w:type="dxa"/>
            <w:vAlign w:val="bottom"/>
            <w:gridSpan w:val="1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Item 1.</w:t>
            </w:r>
          </w:p>
        </w:tc>
        <w:tc>
          <w:tcPr>
            <w:tcW w:w="9180" w:type="dxa"/>
            <w:vAlign w:val="bottom"/>
            <w:gridSpan w:val="11"/>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Interim Consolidated 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3"/>
        </w:trPr>
        <w:tc>
          <w:tcPr>
            <w:tcW w:w="1220" w:type="dxa"/>
            <w:vAlign w:val="bottom"/>
          </w:tcPr>
          <w:p>
            <w:pPr>
              <w:spacing w:after="0"/>
              <w:rPr>
                <w:sz w:val="24"/>
                <w:szCs w:val="24"/>
                <w:color w:val="auto"/>
              </w:rPr>
            </w:pPr>
          </w:p>
        </w:tc>
        <w:tc>
          <w:tcPr>
            <w:tcW w:w="81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MagnaChip Semiconductor Corporation and Subsidiaries Consolidated Balance Sheets as of March 31, 2020 and</w:t>
              </w:r>
            </w:hyperlink>
          </w:p>
        </w:tc>
        <w:tc>
          <w:tcPr>
            <w:tcW w:w="104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gridSpan w:val="1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2019</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85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MagnaChip Semiconductor Corporation and Subsidiaries Consolidated Statements of Operations for the Three Months</w:t>
              </w:r>
            </w:hyperlink>
          </w:p>
        </w:tc>
        <w:tc>
          <w:tcPr>
            <w:tcW w:w="62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March 31, 2020 and 2019</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9180" w:type="dxa"/>
            <w:vAlign w:val="bottom"/>
            <w:gridSpan w:val="11"/>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MagnaChip Semiconductor Corporation and Subsidiaries Consolidated Statements of Comprehensive Loss for the Three</w:t>
              </w:r>
            </w:hyperlink>
          </w:p>
        </w:tc>
        <w:tc>
          <w:tcPr>
            <w:tcW w:w="56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5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Months Ended March 31, 2020 and 2019</w:t>
              </w:r>
            </w:hyperlink>
          </w:p>
        </w:tc>
        <w:tc>
          <w:tcPr>
            <w:tcW w:w="5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88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MagnaChip Semiconductor Corporation and Subsidiaries Consolidated Statements of Changes in Stockholders’ Equity for</w:t>
              </w:r>
            </w:hyperlink>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the Three Months Ended March 31, 2020 and 2019</w:t>
              </w:r>
            </w:hyperlink>
          </w:p>
        </w:tc>
        <w:tc>
          <w:tcPr>
            <w:tcW w:w="532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04"/>
        </w:trPr>
        <w:tc>
          <w:tcPr>
            <w:tcW w:w="1220" w:type="dxa"/>
            <w:vAlign w:val="bottom"/>
          </w:tcPr>
          <w:p>
            <w:pPr>
              <w:spacing w:after="0"/>
              <w:rPr>
                <w:sz w:val="24"/>
                <w:szCs w:val="24"/>
                <w:color w:val="auto"/>
              </w:rPr>
            </w:pPr>
          </w:p>
        </w:tc>
        <w:tc>
          <w:tcPr>
            <w:tcW w:w="86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MagnaChip Semiconductor Corporation and Subsidiaries Consolidated Statements of Cash Flows for the Three Months</w:t>
              </w:r>
            </w:hyperlink>
          </w:p>
        </w:tc>
        <w:tc>
          <w:tcPr>
            <w:tcW w:w="56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Ended March 31, 2020 and 2019</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66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1220" w:type="dxa"/>
            <w:vAlign w:val="bottom"/>
          </w:tcPr>
          <w:p>
            <w:pPr>
              <w:spacing w:after="0"/>
              <w:rPr>
                <w:sz w:val="24"/>
                <w:szCs w:val="24"/>
                <w:color w:val="auto"/>
              </w:rPr>
            </w:pPr>
          </w:p>
        </w:tc>
        <w:tc>
          <w:tcPr>
            <w:tcW w:w="9180" w:type="dxa"/>
            <w:vAlign w:val="bottom"/>
            <w:gridSpan w:val="11"/>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MagnaChip Semiconductor Corporation and Subsidiaries 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Item 2.</w:t>
            </w:r>
          </w:p>
        </w:tc>
        <w:tc>
          <w:tcPr>
            <w:tcW w:w="9180" w:type="dxa"/>
            <w:vAlign w:val="bottom"/>
            <w:gridSpan w:val="11"/>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Item 3.</w:t>
            </w:r>
          </w:p>
        </w:tc>
        <w:tc>
          <w:tcPr>
            <w:tcW w:w="9180" w:type="dxa"/>
            <w:vAlign w:val="bottom"/>
            <w:gridSpan w:val="11"/>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Item 4.</w:t>
            </w:r>
          </w:p>
        </w:tc>
        <w:tc>
          <w:tcPr>
            <w:tcW w:w="9180" w:type="dxa"/>
            <w:vAlign w:val="bottom"/>
            <w:gridSpan w:val="11"/>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400" w:type="dxa"/>
            <w:vAlign w:val="bottom"/>
            <w:gridSpan w:val="12"/>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PART II 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Item 1.</w:t>
            </w:r>
          </w:p>
        </w:tc>
        <w:tc>
          <w:tcPr>
            <w:tcW w:w="9180" w:type="dxa"/>
            <w:vAlign w:val="bottom"/>
            <w:gridSpan w:val="11"/>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Item 1A.</w:t>
            </w:r>
          </w:p>
        </w:tc>
        <w:tc>
          <w:tcPr>
            <w:tcW w:w="9180" w:type="dxa"/>
            <w:vAlign w:val="bottom"/>
            <w:gridSpan w:val="11"/>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220" w:type="dxa"/>
            <w:vAlign w:val="bottom"/>
          </w:tcPr>
          <w:p>
            <w:pPr>
              <w:ind w:left="360"/>
              <w:spacing w:after="0"/>
              <w:rPr>
                <w:sz w:val="20"/>
                <w:szCs w:val="20"/>
                <w:color w:val="auto"/>
              </w:rPr>
            </w:pPr>
            <w:r>
              <w:rPr>
                <w:rFonts w:ascii="Arial" w:cs="Arial" w:eastAsia="Arial" w:hAnsi="Arial"/>
                <w:sz w:val="18"/>
                <w:szCs w:val="18"/>
                <w:color w:val="auto"/>
              </w:rPr>
              <w:t>Item 6.</w:t>
            </w:r>
          </w:p>
        </w:tc>
        <w:tc>
          <w:tcPr>
            <w:tcW w:w="9180" w:type="dxa"/>
            <w:vAlign w:val="bottom"/>
            <w:gridSpan w:val="11"/>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22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SIGNATURES</w:t>
              </w:r>
            </w:hyperlink>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5"/>
        </w:trPr>
        <w:tc>
          <w:tcPr>
            <w:tcW w:w="1220" w:type="dxa"/>
            <w:vAlign w:val="bottom"/>
          </w:tcPr>
          <w:p>
            <w:pPr>
              <w:spacing w:after="0"/>
              <w:rPr>
                <w:sz w:val="24"/>
                <w:szCs w:val="24"/>
                <w:color w:val="auto"/>
              </w:rPr>
            </w:pPr>
          </w:p>
        </w:tc>
        <w:tc>
          <w:tcPr>
            <w:tcW w:w="8140" w:type="dxa"/>
            <w:vAlign w:val="bottom"/>
            <w:gridSpan w:val="6"/>
          </w:tcPr>
          <w:p>
            <w:pPr>
              <w:ind w:left="42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460" w:type="dxa"/>
            <w:vAlign w:val="bottom"/>
          </w:tcPr>
          <w:p>
            <w:pPr>
              <w:jc w:val="center"/>
              <w:ind w:left="1370"/>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60" w:type="dxa"/>
            <w:vAlign w:val="bottom"/>
          </w:tcPr>
          <w:p>
            <w:pPr>
              <w:ind w:left="54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540" w:type="dxa"/>
            <w:vAlign w:val="bottom"/>
          </w:tcPr>
          <w:p>
            <w:pPr>
              <w:spacing w:after="0"/>
              <w:rPr>
                <w:sz w:val="24"/>
                <w:szCs w:val="24"/>
                <w:color w:val="auto"/>
              </w:rPr>
            </w:pPr>
          </w:p>
        </w:tc>
        <w:tc>
          <w:tcPr>
            <w:tcW w:w="8460" w:type="dxa"/>
            <w:vAlign w:val="bottom"/>
          </w:tcPr>
          <w:p>
            <w:pPr>
              <w:jc w:val="center"/>
              <w:ind w:left="139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8460" w:type="dxa"/>
            <w:vAlign w:val="bottom"/>
          </w:tcPr>
          <w:p>
            <w:pPr>
              <w:jc w:val="center"/>
              <w:ind w:left="1370"/>
              <w:spacing w:after="0"/>
              <w:rPr>
                <w:sz w:val="20"/>
                <w:szCs w:val="20"/>
                <w:color w:val="auto"/>
              </w:rPr>
            </w:pPr>
            <w:r>
              <w:rPr>
                <w:rFonts w:ascii="Arial" w:cs="Arial" w:eastAsia="Arial" w:hAnsi="Arial"/>
                <w:sz w:val="18"/>
                <w:szCs w:val="18"/>
                <w:b w:val="1"/>
                <w:bCs w:val="1"/>
                <w:color w:val="auto"/>
                <w:w w:val="97"/>
              </w:rPr>
              <w:t>CONSOLIDATED BALANCE SHEETS (Unaudited)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5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19"/>
        </w:trPr>
        <w:tc>
          <w:tcPr>
            <w:tcW w:w="54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5"/>
          </w:tcPr>
          <w:p>
            <w:pPr>
              <w:jc w:val="right"/>
              <w:ind w:right="11"/>
              <w:spacing w:after="0" w:line="119" w:lineRule="exact"/>
              <w:rPr>
                <w:sz w:val="20"/>
                <w:szCs w:val="20"/>
                <w:color w:val="auto"/>
              </w:rPr>
            </w:pPr>
            <w:r>
              <w:rPr>
                <w:rFonts w:ascii="Arial" w:cs="Arial" w:eastAsia="Arial" w:hAnsi="Arial"/>
                <w:sz w:val="13"/>
                <w:szCs w:val="13"/>
                <w:b w:val="1"/>
                <w:bCs w:val="1"/>
                <w:color w:val="auto"/>
                <w:w w:val="97"/>
              </w:rPr>
              <w:t>(In thousands of US dollars,</w:t>
            </w:r>
          </w:p>
        </w:tc>
        <w:tc>
          <w:tcPr>
            <w:tcW w:w="120" w:type="dxa"/>
            <w:vAlign w:val="bottom"/>
          </w:tcPr>
          <w:p>
            <w:pPr>
              <w:spacing w:after="0"/>
              <w:rPr>
                <w:sz w:val="10"/>
                <w:szCs w:val="10"/>
                <w:color w:val="auto"/>
              </w:rPr>
            </w:pPr>
          </w:p>
        </w:tc>
      </w:tr>
      <w:tr>
        <w:trPr>
          <w:trHeight w:val="171"/>
        </w:trPr>
        <w:tc>
          <w:tcPr>
            <w:tcW w:w="54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except share data)</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Assets</w:t>
            </w:r>
          </w:p>
        </w:tc>
        <w:tc>
          <w:tcPr>
            <w:tcW w:w="8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157,293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16"/>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60,688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47,447</w:t>
            </w:r>
          </w:p>
        </w:tc>
      </w:tr>
      <w:tr>
        <w:trPr>
          <w:trHeight w:val="216"/>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37,130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41,404</w:t>
            </w:r>
          </w:p>
        </w:tc>
      </w:tr>
      <w:tr>
        <w:trPr>
          <w:trHeight w:val="216"/>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Other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8,297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10,200</w:t>
            </w:r>
          </w:p>
        </w:tc>
      </w:tr>
      <w:tr>
        <w:trPr>
          <w:trHeight w:val="216"/>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11,148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9,003</w:t>
            </w:r>
          </w:p>
        </w:tc>
      </w:tr>
      <w:tr>
        <w:trPr>
          <w:trHeight w:val="216"/>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Hedge collateral (Note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13,270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9,820</w:t>
            </w:r>
          </w:p>
        </w:tc>
      </w:tr>
      <w:tr>
        <w:trPr>
          <w:trHeight w:val="216"/>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 (Notes 10 and 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10,013</w:t>
            </w:r>
          </w:p>
        </w:tc>
      </w:tr>
      <w:tr>
        <w:trPr>
          <w:trHeight w:val="216"/>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Current assets held for sale (Note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201,619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99,821</w:t>
            </w:r>
          </w:p>
        </w:tc>
      </w:tr>
      <w:tr>
        <w:trPr>
          <w:trHeight w:val="27"/>
        </w:trPr>
        <w:tc>
          <w:tcPr>
            <w:tcW w:w="5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496,207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379,365</w:t>
            </w: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67,201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73,068</w:t>
            </w:r>
          </w:p>
        </w:tc>
        <w:tc>
          <w:tcPr>
            <w:tcW w:w="120" w:type="dxa"/>
            <w:vAlign w:val="bottom"/>
          </w:tcPr>
          <w:p>
            <w:pPr>
              <w:spacing w:after="0"/>
              <w:rPr>
                <w:sz w:val="19"/>
                <w:szCs w:val="19"/>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2,583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2,769</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4,117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5,757</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8,439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9,059</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 held for sale (Note 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123,434</w:t>
            </w:r>
          </w:p>
        </w:tc>
      </w:tr>
      <w:tr>
        <w:trPr>
          <w:trHeight w:val="223"/>
        </w:trPr>
        <w:tc>
          <w:tcPr>
            <w:tcW w:w="540" w:type="dxa"/>
            <w:vAlign w:val="bottom"/>
          </w:tcPr>
          <w:p>
            <w:pPr>
              <w:spacing w:after="0"/>
              <w:rPr>
                <w:sz w:val="19"/>
                <w:szCs w:val="19"/>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579,960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595,328</w:t>
            </w:r>
          </w:p>
        </w:tc>
        <w:tc>
          <w:tcPr>
            <w:tcW w:w="12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40,206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40,376</w:t>
            </w:r>
          </w:p>
        </w:tc>
      </w:tr>
      <w:tr>
        <w:trPr>
          <w:trHeight w:val="216"/>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Other 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6,379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6,410</w:t>
            </w:r>
          </w:p>
        </w:tc>
      </w:tr>
      <w:tr>
        <w:trPr>
          <w:trHeight w:val="216"/>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41,489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44,799</w:t>
            </w:r>
          </w:p>
        </w:tc>
      </w:tr>
      <w:tr>
        <w:trPr>
          <w:trHeight w:val="216"/>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1,301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1,625</w:t>
            </w:r>
          </w:p>
        </w:tc>
      </w:tr>
      <w:tr>
        <w:trPr>
          <w:trHeight w:val="216"/>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82,328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 (Note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6,982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3,583</w:t>
            </w:r>
          </w:p>
        </w:tc>
      </w:tr>
      <w:tr>
        <w:trPr>
          <w:trHeight w:val="216"/>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liabilities held for sale (Note 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142,013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37,040</w:t>
            </w:r>
          </w:p>
        </w:tc>
      </w:tr>
      <w:tr>
        <w:trPr>
          <w:trHeight w:val="230"/>
        </w:trPr>
        <w:tc>
          <w:tcPr>
            <w:tcW w:w="540" w:type="dxa"/>
            <w:vAlign w:val="bottom"/>
          </w:tcPr>
          <w:p>
            <w:pPr>
              <w:spacing w:after="0"/>
              <w:rPr>
                <w:sz w:val="20"/>
                <w:szCs w:val="20"/>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320,698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133,833</w:t>
            </w:r>
          </w:p>
        </w:tc>
        <w:tc>
          <w:tcPr>
            <w:tcW w:w="120" w:type="dxa"/>
            <w:vAlign w:val="bottom"/>
          </w:tcPr>
          <w:p>
            <w:pPr>
              <w:spacing w:after="0"/>
              <w:rPr>
                <w:sz w:val="20"/>
                <w:szCs w:val="20"/>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223,012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304,743</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48,765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51,181</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9,671</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Non-current liabilities held for sale (Note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110,881</w:t>
            </w:r>
          </w:p>
        </w:tc>
      </w:tr>
      <w:tr>
        <w:trPr>
          <w:trHeight w:val="27"/>
        </w:trPr>
        <w:tc>
          <w:tcPr>
            <w:tcW w:w="5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5"/>
              </w:rPr>
              <w:t>601,116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610,309</w:t>
            </w: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18)</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Common stock, $0.01 par value, 150,000,000 shares authorized, 44,160,355 shares issued and 35,054,682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Arial" w:cs="Arial" w:eastAsia="Arial" w:hAnsi="Arial"/>
                <w:sz w:val="18"/>
                <w:szCs w:val="18"/>
                <w:color w:val="auto"/>
                <w:w w:val="93"/>
              </w:rPr>
              <w:t>outstanding at March 31, 2020 and 43,851,991 shares issued and 34,800,312 outstanding at December 31, 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r>
      <w:tr>
        <w:trPr>
          <w:trHeight w:val="216"/>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153,286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152,404</w:t>
            </w:r>
          </w:p>
        </w:tc>
      </w:tr>
      <w:tr>
        <w:trPr>
          <w:trHeight w:val="216"/>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(81,880)</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(58,131)</w:t>
            </w:r>
          </w:p>
        </w:tc>
      </w:tr>
      <w:tr>
        <w:trPr>
          <w:trHeight w:val="216"/>
        </w:trPr>
        <w:tc>
          <w:tcPr>
            <w:tcW w:w="9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Treasury stock, 9,105,673 shares at March 31, 2020 and 9,051,679 shares at December 31, 2019,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8"/>
              </w:rPr>
              <w:t>(107,649)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(107,033)</w:t>
            </w:r>
          </w:p>
        </w:tc>
      </w:tr>
      <w:tr>
        <w:trPr>
          <w:trHeight w:val="216"/>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14,645</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(2,660)</w:t>
            </w:r>
          </w:p>
        </w:tc>
      </w:tr>
      <w:tr>
        <w:trPr>
          <w:trHeight w:val="27"/>
        </w:trPr>
        <w:tc>
          <w:tcPr>
            <w:tcW w:w="5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(21,156)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(14,981)</w:t>
            </w:r>
          </w:p>
        </w:tc>
      </w:tr>
      <w:tr>
        <w:trPr>
          <w:trHeight w:val="223"/>
        </w:trPr>
        <w:tc>
          <w:tcPr>
            <w:tcW w:w="540" w:type="dxa"/>
            <w:vAlign w:val="bottom"/>
          </w:tcPr>
          <w:p>
            <w:pPr>
              <w:spacing w:after="0"/>
              <w:rPr>
                <w:sz w:val="19"/>
                <w:szCs w:val="19"/>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579,960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595,328</w:t>
            </w:r>
          </w:p>
        </w:tc>
        <w:tc>
          <w:tcPr>
            <w:tcW w:w="12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459"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40"/>
          </w:cols>
          <w:pgMar w:left="32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01"/>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2"/>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8"/>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66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w w:val="89"/>
              </w:rPr>
              <w:t>except share data)</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110,736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100,264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9,737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23"/>
        </w:trPr>
        <w:tc>
          <w:tcPr>
            <w:tcW w:w="66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81,606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81,241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9,737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30"/>
        </w:trPr>
        <w:tc>
          <w:tcPr>
            <w:tcW w:w="664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91,343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29,130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19,023</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12,102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12,036</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10,509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12,044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5,965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net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(30,971)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7,329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20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common share—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(0.89)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720"/>
              <w:spacing w:after="0"/>
              <w:rPr>
                <w:sz w:val="20"/>
                <w:szCs w:val="20"/>
                <w:color w:val="auto"/>
              </w:rPr>
            </w:pPr>
            <w:r>
              <w:rPr>
                <w:rFonts w:ascii="Arial" w:cs="Arial" w:eastAsia="Arial" w:hAnsi="Arial"/>
                <w:sz w:val="18"/>
                <w:szCs w:val="18"/>
                <w:color w:val="auto"/>
              </w:rPr>
              <w:t>Total</w:t>
            </w:r>
          </w:p>
        </w:tc>
        <w:tc>
          <w:tcPr>
            <w:tcW w:w="20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1"/>
              <w:spacing w:after="0"/>
              <w:rPr>
                <w:sz w:val="20"/>
                <w:szCs w:val="20"/>
                <w:color w:val="auto"/>
              </w:rPr>
            </w:pPr>
            <w:r>
              <w:rPr>
                <w:rFonts w:ascii="Arial" w:cs="Arial" w:eastAsia="Arial" w:hAnsi="Arial"/>
                <w:sz w:val="18"/>
                <w:szCs w:val="18"/>
                <w:color w:val="auto"/>
              </w:rPr>
              <w:t>(0.68)</w:t>
            </w:r>
          </w:p>
        </w:tc>
        <w:tc>
          <w:tcPr>
            <w:tcW w:w="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 and diluted</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8"/>
              </w:rPr>
              <w:t>34,893,157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34,194,878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 (Unaudited)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7"/>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9020" w:type="dxa"/>
            <w:vAlign w:val="bottom"/>
          </w:tcPr>
          <w:p>
            <w:pPr>
              <w:spacing w:after="0"/>
              <w:rPr>
                <w:sz w:val="10"/>
                <w:szCs w:val="10"/>
                <w:color w:val="auto"/>
              </w:rPr>
            </w:pPr>
          </w:p>
        </w:tc>
        <w:tc>
          <w:tcPr>
            <w:tcW w:w="940" w:type="dxa"/>
            <w:vAlign w:val="bottom"/>
            <w:tcBorders>
              <w:top w:val="single" w:sz="8" w:color="auto"/>
            </w:tcBorders>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9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9020" w:type="dxa"/>
            <w:vAlign w:val="bottom"/>
          </w:tcPr>
          <w:p>
            <w:pPr>
              <w:spacing w:after="0"/>
              <w:rPr>
                <w:sz w:val="12"/>
                <w:szCs w:val="12"/>
                <w:color w:val="auto"/>
              </w:rPr>
            </w:pPr>
          </w:p>
        </w:tc>
        <w:tc>
          <w:tcPr>
            <w:tcW w:w="188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w w:val="95"/>
              </w:rPr>
              <w:t>(In thousands of US dollars)</w:t>
            </w:r>
          </w:p>
        </w:tc>
        <w:tc>
          <w:tcPr>
            <w:tcW w:w="12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(23,749)</w:t>
            </w:r>
          </w:p>
        </w:tc>
        <w:tc>
          <w:tcPr>
            <w:tcW w:w="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(34,125)</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22,251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7,304</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Derivative adjustments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valuation of derivatives</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Reclassification adjustment for loss on derivatives included in net loss</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187</w:t>
            </w:r>
          </w:p>
        </w:tc>
      </w:tr>
      <w:tr>
        <w:trPr>
          <w:trHeight w:val="27"/>
        </w:trPr>
        <w:tc>
          <w:tcPr>
            <w:tcW w:w="9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17,305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6,992</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6"/>
              </w:rPr>
              <w:t>(6,444</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(27,133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8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9"/>
                <w:szCs w:val="9"/>
                <w:color w:val="auto"/>
              </w:rPr>
            </w:pPr>
          </w:p>
        </w:tc>
        <w:tc>
          <w:tcPr>
            <w:tcW w:w="940" w:type="dxa"/>
            <w:vAlign w:val="bottom"/>
            <w:gridSpan w:val="3"/>
            <w:vMerge w:val="restart"/>
          </w:tcPr>
          <w:p>
            <w:pPr>
              <w:jc w:val="right"/>
              <w:ind w:right="61"/>
              <w:spacing w:after="0" w:line="149"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9"/>
                <w:szCs w:val="9"/>
                <w:color w:val="auto"/>
              </w:rPr>
            </w:pPr>
          </w:p>
        </w:tc>
        <w:tc>
          <w:tcPr>
            <w:tcW w:w="880" w:type="dxa"/>
            <w:vAlign w:val="bottom"/>
            <w:gridSpan w:val="2"/>
            <w:vMerge w:val="restart"/>
          </w:tcPr>
          <w:p>
            <w:pPr>
              <w:jc w:val="right"/>
              <w:ind w:right="161"/>
              <w:spacing w:after="0" w:line="149" w:lineRule="exact"/>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9"/>
                <w:szCs w:val="9"/>
                <w:color w:val="auto"/>
              </w:rPr>
            </w:pPr>
          </w:p>
        </w:tc>
        <w:tc>
          <w:tcPr>
            <w:tcW w:w="11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of US dollars, except share data)</w:t>
            </w:r>
          </w:p>
        </w:tc>
        <w:tc>
          <w:tcPr>
            <w:tcW w:w="1620" w:type="dxa"/>
            <w:vAlign w:val="bottom"/>
            <w:vMerge w:val="restart"/>
          </w:tcPr>
          <w:p>
            <w:pPr>
              <w:spacing w:after="0"/>
              <w:rPr>
                <w:sz w:val="2"/>
                <w:szCs w:val="2"/>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8"/>
        </w:trPr>
        <w:tc>
          <w:tcPr>
            <w:tcW w:w="2880" w:type="dxa"/>
            <w:vAlign w:val="bottom"/>
            <w:tcBorders>
              <w:bottom w:val="single" w:sz="8" w:color="auto"/>
            </w:tcBorders>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61"/>
              <w:spacing w:after="0" w:line="158"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880" w:type="dxa"/>
            <w:vAlign w:val="bottom"/>
            <w:gridSpan w:val="2"/>
          </w:tcPr>
          <w:p>
            <w:pPr>
              <w:jc w:val="right"/>
              <w:ind w:right="261"/>
              <w:spacing w:after="0" w:line="158" w:lineRule="exact"/>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5"/>
                <w:szCs w:val="15"/>
                <w:color w:val="auto"/>
              </w:rPr>
            </w:pPr>
          </w:p>
        </w:tc>
        <w:tc>
          <w:tcPr>
            <w:tcW w:w="11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Income (Loss)</w:t>
            </w:r>
          </w:p>
        </w:tc>
        <w:tc>
          <w:tcPr>
            <w:tcW w:w="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Three Months Ended March 31, 2020:</w:t>
            </w: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w w:val="97"/>
              </w:rPr>
              <w:t>Balance at December 31, 2019, as previously reported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34,800,312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439</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$152,404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(58,131)</w:t>
            </w: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8"/>
              </w:rPr>
              <w:t>$(107,033)</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(2,660)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8"/>
              </w:rPr>
              <w:t>$(14,981)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Settlement of restricted stock units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308,364</w:t>
            </w:r>
          </w:p>
        </w:tc>
        <w:tc>
          <w:tcPr>
            <w:tcW w:w="2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(53,994)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(616)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net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17,305</w:t>
            </w:r>
          </w:p>
        </w:tc>
        <w:tc>
          <w:tcPr>
            <w:tcW w:w="840" w:type="dxa"/>
            <w:vAlign w:val="bottom"/>
            <w:gridSpan w:val="3"/>
          </w:tcPr>
          <w:p>
            <w:pPr>
              <w:jc w:val="right"/>
              <w:ind w:right="41"/>
              <w:spacing w:after="0"/>
              <w:rPr>
                <w:sz w:val="20"/>
                <w:szCs w:val="20"/>
                <w:color w:val="auto"/>
              </w:rPr>
            </w:pPr>
            <w:r>
              <w:rPr>
                <w:rFonts w:ascii="Arial" w:cs="Arial" w:eastAsia="Arial" w:hAnsi="Arial"/>
                <w:sz w:val="18"/>
                <w:szCs w:val="18"/>
                <w:color w:val="auto"/>
              </w:rPr>
              <w:t>17,305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(23,749)</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35,054,682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442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153,286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(107,649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(21,156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w w:val="97"/>
              </w:rPr>
              <w:t>Balance at December 31, 2018, as previously reported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34,441,232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431</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$142,600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(36,305)</w:t>
            </w: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8"/>
              </w:rPr>
              <w:t>$(103,926)</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(20,110)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8"/>
              </w:rPr>
              <w:t>$(17,310)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8,624</w:t>
            </w:r>
          </w:p>
        </w:tc>
        <w:tc>
          <w:tcPr>
            <w:tcW w:w="2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Settlement of restricted stock units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167,453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Acquisition of treasury 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(393,807)</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(2,585)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6,992</w:t>
            </w:r>
          </w:p>
        </w:tc>
        <w:tc>
          <w:tcPr>
            <w:tcW w:w="8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(34,125)</w:t>
            </w:r>
          </w:p>
        </w:tc>
        <w:tc>
          <w:tcPr>
            <w:tcW w:w="8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(34,125)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34,223,502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433</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143,315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(70,430)</w:t>
            </w: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(106,511)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 (46,311)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902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88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95"/>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(23,749)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(34,125)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7,935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8,303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(10,430)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(12,844)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(4,863)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(15,230)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20,874</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(11,675)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4,239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(11,207)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(9,801)</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long-term borrowings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(26,626)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151,657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132,438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157,293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105,812</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Property, plant and equipment additions in other 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w w:val="97"/>
              </w:rPr>
              <w:t>Acquisition of treasury stock to satisfy the tax withholding obligations in connection with equity-based compensation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140"/>
          </w:cols>
          <w:pgMar w:left="320" w:top="459" w:right="439" w:bottom="1095"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40"/>
          </w:cols>
          <w:pgMar w:left="320" w:top="459" w:right="439" w:bottom="1095"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w:t>
      </w:r>
    </w:p>
    <w:p>
      <w:pPr>
        <w:spacing w:after="0" w:line="18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On March 30, 2020, the Company entered into a definitive Business Transfer Agreement (the “BTA”) for the sale of its Foundry Services Group business and its fabrication facility located in Cheongju (“Fab 4”), the larger of the Company’s two 8-inch manufacturing facilities, to Magnus Semiconductor, LLC, a Korean limited liability company, or one of its wholly owned subsidiaries (the “Buyer”) for a purchase price equal to the KRW equivalent of $344.7 million in cash, subject to working capital adjustments set forth in the BTA. The Buyer is a special purpose company formed by Alchemist Capital Partners Korea Co., Ltd. and Credian Partners, Inc. This planned divestiture of the Foundry Services Group business and Fab 4 will allow the Company to strategically shift its operational focus to its standard products business. The Foundry Services Group was historically a reportable segment. As a result of the entry into the BTA, the results of the Foundry Services Group were classified as discontinued operations in the Company’s consolidated statements of operations and excluded from both continuing operations and segment results for all periods presented. Accordingly, commencing with the first quarter of 2020, the Company has one reportable segment: its standard products business, together with transitional foundry services associated with its fabrication facility located in Gumi, Korea, known as “Fab 3,” that it expects to perform for the Buyer for a period of up to three years (the “Transitional Fab 3 Foundry Services”). The Company’s standard products business includes its Display Solutions and Power Solutions business lines.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270, “Interim Reporting” and, accordingly, do not include all of the information and note disclosures required by US GAAP for complete financial statements, except for the changes below. The results of operations for the three months ended March 31, 2020 are not necessarily indicative of the results to be expected for a full year or for any other periods.</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Company has reclassified certain prior year amounts to conform to the current year’s presentation for discontinued operations to reflect the anticipated divestiture of its Foundry Services Group business and Fab 4. The assets to be acquired and liabilities to be transferred to the Buyer, as specified in the BTA, have been classified as assets and liabilities held for sale in the Company’s consolidated balance sheets, subject to adjustments set forth in the BTA. See Note 2 “Discontinued Operations and Assets Held for Sale” for additional information. The consolidated statements of cash flows have not been adjusted to separately disclose cash flows related to discontinued operations, but the material items in the operating and investing activities of cash flows relating to discontinued operations are disclosed in Note 2. Unless otherwise stated, information in these notes to consolidated financial statements relates to the Company’s continuing operations and excludes the discontinued operations.</w:t>
      </w:r>
    </w:p>
    <w:p>
      <w:pPr>
        <w:spacing w:after="0" w:line="166"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There have been no material changes to the Company’s significant accounting policies as of and for the three months ended March 31, 2020, except for those related to discontinued operations and assets held for sale as described below, as compared to the significant accounting policies described in the Company’s Annual Report on Form 10-K for the fiscal year ended December 31, 2019.</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Discontinued Operations and Assets Held for Sale</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reports the results of operations of a business as discontinued operations if a disposal represents a strategic shift that has or will have a major effect on the Company’s operations and financial results when the business is sold and classified as held for sale, in accordance with the criteria of Accounting Standard Codification (“ASC”) 205, “Presentation of Financial Statements” (“ASC 205”) and ASC 360, “Property, Plant and Equipment” (“ASC 360”). Assets and liabilities of a business classified as held for sale are recorded at the lower of its carrying amount or estimated fair value less costs to sell. If the carrying amount of the business exceeds its estimated fair value less costs to sell, a loss is recognized. Assets and liabilities related to discontinued operations classified as held for sale are segregated in the current and prior balance sheets in the period in which the business is classified as held for sale. The results of discontinued operations are reported in “Income (loss) from discontinued operations, net of tax” in the accompanying consolidated statements of operations for the current and prior periods commencing in the period in which the business meets the criteria.</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December 2019, the Financial Accounting Standards Board (“FASB”) issued Accounting Standards Update No. 2019-12, “Income Taxes (Topic 740): Simplifying the Accounting for Income Taxes” (“ASU 2019-12”). ASU 2019-12 removes certain exceptions to the general principles in Topic 740 and improves consistent application of and simplifies GAAP for other areas of Topic 740 by clarifying and amending existing guidance. ASU 2019-12 is effective for fiscal years beginning after December 15, 2020, and interim periods within those fiscal years. The Company does not expect the adoption of ASU 2019-12 to have a material effect on the Company’s consolidated financial statements.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In June 2016, the FASB issued Accounting Standards Update No. 2016-13, “Financial Instruments—Credit Losses (Topic 326): Measurement of Credit Losses on Financial Instruments” (“ASU 2016-13”). ASU 2016-13 amends the impairment model by requiring entities to use a forward-looking approach based on expected losses to estimate credit losses on certain types of financial instruments, including trade receivables. In April 2019, the FASB issued Accounting Standards Update No. 2019-04, “Codification Improvements to Topic 326, Financial Instruments—Credit Losses, Topic 815, Derivatives and Hedging, and Topic 825, Financial Instruments” (“ASU 2019-04”), and in November 2019, the FASB issued Accounting Standards Update No. 2019-11, “Codification Improvements to Topic 326, Financial Instruments—Credit Losses” (“ASU 2019-11”) to clarify and address certain items related to the amendments in ASU 2016-13. In February 2020, the FASB issued Accounting Standards Update No. 2020-02, “Financial Instruments—Credit Losses (Topic 326)” (“ASU 2020-02”), which incorporates SEC SAB 119 (updated from SAB 102) into the ASC by aligning SEC recommended policies and procedures with ASC 326.The Company adopted ASU 2016-13, ASU 2019-04, ASU 2019-11 and ASU 2020-02 as of January 1, 2020, and the adoption did not have a material impact on the Company’s consolidated financial statements.</w:t>
      </w:r>
    </w:p>
    <w:p>
      <w:pPr>
        <w:spacing w:after="0" w:line="168"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 August 2018, the FASB issued Accounting Standards Update No. 2018-13 “Fair Value Measurement (Topic 820): Disclosure Framework— Changes to the Disclosure Requirements for Fair Value Measurement” (“ASU 2018-13”). ASU 2018-13 amends existing fair value measurement disclosure requirements by adding, changing, or removing certain disclosures. The Company adopted ASU 2018-13 as of January 1, 2020, and the adoption of ASU 2018-13 did not impact the Company’s consolidated financial statements.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Discontinued Operations and Assets Held for Sale</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On March 30, 2020, the Company entered into the BTA for the sale of its Foundry Services Group business and Fab 4. Following the consummation of the sale, and for up to three years, the Company is expected to provide the Transitional Fab 3 Foundry Services. For the periods prior to the closing of the sale, revenue from providing the Transitional Fab 3 Foundry Services to the Foundry Services Group is recorded at cost on both of the continuing and discontinued businesses. The sale is expected to close within approximately four to six months from the date of the BTA, subject to customary closing conditions.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the results from discontinued operations, net of tax, for the three months ended March 31, 2020 and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7"/>
          </w:tcPr>
          <w:p>
            <w:pPr>
              <w:jc w:val="right"/>
              <w:ind w:right="321"/>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gridSpan w:val="4"/>
          </w:tcPr>
          <w:p>
            <w:pPr>
              <w:jc w:val="right"/>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6"/>
          </w:tcPr>
          <w:p>
            <w:pPr>
              <w:jc w:val="right"/>
              <w:ind w:right="11"/>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10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Net sales – Foundry Services Group</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86,279</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57,116</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(9,737)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(7,003)</w:t>
            </w:r>
          </w:p>
        </w:tc>
      </w:tr>
      <w:tr>
        <w:trPr>
          <w:trHeight w:val="223"/>
        </w:trPr>
        <w:tc>
          <w:tcPr>
            <w:tcW w:w="63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76,542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50,113</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Cost of sales – Foundry Services Group</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65,583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53,438</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(9,737)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(7,003)</w:t>
            </w:r>
          </w:p>
        </w:tc>
      </w:tr>
      <w:tr>
        <w:trPr>
          <w:trHeight w:val="230"/>
        </w:trPr>
        <w:tc>
          <w:tcPr>
            <w:tcW w:w="634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55,846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46,435</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3,678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6,034</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7,403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7,974</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2,894</w:t>
            </w:r>
          </w:p>
        </w:tc>
      </w:tr>
      <w:tr>
        <w:trPr>
          <w:trHeight w:val="230"/>
        </w:trPr>
        <w:tc>
          <w:tcPr>
            <w:tcW w:w="6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16,902</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from discontinued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(13,224)</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Foreign currency gain,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613</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86</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Income (loss) from discontinued operations before income tax expense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(12,525)</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(12,570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 three months ended March 31, 2020 and 2019, the Company recorded $2,115 thousand and $743 thousand, respectively, in professional fees incurred in connection with the Foundry Services Group business and Fab 4, and recorded such costs as restructuring and other charges in the above. For the three months ended March 31, 2019, the Company also recorded in the same line a $2,151 thousand restructuring-related charge to its fab employees.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provides a reconciliation of the aggregate carrying amounts of major classes of assets and liabilities relating to the Foundry Services Group business and Fab 4, which are included in assets and liabilities held for sale in the accompanying consolidated balance sheets for each of the periods presented:</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March 31,</w:t>
            </w:r>
          </w:p>
        </w:tc>
        <w:tc>
          <w:tcPr>
            <w:tcW w:w="4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right"/>
              <w:ind w:right="71"/>
              <w:spacing w:after="0" w:line="142" w:lineRule="exact"/>
              <w:rPr>
                <w:sz w:val="20"/>
                <w:szCs w:val="20"/>
                <w:color w:val="auto"/>
              </w:rPr>
            </w:pPr>
            <w:r>
              <w:rPr>
                <w:rFonts w:ascii="Arial" w:cs="Arial" w:eastAsia="Arial" w:hAnsi="Arial"/>
                <w:sz w:val="14"/>
                <w:szCs w:val="14"/>
                <w:b w:val="1"/>
                <w:bCs w:val="1"/>
                <w:color w:val="auto"/>
                <w:w w:val="93"/>
              </w:rPr>
              <w:t>(In thousands of US dollars)</w:t>
            </w:r>
          </w:p>
        </w:tc>
        <w:tc>
          <w:tcPr>
            <w:tcW w:w="4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40,735</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48,194</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Unbilled accounts receivable,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9,374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16,463</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34,968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31,863</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2,891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3,301</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of the disposal group classified as held for sale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720"/>
              <w:spacing w:after="0"/>
              <w:rPr>
                <w:sz w:val="20"/>
                <w:szCs w:val="20"/>
                <w:color w:val="auto"/>
              </w:rPr>
            </w:pPr>
            <w:r>
              <w:rPr>
                <w:rFonts w:ascii="Arial" w:cs="Arial" w:eastAsia="Arial" w:hAnsi="Arial"/>
                <w:sz w:val="18"/>
                <w:szCs w:val="18"/>
                <w:color w:val="auto"/>
              </w:rPr>
              <w:t>Total current assets held for sale</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99,821</w:t>
            </w:r>
          </w:p>
        </w:tc>
        <w:tc>
          <w:tcPr>
            <w:tcW w:w="40" w:type="dxa"/>
            <w:vAlign w:val="bottom"/>
          </w:tcPr>
          <w:p>
            <w:pPr>
              <w:spacing w:after="0"/>
              <w:rPr>
                <w:sz w:val="20"/>
                <w:szCs w:val="20"/>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99,604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109,506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1,202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1,245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12,683</w:t>
            </w:r>
          </w:p>
        </w:tc>
      </w:tr>
      <w:tr>
        <w:trPr>
          <w:trHeight w:val="223"/>
        </w:trPr>
        <w:tc>
          <w:tcPr>
            <w:tcW w:w="6280" w:type="dxa"/>
            <w:vAlign w:val="bottom"/>
          </w:tcPr>
          <w:p>
            <w:pPr>
              <w:ind w:left="720"/>
              <w:spacing w:after="0"/>
              <w:rPr>
                <w:sz w:val="20"/>
                <w:szCs w:val="20"/>
                <w:color w:val="auto"/>
              </w:rPr>
            </w:pPr>
            <w:r>
              <w:rPr>
                <w:rFonts w:ascii="Arial" w:cs="Arial" w:eastAsia="Arial" w:hAnsi="Arial"/>
                <w:sz w:val="18"/>
                <w:szCs w:val="18"/>
                <w:color w:val="auto"/>
              </w:rPr>
              <w:t>Total assets held for sale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201,619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223,255</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20,462</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20,503</w:t>
            </w: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16,537</w:t>
            </w:r>
          </w:p>
        </w:tc>
        <w:tc>
          <w:tcPr>
            <w:tcW w:w="40" w:type="dxa"/>
            <w:vAlign w:val="bottom"/>
          </w:tcPr>
          <w:p>
            <w:pPr>
              <w:spacing w:after="0"/>
              <w:rPr>
                <w:sz w:val="19"/>
                <w:szCs w:val="19"/>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 held for sale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35,235</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37,040</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93,121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95,547</w:t>
            </w:r>
          </w:p>
        </w:tc>
        <w:tc>
          <w:tcPr>
            <w:tcW w:w="4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13,657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15,334</w:t>
            </w:r>
          </w:p>
        </w:tc>
      </w:tr>
      <w:tr>
        <w:trPr>
          <w:trHeight w:val="223"/>
        </w:trPr>
        <w:tc>
          <w:tcPr>
            <w:tcW w:w="6280" w:type="dxa"/>
            <w:vAlign w:val="bottom"/>
          </w:tcPr>
          <w:p>
            <w:pPr>
              <w:ind w:left="720"/>
              <w:spacing w:after="0"/>
              <w:rPr>
                <w:sz w:val="20"/>
                <w:szCs w:val="20"/>
                <w:color w:val="auto"/>
              </w:rPr>
            </w:pPr>
            <w:r>
              <w:rPr>
                <w:rFonts w:ascii="Arial" w:cs="Arial" w:eastAsia="Arial" w:hAnsi="Arial"/>
                <w:sz w:val="18"/>
                <w:szCs w:val="18"/>
                <w:color w:val="auto"/>
              </w:rPr>
              <w:t>Total liabilities held for sale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142,013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147,921</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of March 31, 2020, all assets and liabilities held for sale are classified as current on the consolidated balance sheets based on the anticipated date of disposal of the Foundry Services Group business and Fab 4.</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supplemental cash flows information related to discontinued operations: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r>
      <w:tr>
        <w:trPr>
          <w:trHeight w:val="119"/>
        </w:trPr>
        <w:tc>
          <w:tcPr>
            <w:tcW w:w="35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258"/>
              <w:spacing w:after="0" w:line="119" w:lineRule="exact"/>
              <w:rPr>
                <w:sz w:val="20"/>
                <w:szCs w:val="20"/>
                <w:color w:val="auto"/>
              </w:rPr>
            </w:pPr>
            <w:r>
              <w:rPr>
                <w:rFonts w:ascii="Arial" w:cs="Arial" w:eastAsia="Arial" w:hAnsi="Arial"/>
                <w:sz w:val="13"/>
                <w:szCs w:val="13"/>
                <w:b w:val="1"/>
                <w:bCs w:val="1"/>
                <w:color w:val="auto"/>
              </w:rPr>
              <w:t>March 31,</w:t>
            </w:r>
          </w:p>
        </w:tc>
        <w:tc>
          <w:tcPr>
            <w:tcW w:w="980" w:type="dxa"/>
            <w:vAlign w:val="bottom"/>
            <w:tcBorders>
              <w:top w:val="single" w:sz="8" w:color="auto"/>
            </w:tcBorders>
            <w:gridSpan w:val="2"/>
          </w:tcPr>
          <w:p>
            <w:pPr>
              <w:jc w:val="center"/>
              <w:ind w:left="138"/>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35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42"/>
        </w:trPr>
        <w:tc>
          <w:tcPr>
            <w:tcW w:w="35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3"/>
          </w:tcPr>
          <w:p>
            <w:pPr>
              <w:jc w:val="center"/>
              <w:ind w:right="14"/>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10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operating activities: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8"/>
              <w:spacing w:after="0"/>
              <w:rPr>
                <w:sz w:val="20"/>
                <w:szCs w:val="20"/>
                <w:color w:val="auto"/>
              </w:rPr>
            </w:pPr>
            <w:r>
              <w:rPr>
                <w:rFonts w:ascii="Arial" w:cs="Arial" w:eastAsia="Arial" w:hAnsi="Arial"/>
                <w:sz w:val="18"/>
                <w:szCs w:val="18"/>
                <w:color w:val="auto"/>
              </w:rPr>
              <w:t>5,365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5,752</w:t>
            </w: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3,052</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8"/>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5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8"/>
              <w:spacing w:after="0"/>
              <w:rPr>
                <w:sz w:val="20"/>
                <w:szCs w:val="20"/>
                <w:color w:val="auto"/>
              </w:rPr>
            </w:pPr>
            <w:r>
              <w:rPr>
                <w:rFonts w:ascii="Arial" w:cs="Arial" w:eastAsia="Arial" w:hAnsi="Arial"/>
                <w:sz w:val="18"/>
                <w:szCs w:val="18"/>
                <w:color w:val="auto"/>
              </w:rPr>
              <w:t>(1,479)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(4,469)</w:t>
            </w:r>
          </w:p>
        </w:tc>
      </w:tr>
      <w:tr>
        <w:trPr>
          <w:trHeight w:val="350"/>
        </w:trPr>
        <w:tc>
          <w:tcPr>
            <w:tcW w:w="3520" w:type="dxa"/>
            <w:vAlign w:val="bottom"/>
          </w:tcPr>
          <w:p>
            <w:pPr>
              <w:spacing w:after="0"/>
              <w:rPr>
                <w:sz w:val="24"/>
                <w:szCs w:val="24"/>
                <w:color w:val="auto"/>
              </w:rPr>
            </w:pPr>
          </w:p>
        </w:tc>
        <w:tc>
          <w:tcPr>
            <w:tcW w:w="2720" w:type="dxa"/>
            <w:vAlign w:val="bottom"/>
          </w:tcPr>
          <w:p>
            <w:pPr>
              <w:jc w:val="right"/>
              <w:ind w:right="18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Sales of Accounts Receivable and Receivable Discount Program</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Company has entered into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There was no sale of these accounts receivable for the three months ended March 31, 2020. For the three months ended March 31, 2019, the proceeds from the sales of these accounts receivable totaled $7,989 thousand and these sales resulted in pre-tax losses of $25 thousand, which are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6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as of March 31, 2020 and December 31, 2019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25,342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28,815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Materials in-transit</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(4,807)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(5,947)</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37,130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41,404</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inventory reserve for the three months ended March 31, 2020 and 2019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r>
      <w:tr>
        <w:trPr>
          <w:trHeight w:val="119"/>
        </w:trPr>
        <w:tc>
          <w:tcPr>
            <w:tcW w:w="50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(4,845)</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Change in reserve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charged to costs of sales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(5,073)</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Sale of previously reserved inventory</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r>
      <w:tr>
        <w:trPr>
          <w:trHeight w:val="27"/>
        </w:trPr>
        <w:tc>
          <w:tcPr>
            <w:tcW w:w="5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(4,597)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Write off</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Reclassified to assets held for sale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7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(4,807)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(8,690)</w:t>
            </w:r>
          </w:p>
        </w:tc>
      </w:tr>
      <w:tr>
        <w:trPr>
          <w:trHeight w:val="20"/>
        </w:trPr>
        <w:tc>
          <w:tcPr>
            <w:tcW w:w="5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as of March 31, 2020 and December 31, 2019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22,502</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85,213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89,453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20,863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22,242</w:t>
            </w: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127,691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134,520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w w:val="92"/>
              </w:rPr>
              <w:t>(73,987)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(75,704)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14,252</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67,201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73,068</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Aggregate depreciation expenses totaled $2,409 thousand and $2,412 thousand for the three months ended March 31, 2020 and 2019, respectively.</w:t>
      </w:r>
    </w:p>
    <w:p>
      <w:pPr>
        <w:spacing w:after="0" w:line="24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Concurrent with the execution of the BTA, the Company executed a factory (kun) mortgage agreement under which the real property owned by the Company in respect of the Fab 3 fabrication facility located in Gumi, Korea and other material assets located in, attached to or forming part of such facility were pledged as collateral for purposes of securing the payment of its termination fee of $34,470 thousand under the BTA. The Company has a right to replace the factory (kun) mortgage at any time with a deposit of $34,470 thousand cash into escrow.</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as of March 31, 2020 and December 31, 2019 are comprised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w w:val="90"/>
              </w:rPr>
              <w:t>Gross</w:t>
            </w:r>
          </w:p>
        </w:tc>
        <w:tc>
          <w:tcPr>
            <w:tcW w:w="1600" w:type="dxa"/>
            <w:vAlign w:val="bottom"/>
            <w:gridSpan w:val="4"/>
          </w:tcPr>
          <w:p>
            <w:pPr>
              <w:ind w:left="40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42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9,641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(9,641)</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(5,731)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2,583</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24,181</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(21,598</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2,583</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w w:val="90"/>
              </w:rPr>
              <w:t>Gross</w:t>
            </w:r>
          </w:p>
        </w:tc>
        <w:tc>
          <w:tcPr>
            <w:tcW w:w="1600" w:type="dxa"/>
            <w:vAlign w:val="bottom"/>
            <w:gridSpan w:val="4"/>
          </w:tcPr>
          <w:p>
            <w:pPr>
              <w:ind w:left="40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42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10,180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(10,180)</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(5,868)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2,769</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25,392</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(22,623</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2,769</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Aggregate amortization expenses for intangible assets totaled $161 thousand and $139 thousand for the three months ended March 31, 2020 and 2019, respectively.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has operating and finance leases for buildings and other assets such as vehicles and office equipment. The Company’s leases have remaining lease terms ranging from 1 year to 4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tables below present financial information related to the Company’s leases.</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adopted the new lease accounting standard as of January 1, 2019, using the modified retrospective transition method. The tables below present financial information related to the Company’s leases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Supplemental balance sheets information related to leases as of March 31, 2020 and December 31, 2019 are as follows (in thousands):</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4"/>
              </w:rPr>
              <w:t>Leases</w:t>
            </w:r>
          </w:p>
        </w:tc>
        <w:tc>
          <w:tcPr>
            <w:tcW w:w="214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376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Classification</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5"/>
              </w:rPr>
              <w:t>March 31,</w:t>
            </w: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37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2"/>
              <w:spacing w:after="0" w:line="158"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CCEEFF"/>
            </w:tcBorders>
            <w:shd w:val="clear" w:color="auto" w:fill="CCEEFF"/>
          </w:tcPr>
          <w:p>
            <w:pPr>
              <w:spacing w:after="0"/>
              <w:rPr>
                <w:sz w:val="16"/>
                <w:szCs w:val="16"/>
                <w:color w:val="auto"/>
              </w:rPr>
            </w:pPr>
          </w:p>
        </w:tc>
        <w:tc>
          <w:tcPr>
            <w:tcW w:w="34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Operating lease</w:t>
            </w:r>
          </w:p>
        </w:tc>
        <w:tc>
          <w:tcPr>
            <w:tcW w:w="4780" w:type="dxa"/>
            <w:vAlign w:val="bottom"/>
            <w:gridSpan w:val="3"/>
          </w:tcPr>
          <w:p>
            <w:pPr>
              <w:ind w:left="100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1,413</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w:t>
            </w:r>
          </w:p>
        </w:tc>
        <w:tc>
          <w:tcPr>
            <w:tcW w:w="478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Total lease assets</w:t>
            </w:r>
          </w:p>
        </w:tc>
        <w:tc>
          <w:tcPr>
            <w:tcW w:w="10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478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Operating lease liabilities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Finance</w:t>
            </w:r>
          </w:p>
        </w:tc>
        <w:tc>
          <w:tcPr>
            <w:tcW w:w="4780" w:type="dxa"/>
            <w:vAlign w:val="bottom"/>
            <w:gridSpan w:val="3"/>
          </w:tcPr>
          <w:p>
            <w:pPr>
              <w:ind w:left="100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10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360"/>
              <w:spacing w:after="0"/>
              <w:rPr>
                <w:sz w:val="20"/>
                <w:szCs w:val="20"/>
                <w:color w:val="auto"/>
              </w:rPr>
            </w:pPr>
            <w:r>
              <w:rPr>
                <w:rFonts w:ascii="Arial" w:cs="Arial" w:eastAsia="Arial" w:hAnsi="Arial"/>
                <w:sz w:val="18"/>
                <w:szCs w:val="18"/>
                <w:color w:val="auto"/>
              </w:rPr>
              <w:t>Operating</w:t>
            </w:r>
          </w:p>
        </w:tc>
        <w:tc>
          <w:tcPr>
            <w:tcW w:w="4780" w:type="dxa"/>
            <w:vAlign w:val="bottom"/>
            <w:gridSpan w:val="3"/>
          </w:tcPr>
          <w:p>
            <w:pPr>
              <w:ind w:left="100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478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10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remaining lease term</w:t>
            </w: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1.0 years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 years</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3.8 years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 years</w:t>
            </w: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7.75%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cost included in the Company’s consolidated statements of operations, are as follows (in thousands):</w:t>
      </w:r>
    </w:p>
    <w:p>
      <w:pPr>
        <w:spacing w:after="0" w:line="244"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Three Months</w:t>
      </w:r>
    </w:p>
    <w:p>
      <w:pPr>
        <w:jc w:val="center"/>
        <w:ind w:left="6320"/>
        <w:spacing w:after="0" w:line="236" w:lineRule="auto"/>
        <w:rPr>
          <w:sz w:val="20"/>
          <w:szCs w:val="20"/>
          <w:color w:val="auto"/>
        </w:rPr>
      </w:pPr>
      <w:r>
        <w:rPr>
          <w:rFonts w:ascii="Arial" w:cs="Arial" w:eastAsia="Arial" w:hAnsi="Arial"/>
          <w:sz w:val="14"/>
          <w:szCs w:val="14"/>
          <w:b w:val="1"/>
          <w:bCs w:val="1"/>
          <w:color w:val="auto"/>
        </w:rPr>
        <w:t>Ended</w:t>
      </w:r>
    </w:p>
    <w:tbl>
      <w:tblPr>
        <w:tblLayout w:type="fixed"/>
        <w:tblInd w:w="1440" w:type="dxa"/>
        <w:tblCellMar>
          <w:top w:w="0" w:type="dxa"/>
          <w:left w:w="0" w:type="dxa"/>
          <w:bottom w:w="0" w:type="dxa"/>
          <w:right w:w="0" w:type="dxa"/>
        </w:tblCellMar>
      </w:tblPr>
      <w:tr>
        <w:trPr>
          <w:trHeight w:val="119"/>
        </w:trPr>
        <w:tc>
          <w:tcPr>
            <w:tcW w:w="640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6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right-of-use assets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Interest on lease liabilities</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r>
      <w:tr>
        <w:trPr>
          <w:trHeight w:val="20"/>
        </w:trPr>
        <w:tc>
          <w:tcPr>
            <w:tcW w:w="6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table does not include an immaterial cost of short-term leases for the three months ended March 31, 2020 and 2019.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320" w:top="459"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lease information is as follows (in thousands):</w:t>
      </w:r>
    </w:p>
    <w:p>
      <w:pPr>
        <w:spacing w:after="0" w:line="244"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Three Months</w:t>
      </w:r>
    </w:p>
    <w:p>
      <w:pPr>
        <w:jc w:val="center"/>
        <w:ind w:left="6340"/>
        <w:spacing w:after="0" w:line="236" w:lineRule="auto"/>
        <w:rPr>
          <w:sz w:val="20"/>
          <w:szCs w:val="20"/>
          <w:color w:val="auto"/>
        </w:rPr>
      </w:pPr>
      <w:r>
        <w:rPr>
          <w:rFonts w:ascii="Arial" w:cs="Arial" w:eastAsia="Arial" w:hAnsi="Arial"/>
          <w:sz w:val="14"/>
          <w:szCs w:val="14"/>
          <w:b w:val="1"/>
          <w:bCs w:val="1"/>
          <w:color w:val="auto"/>
        </w:rPr>
        <w:t>Ended</w:t>
      </w:r>
    </w:p>
    <w:tbl>
      <w:tblPr>
        <w:tblLayout w:type="fixed"/>
        <w:tblInd w:w="1440" w:type="dxa"/>
        <w:tblCellMar>
          <w:top w:w="0" w:type="dxa"/>
          <w:left w:w="0" w:type="dxa"/>
          <w:bottom w:w="0" w:type="dxa"/>
          <w:right w:w="0" w:type="dxa"/>
        </w:tblCellMar>
      </w:tblPr>
      <w:tr>
        <w:trPr>
          <w:trHeight w:val="119"/>
        </w:trPr>
        <w:tc>
          <w:tcPr>
            <w:tcW w:w="6400" w:type="dxa"/>
            <w:vAlign w:val="bottom"/>
          </w:tcPr>
          <w:p>
            <w:pPr>
              <w:spacing w:after="0"/>
              <w:rPr>
                <w:sz w:val="10"/>
                <w:szCs w:val="10"/>
                <w:color w:val="auto"/>
              </w:rPr>
            </w:pPr>
          </w:p>
        </w:tc>
        <w:tc>
          <w:tcPr>
            <w:tcW w:w="9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6400" w:type="dxa"/>
            <w:vAlign w:val="bottom"/>
          </w:tcPr>
          <w:p>
            <w:pPr>
              <w:spacing w:after="0"/>
              <w:rPr>
                <w:sz w:val="14"/>
                <w:szCs w:val="14"/>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96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   468</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   525</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aggregate future lease payments for operating and finance leases as of March 31, 2020 are as follows (in thousands):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Finance</w:t>
            </w:r>
          </w:p>
        </w:tc>
      </w:t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4"/>
              </w:rPr>
              <w:t>Leases</w:t>
            </w:r>
          </w:p>
        </w:tc>
        <w:tc>
          <w:tcPr>
            <w:tcW w:w="220" w:type="dxa"/>
            <w:vAlign w:val="bottom"/>
          </w:tcPr>
          <w:p>
            <w:pPr>
              <w:spacing w:after="0"/>
              <w:rPr>
                <w:sz w:val="14"/>
                <w:szCs w:val="14"/>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Leases</w:t>
            </w: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 future lease payments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Present value of future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as of March 31, 2020 and December 31, 2019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23,771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23,371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3,444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Outside service fees</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1,224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4,058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41,489</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410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Derivative Financial Instruments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derivative contracts as of March 31, 2020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w:t>
            </w:r>
          </w:p>
        </w:tc>
        <w:tc>
          <w:tcPr>
            <w:tcW w:w="250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Arial" w:cs="Arial" w:eastAsia="Arial" w:hAnsi="Arial"/>
                <w:sz w:val="14"/>
                <w:szCs w:val="14"/>
                <w:b w:val="1"/>
                <w:bCs w:val="1"/>
                <w:color w:val="auto"/>
                <w:w w:val="95"/>
              </w:rPr>
              <w:t>Type of derivative</w:t>
            </w: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notional amount</w:t>
            </w:r>
          </w:p>
        </w:tc>
        <w:tc>
          <w:tcPr>
            <w:tcW w:w="460" w:type="dxa"/>
            <w:vAlign w:val="bottom"/>
          </w:tcPr>
          <w:p>
            <w:pPr>
              <w:spacing w:after="0"/>
              <w:rPr>
                <w:sz w:val="16"/>
                <w:szCs w:val="16"/>
                <w:color w:val="auto"/>
              </w:rPr>
            </w:pPr>
          </w:p>
        </w:tc>
        <w:tc>
          <w:tcPr>
            <w:tcW w:w="2080" w:type="dxa"/>
            <w:vAlign w:val="bottom"/>
          </w:tcPr>
          <w:p>
            <w:pPr>
              <w:ind w:left="40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August 13, 2019</w:t>
            </w:r>
          </w:p>
        </w:tc>
        <w:tc>
          <w:tcPr>
            <w:tcW w:w="12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Zero cost collar</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46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April 2020 to June 2020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200" w:type="dxa"/>
            <w:vAlign w:val="bottom"/>
          </w:tcPr>
          <w:p>
            <w:pPr>
              <w:ind w:left="60"/>
              <w:spacing w:after="0"/>
              <w:rPr>
                <w:sz w:val="20"/>
                <w:szCs w:val="20"/>
                <w:color w:val="auto"/>
              </w:rPr>
            </w:pPr>
            <w:r>
              <w:rPr>
                <w:rFonts w:ascii="Arial" w:cs="Arial" w:eastAsia="Arial" w:hAnsi="Arial"/>
                <w:sz w:val="18"/>
                <w:szCs w:val="18"/>
                <w:color w:val="auto"/>
                <w:w w:val="90"/>
              </w:rPr>
              <w:t>Zero cost collar</w:t>
            </w:r>
          </w:p>
        </w:tc>
        <w:tc>
          <w:tcPr>
            <w:tcW w:w="92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21,000</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April 2020 to June 2020</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4, 2019</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Zero cost collar</w:t>
            </w:r>
          </w:p>
        </w:tc>
        <w:tc>
          <w:tcPr>
            <w:tcW w:w="92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July 2020 to December 2020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January 31, 2020</w:t>
            </w:r>
          </w:p>
        </w:tc>
        <w:tc>
          <w:tcPr>
            <w:tcW w:w="1200" w:type="dxa"/>
            <w:vAlign w:val="bottom"/>
          </w:tcPr>
          <w:p>
            <w:pPr>
              <w:ind w:left="60"/>
              <w:spacing w:after="0"/>
              <w:rPr>
                <w:sz w:val="20"/>
                <w:szCs w:val="20"/>
                <w:color w:val="auto"/>
              </w:rPr>
            </w:pPr>
            <w:r>
              <w:rPr>
                <w:rFonts w:ascii="Arial" w:cs="Arial" w:eastAsia="Arial" w:hAnsi="Arial"/>
                <w:sz w:val="18"/>
                <w:szCs w:val="18"/>
                <w:color w:val="auto"/>
                <w:w w:val="90"/>
              </w:rPr>
              <w:t>Zero cost collar</w:t>
            </w:r>
          </w:p>
        </w:tc>
        <w:tc>
          <w:tcPr>
            <w:tcW w:w="92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w w:val="90"/>
              </w:rPr>
              <w:t>July 2020 to December 2020</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3, 2020</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Zero cost collar</w:t>
            </w:r>
          </w:p>
        </w:tc>
        <w:tc>
          <w:tcPr>
            <w:tcW w:w="92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July 2020 to December 2020</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February 21, 2020</w:t>
            </w:r>
          </w:p>
        </w:tc>
        <w:tc>
          <w:tcPr>
            <w:tcW w:w="1200" w:type="dxa"/>
            <w:vAlign w:val="bottom"/>
          </w:tcPr>
          <w:p>
            <w:pPr>
              <w:ind w:left="60"/>
              <w:spacing w:after="0"/>
              <w:rPr>
                <w:sz w:val="20"/>
                <w:szCs w:val="20"/>
                <w:color w:val="auto"/>
              </w:rPr>
            </w:pPr>
            <w:r>
              <w:rPr>
                <w:rFonts w:ascii="Arial" w:cs="Arial" w:eastAsia="Arial" w:hAnsi="Arial"/>
                <w:sz w:val="18"/>
                <w:szCs w:val="18"/>
                <w:color w:val="auto"/>
                <w:w w:val="90"/>
              </w:rPr>
              <w:t>Zero cost collar</w:t>
            </w:r>
          </w:p>
        </w:tc>
        <w:tc>
          <w:tcPr>
            <w:tcW w:w="92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w w:val="90"/>
              </w:rPr>
              <w:t>July 2020 to December 2020</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derivative contracts as of December 31, 2019 are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w:t>
            </w:r>
          </w:p>
        </w:tc>
        <w:tc>
          <w:tcPr>
            <w:tcW w:w="250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Arial" w:cs="Arial" w:eastAsia="Arial" w:hAnsi="Arial"/>
                <w:sz w:val="14"/>
                <w:szCs w:val="14"/>
                <w:b w:val="1"/>
                <w:bCs w:val="1"/>
                <w:color w:val="auto"/>
                <w:w w:val="95"/>
              </w:rPr>
              <w:t>Type of derivative</w:t>
            </w: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notional amount</w:t>
            </w:r>
          </w:p>
        </w:tc>
        <w:tc>
          <w:tcPr>
            <w:tcW w:w="460" w:type="dxa"/>
            <w:vAlign w:val="bottom"/>
          </w:tcPr>
          <w:p>
            <w:pPr>
              <w:spacing w:after="0"/>
              <w:rPr>
                <w:sz w:val="16"/>
                <w:szCs w:val="16"/>
                <w:color w:val="auto"/>
              </w:rPr>
            </w:pPr>
          </w:p>
        </w:tc>
        <w:tc>
          <w:tcPr>
            <w:tcW w:w="2080" w:type="dxa"/>
            <w:vAlign w:val="bottom"/>
          </w:tcPr>
          <w:p>
            <w:pPr>
              <w:ind w:left="40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August 13, 2019</w:t>
            </w:r>
          </w:p>
        </w:tc>
        <w:tc>
          <w:tcPr>
            <w:tcW w:w="12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Zero cost collar</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46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January 2020 to June 2020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200" w:type="dxa"/>
            <w:vAlign w:val="bottom"/>
          </w:tcPr>
          <w:p>
            <w:pPr>
              <w:ind w:left="60"/>
              <w:spacing w:after="0"/>
              <w:rPr>
                <w:sz w:val="20"/>
                <w:szCs w:val="20"/>
                <w:color w:val="auto"/>
              </w:rPr>
            </w:pPr>
            <w:r>
              <w:rPr>
                <w:rFonts w:ascii="Arial" w:cs="Arial" w:eastAsia="Arial" w:hAnsi="Arial"/>
                <w:sz w:val="18"/>
                <w:szCs w:val="18"/>
                <w:color w:val="auto"/>
                <w:w w:val="90"/>
              </w:rPr>
              <w:t>Zero cost collar</w:t>
            </w:r>
          </w:p>
        </w:tc>
        <w:tc>
          <w:tcPr>
            <w:tcW w:w="92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42,000</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w w:val="95"/>
              </w:rPr>
              <w:t>January 2020 to June 2020</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4, 2019</w:t>
            </w: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Zero cost collar</w:t>
            </w:r>
          </w:p>
        </w:tc>
        <w:tc>
          <w:tcPr>
            <w:tcW w:w="92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July 2020 to December 2020</w:t>
            </w:r>
          </w:p>
        </w:tc>
      </w:tr>
    </w:tbl>
    <w:p>
      <w:pPr>
        <w:spacing w:after="0" w:line="20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fair values of the Company’s outstanding zero cost collar contracts recorded as assets and liabilities as of March 31, 2020 and December 31, 2019 are as follows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4120" w:type="dxa"/>
            <w:vAlign w:val="bottom"/>
          </w:tcPr>
          <w:p>
            <w:pPr>
              <w:spacing w:after="0"/>
              <w:rPr>
                <w:sz w:val="14"/>
                <w:szCs w:val="14"/>
                <w:color w:val="auto"/>
              </w:rPr>
            </w:pPr>
          </w:p>
        </w:tc>
        <w:tc>
          <w:tcPr>
            <w:tcW w:w="880" w:type="dxa"/>
            <w:vAlign w:val="bottom"/>
            <w:gridSpan w:val="3"/>
          </w:tcPr>
          <w:p>
            <w:pPr>
              <w:ind w:left="240"/>
              <w:spacing w:after="0"/>
              <w:rPr>
                <w:sz w:val="20"/>
                <w:szCs w:val="20"/>
                <w:color w:val="auto"/>
              </w:rPr>
            </w:pPr>
            <w:r>
              <w:rPr>
                <w:rFonts w:ascii="Arial" w:cs="Arial" w:eastAsia="Arial" w:hAnsi="Arial"/>
                <w:sz w:val="14"/>
                <w:szCs w:val="14"/>
                <w:b w:val="1"/>
                <w:bCs w:val="1"/>
                <w:color w:val="auto"/>
                <w:w w:val="95"/>
              </w:rPr>
              <w:t>March 31,</w:t>
            </w:r>
          </w:p>
        </w:tc>
        <w:tc>
          <w:tcPr>
            <w:tcW w:w="1360" w:type="dxa"/>
            <w:vAlign w:val="bottom"/>
            <w:gridSpan w:val="4"/>
          </w:tcPr>
          <w:p>
            <w:pPr>
              <w:ind w:left="4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900" w:type="dxa"/>
            <w:vAlign w:val="bottom"/>
            <w:tcBorders>
              <w:bottom w:val="single" w:sz="8" w:color="auto"/>
            </w:tcBorders>
            <w:vMerge w:val="continue"/>
          </w:tcPr>
          <w:p>
            <w:pPr>
              <w:spacing w:after="0"/>
              <w:rPr>
                <w:sz w:val="15"/>
                <w:szCs w:val="15"/>
                <w:color w:val="auto"/>
              </w:rPr>
            </w:pPr>
          </w:p>
        </w:tc>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6"/>
              <w:spacing w:after="0" w:line="158" w:lineRule="exact"/>
              <w:rPr>
                <w:sz w:val="20"/>
                <w:szCs w:val="20"/>
                <w:color w:val="auto"/>
              </w:rPr>
            </w:pPr>
            <w:r>
              <w:rPr>
                <w:rFonts w:ascii="Arial" w:cs="Arial" w:eastAsia="Arial" w:hAnsi="Arial"/>
                <w:sz w:val="14"/>
                <w:szCs w:val="14"/>
                <w:b w:val="1"/>
                <w:bCs w:val="1"/>
                <w:color w:val="auto"/>
                <w:w w:val="96"/>
              </w:rPr>
              <w:t>2020</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4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4120" w:type="dxa"/>
            <w:vAlign w:val="bottom"/>
          </w:tcPr>
          <w:p>
            <w:pPr>
              <w:ind w:left="2220"/>
              <w:spacing w:after="0"/>
              <w:rPr>
                <w:sz w:val="20"/>
                <w:szCs w:val="20"/>
                <w:color w:val="auto"/>
              </w:rPr>
            </w:pPr>
            <w:r>
              <w:rPr>
                <w:rFonts w:ascii="Arial" w:cs="Arial" w:eastAsia="Arial" w:hAnsi="Arial"/>
                <w:sz w:val="18"/>
                <w:szCs w:val="18"/>
                <w:color w:val="auto"/>
              </w:rPr>
              <w:t>Other current assets</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4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4120" w:type="dxa"/>
            <w:vAlign w:val="bottom"/>
          </w:tcPr>
          <w:p>
            <w:pPr>
              <w:ind w:left="2220"/>
              <w:spacing w:after="0"/>
              <w:rPr>
                <w:sz w:val="20"/>
                <w:szCs w:val="20"/>
                <w:color w:val="auto"/>
              </w:rPr>
            </w:pPr>
            <w:r>
              <w:rPr>
                <w:rFonts w:ascii="Arial" w:cs="Arial" w:eastAsia="Arial" w:hAnsi="Arial"/>
                <w:sz w:val="18"/>
                <w:szCs w:val="18"/>
                <w:color w:val="auto"/>
              </w:rPr>
              <w:t>Other current liabilities</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3,500</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liabilities as of March 31, 2020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Gross amounts of</w:t>
            </w:r>
          </w:p>
        </w:tc>
        <w:tc>
          <w:tcPr>
            <w:tcW w:w="2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amounts</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Net amounts of</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9"/>
              </w:rPr>
              <w:t>Gross amounts not offset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liabilities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8"/>
              </w:rPr>
              <w:t>in the balance sheets</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As of March 31, 2020</w:t>
            </w:r>
          </w:p>
        </w:tc>
        <w:tc>
          <w:tcPr>
            <w:tcW w:w="22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recognized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offset in the</w:t>
            </w:r>
          </w:p>
        </w:tc>
        <w:tc>
          <w:tcPr>
            <w:tcW w:w="11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22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
              <w:spacing w:after="0" w:line="119" w:lineRule="exact"/>
              <w:rPr>
                <w:sz w:val="20"/>
                <w:szCs w:val="20"/>
                <w:color w:val="auto"/>
              </w:rPr>
            </w:pPr>
            <w:r>
              <w:rPr>
                <w:rFonts w:ascii="Arial" w:cs="Arial" w:eastAsia="Arial" w:hAnsi="Arial"/>
                <w:sz w:val="13"/>
                <w:szCs w:val="13"/>
                <w:b w:val="1"/>
                <w:bCs w:val="1"/>
                <w:color w:val="auto"/>
              </w:rPr>
              <w:t>Financial</w:t>
            </w:r>
          </w:p>
        </w:tc>
        <w:tc>
          <w:tcPr>
            <w:tcW w:w="3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42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liabilities</w:t>
            </w:r>
          </w:p>
        </w:tc>
        <w:tc>
          <w:tcPr>
            <w:tcW w:w="200" w:type="dxa"/>
            <w:vAlign w:val="bottom"/>
          </w:tcPr>
          <w:p>
            <w:pPr>
              <w:spacing w:after="0"/>
              <w:rPr>
                <w:sz w:val="15"/>
                <w:szCs w:val="15"/>
                <w:color w:val="auto"/>
              </w:rPr>
            </w:pPr>
          </w:p>
        </w:tc>
        <w:tc>
          <w:tcPr>
            <w:tcW w:w="13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balance sheets</w:t>
            </w:r>
          </w:p>
        </w:tc>
        <w:tc>
          <w:tcPr>
            <w:tcW w:w="118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220" w:type="dxa"/>
            <w:vAlign w:val="bottom"/>
          </w:tcPr>
          <w:p>
            <w:pPr>
              <w:spacing w:after="0"/>
              <w:rPr>
                <w:sz w:val="15"/>
                <w:szCs w:val="15"/>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89"/>
              </w:rPr>
              <w:t>instruments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pledged</w:t>
            </w: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3,500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(2,720)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assets as of December 31, 2019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Gross amounts of</w:t>
            </w:r>
          </w:p>
        </w:tc>
        <w:tc>
          <w:tcPr>
            <w:tcW w:w="13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9"/>
              </w:rPr>
              <w:t>Gross amounts</w:t>
            </w: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Net amounts of</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3"/>
              </w:rPr>
              <w:t>Gross amounts not offset</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in the balance sheets</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2019</w:t>
            </w:r>
          </w:p>
        </w:tc>
        <w:tc>
          <w:tcPr>
            <w:tcW w:w="140" w:type="dxa"/>
            <w:vAlign w:val="bottom"/>
          </w:tcPr>
          <w:p>
            <w:pPr>
              <w:spacing w:after="0"/>
              <w:rPr>
                <w:sz w:val="10"/>
                <w:szCs w:val="10"/>
                <w:color w:val="auto"/>
              </w:rPr>
            </w:pPr>
          </w:p>
        </w:tc>
        <w:tc>
          <w:tcPr>
            <w:tcW w:w="134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recognized</w:t>
            </w:r>
          </w:p>
        </w:tc>
        <w:tc>
          <w:tcPr>
            <w:tcW w:w="100" w:type="dxa"/>
            <w:vAlign w:val="bottom"/>
          </w:tcPr>
          <w:p>
            <w:pPr>
              <w:spacing w:after="0"/>
              <w:rPr>
                <w:sz w:val="10"/>
                <w:szCs w:val="10"/>
                <w:color w:val="auto"/>
              </w:rPr>
            </w:pPr>
          </w:p>
        </w:tc>
        <w:tc>
          <w:tcPr>
            <w:tcW w:w="12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20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20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
              <w:spacing w:after="0" w:line="119" w:lineRule="exact"/>
              <w:rPr>
                <w:sz w:val="20"/>
                <w:szCs w:val="20"/>
                <w:color w:val="auto"/>
              </w:rPr>
            </w:pPr>
            <w:r>
              <w:rPr>
                <w:rFonts w:ascii="Arial" w:cs="Arial" w:eastAsia="Arial" w:hAnsi="Arial"/>
                <w:sz w:val="13"/>
                <w:szCs w:val="13"/>
                <w:b w:val="1"/>
                <w:bCs w:val="1"/>
                <w:color w:val="auto"/>
              </w:rPr>
              <w:t>Financial</w:t>
            </w:r>
          </w:p>
        </w:tc>
        <w:tc>
          <w:tcPr>
            <w:tcW w:w="4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4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78"/>
        </w:trPr>
        <w:tc>
          <w:tcPr>
            <w:tcW w:w="35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82"/>
              </w:rPr>
              <w:t>assets</w:t>
            </w:r>
          </w:p>
        </w:tc>
        <w:tc>
          <w:tcPr>
            <w:tcW w:w="132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85"/>
              </w:rPr>
              <w:t>balance sheets</w:t>
            </w:r>
          </w:p>
        </w:tc>
        <w:tc>
          <w:tcPr>
            <w:tcW w:w="120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200" w:type="dxa"/>
            <w:vAlign w:val="bottom"/>
          </w:tcPr>
          <w:p>
            <w:pPr>
              <w:spacing w:after="0"/>
              <w:rPr>
                <w:sz w:val="15"/>
                <w:szCs w:val="15"/>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89"/>
              </w:rPr>
              <w:t>instruments</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w w:val="96"/>
              </w:rPr>
              <w:t>pledged</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2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1,456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4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1,456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1,070</w:t>
            </w:r>
          </w:p>
        </w:tc>
        <w:tc>
          <w:tcPr>
            <w:tcW w:w="800" w:type="dxa"/>
            <w:vAlign w:val="bottom"/>
            <w:gridSpan w:val="2"/>
          </w:tcPr>
          <w:p>
            <w:pPr>
              <w:spacing w:after="0"/>
              <w:rPr>
                <w:sz w:val="20"/>
                <w:szCs w:val="20"/>
                <w:color w:val="auto"/>
              </w:rPr>
            </w:pPr>
            <w:r>
              <w:rPr>
                <w:rFonts w:ascii="Arial" w:cs="Arial" w:eastAsia="Arial" w:hAnsi="Arial"/>
                <w:sz w:val="18"/>
                <w:szCs w:val="18"/>
                <w:color w:val="auto"/>
              </w:rPr>
              <w:t>$   2,526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impact of derivative instruments on the consolidated statements of operations for the three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2020 and 2019 (in thousands):</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Derivatives in ASC</w:t>
      </w:r>
    </w:p>
    <w:p>
      <w:pPr>
        <w:ind w:left="120"/>
        <w:spacing w:after="0" w:line="226" w:lineRule="auto"/>
        <w:rPr>
          <w:sz w:val="20"/>
          <w:szCs w:val="20"/>
          <w:color w:val="auto"/>
        </w:rPr>
      </w:pPr>
      <w:r>
        <w:rPr>
          <w:rFonts w:ascii="Arial" w:cs="Arial" w:eastAsia="Arial" w:hAnsi="Arial"/>
          <w:sz w:val="14"/>
          <w:szCs w:val="14"/>
          <w:b w:val="1"/>
          <w:bCs w:val="1"/>
          <w:color w:val="auto"/>
        </w:rPr>
        <w:t>815 Cash Flow Hedging</w:t>
      </w:r>
    </w:p>
    <w:p>
      <w:pPr>
        <w:ind w:left="120"/>
        <w:spacing w:after="0"/>
        <w:rPr>
          <w:sz w:val="20"/>
          <w:szCs w:val="20"/>
          <w:color w:val="auto"/>
        </w:rPr>
      </w:pPr>
      <w:r>
        <w:rPr>
          <w:rFonts w:ascii="Arial" w:cs="Arial" w:eastAsia="Arial" w:hAnsi="Arial"/>
          <w:sz w:val="14"/>
          <w:szCs w:val="14"/>
          <w:b w:val="1"/>
          <w:bCs w:val="1"/>
          <w:color w:val="auto"/>
        </w:rPr>
        <w:t>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9683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Zero cost collars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Forwards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Forwards—excluded time value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gridSpan w:val="7"/>
          </w:tcPr>
          <w:p>
            <w:pPr>
              <w:jc w:val="center"/>
              <w:ind w:right="141"/>
              <w:spacing w:after="0"/>
              <w:rPr>
                <w:sz w:val="20"/>
                <w:szCs w:val="20"/>
                <w:color w:val="auto"/>
              </w:rPr>
            </w:pPr>
            <w:r>
              <w:rPr>
                <w:rFonts w:ascii="Arial" w:cs="Arial" w:eastAsia="Arial" w:hAnsi="Arial"/>
                <w:sz w:val="14"/>
                <w:szCs w:val="14"/>
                <w:b w:val="1"/>
                <w:bCs w:val="1"/>
                <w:color w:val="auto"/>
                <w:w w:val="94"/>
              </w:rPr>
              <w:t>Amount of Gain (Loss)</w:t>
            </w:r>
          </w:p>
        </w:tc>
        <w:tc>
          <w:tcPr>
            <w:tcW w:w="2420" w:type="dxa"/>
            <w:vAlign w:val="bottom"/>
            <w:gridSpan w:val="9"/>
            <w:vMerge w:val="restart"/>
          </w:tcPr>
          <w:p>
            <w:pPr>
              <w:jc w:val="center"/>
              <w:ind w:right="101"/>
              <w:spacing w:after="0"/>
              <w:rPr>
                <w:sz w:val="20"/>
                <w:szCs w:val="20"/>
                <w:color w:val="auto"/>
              </w:rPr>
            </w:pPr>
            <w:r>
              <w:rPr>
                <w:rFonts w:ascii="Arial" w:cs="Arial" w:eastAsia="Arial" w:hAnsi="Arial"/>
                <w:sz w:val="14"/>
                <w:szCs w:val="14"/>
                <w:b w:val="1"/>
                <w:bCs w:val="1"/>
                <w:color w:val="auto"/>
                <w:w w:val="92"/>
              </w:rPr>
              <w:t>Location/Amount of Loss</w:t>
            </w:r>
          </w:p>
        </w:tc>
        <w:tc>
          <w:tcPr>
            <w:tcW w:w="2520" w:type="dxa"/>
            <w:vAlign w:val="bottom"/>
            <w:gridSpan w:val="7"/>
            <w:vMerge w:val="restart"/>
          </w:tcPr>
          <w:p>
            <w:pPr>
              <w:jc w:val="center"/>
              <w:ind w:left="242"/>
              <w:spacing w:after="0"/>
              <w:rPr>
                <w:sz w:val="20"/>
                <w:szCs w:val="20"/>
                <w:color w:val="auto"/>
              </w:rPr>
            </w:pPr>
            <w:r>
              <w:rPr>
                <w:rFonts w:ascii="Arial" w:cs="Arial" w:eastAsia="Arial" w:hAnsi="Arial"/>
                <w:sz w:val="14"/>
                <w:szCs w:val="14"/>
                <w:b w:val="1"/>
                <w:bCs w:val="1"/>
                <w:color w:val="auto"/>
                <w:w w:val="93"/>
              </w:rPr>
              <w:t>Location/Amount of Gain (Loss)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jc w:val="center"/>
              <w:ind w:right="261"/>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420" w:type="dxa"/>
            <w:vAlign w:val="bottom"/>
            <w:gridSpan w:val="9"/>
            <w:vMerge w:val="continue"/>
          </w:tcPr>
          <w:p>
            <w:pPr>
              <w:spacing w:after="0"/>
              <w:rPr>
                <w:sz w:val="12"/>
                <w:szCs w:val="12"/>
                <w:color w:val="auto"/>
              </w:rPr>
            </w:pPr>
          </w:p>
        </w:tc>
        <w:tc>
          <w:tcPr>
            <w:tcW w:w="2520" w:type="dxa"/>
            <w:vAlign w:val="bottom"/>
            <w:gridSpan w:val="7"/>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left="242"/>
              <w:spacing w:after="0" w:line="149" w:lineRule="exact"/>
              <w:rPr>
                <w:sz w:val="20"/>
                <w:szCs w:val="20"/>
                <w:color w:val="auto"/>
              </w:rPr>
            </w:pPr>
            <w:r>
              <w:rPr>
                <w:rFonts w:ascii="Arial" w:cs="Arial" w:eastAsia="Arial" w:hAnsi="Arial"/>
                <w:sz w:val="14"/>
                <w:szCs w:val="14"/>
                <w:b w:val="1"/>
                <w:bCs w:val="1"/>
                <w:color w:val="auto"/>
                <w:w w:val="99"/>
              </w:rPr>
              <w:t>AOCI on</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20" w:type="dxa"/>
            <w:vAlign w:val="bottom"/>
            <w:gridSpan w:val="9"/>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2160" w:type="dxa"/>
            <w:vAlign w:val="bottom"/>
            <w:gridSpan w:val="5"/>
          </w:tcPr>
          <w:p>
            <w:pPr>
              <w:jc w:val="center"/>
              <w:ind w:left="5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jc w:val="center"/>
              <w:ind w:right="261"/>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420" w:type="dxa"/>
            <w:vAlign w:val="bottom"/>
            <w:gridSpan w:val="9"/>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Into Statement of Operations</w:t>
            </w:r>
          </w:p>
        </w:tc>
        <w:tc>
          <w:tcPr>
            <w:tcW w:w="2880" w:type="dxa"/>
            <w:vAlign w:val="bottom"/>
            <w:gridSpan w:val="9"/>
          </w:tcPr>
          <w:p>
            <w:pPr>
              <w:jc w:val="center"/>
              <w:spacing w:after="0" w:line="149" w:lineRule="exact"/>
              <w:rPr>
                <w:sz w:val="20"/>
                <w:szCs w:val="20"/>
                <w:color w:val="auto"/>
              </w:rPr>
            </w:pPr>
            <w:r>
              <w:rPr>
                <w:rFonts w:ascii="Arial" w:cs="Arial" w:eastAsia="Arial" w:hAnsi="Arial"/>
                <w:sz w:val="14"/>
                <w:szCs w:val="14"/>
                <w:b w:val="1"/>
                <w:bCs w:val="1"/>
                <w:color w:val="auto"/>
                <w:w w:val="92"/>
              </w:rPr>
              <w:t>Statement of Operations on Derivatives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jc w:val="center"/>
              <w:ind w:right="261"/>
              <w:spacing w:after="0"/>
              <w:rPr>
                <w:sz w:val="20"/>
                <w:szCs w:val="20"/>
                <w:color w:val="auto"/>
              </w:rPr>
            </w:pPr>
            <w:r>
              <w:rPr>
                <w:rFonts w:ascii="Arial" w:cs="Arial" w:eastAsia="Arial" w:hAnsi="Arial"/>
                <w:sz w:val="14"/>
                <w:szCs w:val="14"/>
                <w:b w:val="1"/>
                <w:bCs w:val="1"/>
                <w:color w:val="auto"/>
                <w:w w:val="94"/>
              </w:rPr>
              <w:t>(Effective Portion)</w:t>
            </w:r>
          </w:p>
        </w:tc>
        <w:tc>
          <w:tcPr>
            <w:tcW w:w="1740" w:type="dxa"/>
            <w:vAlign w:val="bottom"/>
            <w:gridSpan w:val="7"/>
          </w:tcPr>
          <w:p>
            <w:pPr>
              <w:jc w:val="center"/>
              <w:ind w:left="400"/>
              <w:spacing w:after="0"/>
              <w:rPr>
                <w:sz w:val="20"/>
                <w:szCs w:val="20"/>
                <w:color w:val="auto"/>
              </w:rPr>
            </w:pPr>
            <w:r>
              <w:rPr>
                <w:rFonts w:ascii="Arial" w:cs="Arial" w:eastAsia="Arial" w:hAnsi="Arial"/>
                <w:sz w:val="14"/>
                <w:szCs w:val="14"/>
                <w:b w:val="1"/>
                <w:bCs w:val="1"/>
                <w:color w:val="auto"/>
                <w:w w:val="94"/>
              </w:rPr>
              <w:t>(Effective Portion)</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jc w:val="center"/>
              <w:ind w:left="602"/>
              <w:spacing w:after="0"/>
              <w:rPr>
                <w:sz w:val="20"/>
                <w:szCs w:val="20"/>
                <w:color w:val="auto"/>
              </w:rPr>
            </w:pPr>
            <w:r>
              <w:rPr>
                <w:rFonts w:ascii="Arial" w:cs="Arial" w:eastAsia="Arial" w:hAnsi="Arial"/>
                <w:sz w:val="14"/>
                <w:szCs w:val="14"/>
                <w:b w:val="1"/>
                <w:bCs w:val="1"/>
                <w:color w:val="auto"/>
                <w:w w:val="94"/>
              </w:rPr>
              <w:t>(Ineffective Portion)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Borders>
              <w:top w:val="single" w:sz="8" w:color="auto"/>
            </w:tcBorders>
            <w:gridSpan w:val="6"/>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6"/>
          </w:tcPr>
          <w:p>
            <w:pPr>
              <w:ind w:left="20"/>
              <w:spacing w:after="0" w:line="119"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6"/>
          </w:tcPr>
          <w:p>
            <w:pPr>
              <w:spacing w:after="0" w:line="119" w:lineRule="exact"/>
              <w:rPr>
                <w:sz w:val="20"/>
                <w:szCs w:val="20"/>
                <w:color w:val="auto"/>
              </w:rPr>
            </w:pPr>
            <w:r>
              <w:rPr>
                <w:rFonts w:ascii="Arial" w:cs="Arial" w:eastAsia="Arial" w:hAnsi="Arial"/>
                <w:sz w:val="13"/>
                <w:szCs w:val="13"/>
                <w:b w:val="1"/>
                <w:bCs w:val="1"/>
                <w:color w:val="auto"/>
                <w:w w:val="99"/>
              </w:rPr>
              <w:t>Three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jc w:val="center"/>
              <w:ind w:right="261"/>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481"/>
              <w:spacing w:after="0"/>
              <w:rPr>
                <w:sz w:val="20"/>
                <w:szCs w:val="20"/>
                <w:color w:val="auto"/>
              </w:rPr>
            </w:pPr>
            <w:r>
              <w:rPr>
                <w:rFonts w:ascii="Arial" w:cs="Arial" w:eastAsia="Arial" w:hAnsi="Arial"/>
                <w:sz w:val="14"/>
                <w:szCs w:val="14"/>
                <w:b w:val="1"/>
                <w:bCs w:val="1"/>
                <w:color w:val="auto"/>
              </w:rPr>
              <w:t>March 31,</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ind w:left="240"/>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8"/>
                <w:szCs w:val="18"/>
                <w:color w:val="auto"/>
                <w:w w:val="95"/>
              </w:rPr>
              <w:t>Net sales</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8"/>
                <w:szCs w:val="18"/>
                <w:color w:val="auto"/>
                <w:w w:val="95"/>
              </w:rPr>
              <w:t>Other income, net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77"/>
              </w:rPr>
              <w:t>(5,004)</w:t>
            </w:r>
          </w:p>
        </w:tc>
        <w:tc>
          <w:tcPr>
            <w:tcW w:w="220" w:type="dxa"/>
            <w:vAlign w:val="bottom"/>
            <w:gridSpan w:val="2"/>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w w:val="79"/>
              </w:rPr>
              <w:t>117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(533)</w:t>
            </w:r>
          </w:p>
        </w:tc>
        <w:tc>
          <w:tcPr>
            <w:tcW w:w="800" w:type="dxa"/>
            <w:vAlign w:val="bottom"/>
          </w:tcPr>
          <w:p>
            <w:pPr>
              <w:ind w:left="60"/>
              <w:spacing w:after="0"/>
              <w:rPr>
                <w:sz w:val="20"/>
                <w:szCs w:val="20"/>
                <w:color w:val="auto"/>
              </w:rPr>
            </w:pPr>
            <w:r>
              <w:rPr>
                <w:rFonts w:ascii="Arial" w:cs="Arial" w:eastAsia="Arial" w:hAnsi="Arial"/>
                <w:sz w:val="18"/>
                <w:szCs w:val="18"/>
                <w:color w:val="auto"/>
                <w:w w:val="95"/>
              </w:rPr>
              <w:t>Net sales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(89)</w:t>
            </w:r>
          </w:p>
        </w:tc>
        <w:tc>
          <w:tcPr>
            <w:tcW w:w="1440" w:type="dxa"/>
            <w:vAlign w:val="bottom"/>
          </w:tcPr>
          <w:p>
            <w:pPr>
              <w:ind w:left="60"/>
              <w:spacing w:after="0"/>
              <w:rPr>
                <w:sz w:val="20"/>
                <w:szCs w:val="20"/>
                <w:color w:val="auto"/>
              </w:rPr>
            </w:pPr>
            <w:r>
              <w:rPr>
                <w:rFonts w:ascii="Arial" w:cs="Arial" w:eastAsia="Arial" w:hAnsi="Arial"/>
                <w:sz w:val="18"/>
                <w:szCs w:val="18"/>
                <w:color w:val="auto"/>
                <w:w w:val="95"/>
              </w:rPr>
              <w:t>Other income, net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95"/>
              </w:rPr>
              <w:t>Net sales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(98)</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(5,004</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-599440</wp:posOffset>
            </wp:positionV>
            <wp:extent cx="699516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-316865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020"/>
          </w:cols>
          <w:pgMar w:left="320" w:top="459" w:right="439" w:bottom="1440" w:gutter="0" w:footer="0" w:header="0"/>
          <w:type w:val="continuous"/>
        </w:sectPr>
      </w:pPr>
    </w:p>
    <w:p>
      <w:pPr>
        <w:spacing w:after="0" w:line="1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of March 31, 2020, the amount expected to be reclassified from accumulated other comprehensive income into loss within the next twelve months is $3,401 thousand.</w:t>
      </w:r>
    </w:p>
    <w:p>
      <w:pPr>
        <w:spacing w:after="0" w:line="170"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Company set aside $10,550 thousand and $8,750 thousand of cash deposits to the counterparties, Nomura Financial Investment (Korea) Co., Ltd. (“NFIK”) and Deutsche Bank AG, Seoul Branch (“DB”), as required for the zero cost collar contracts outstanding as of March 31, 2020 and December 31, 2019, respectively. These cash deposits are recorded as hedge collateral on the consolidated balance sheets.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required to deposit additional cash collateral with NFIK and DB for any exposure in excess of $500 thousand, and</w:t>
      </w:r>
    </w:p>
    <w:p>
      <w:pPr>
        <w:spacing w:after="0" w:line="23"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$2,720 thousand and $1,070 thousand of additional cash collateral were required and recorded as hedge collateral on the consolidated balance sheets as of March 31, 2020 and December 31, 2019, respectively.</w:t>
      </w:r>
    </w:p>
    <w:p>
      <w:pPr>
        <w:spacing w:after="0" w:line="18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These cost collar contracts may be terminated by the counterparty in a number of circumstances, including if the Company’s borrowing rating falls below B-/B3 or if the Company’s total cash and cash equivalents is less than $30,000 thousand at the end of a fiscal quarter, unless a waiver is obtained from the counterparty.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of March 31, 2020, the following table represents the Company’s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5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5"/>
              </w:rPr>
              <w:t>Fair Value</w:t>
            </w:r>
          </w:p>
        </w:tc>
        <w:tc>
          <w:tcPr>
            <w:tcW w:w="10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Carrying Value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6"/>
              </w:rPr>
              <w:t>March 31, 2020</w:t>
            </w:r>
          </w:p>
        </w:tc>
        <w:tc>
          <w:tcPr>
            <w:tcW w:w="480" w:type="dxa"/>
            <w:vAlign w:val="bottom"/>
          </w:tcPr>
          <w:p>
            <w:pPr>
              <w:spacing w:after="0"/>
              <w:rPr>
                <w:sz w:val="14"/>
                <w:szCs w:val="14"/>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March 31, 2020</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liability (Level 1)</w:t>
            </w:r>
          </w:p>
        </w:tc>
        <w:tc>
          <w:tcPr>
            <w:tcW w:w="5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Derivative liabilities (other current liabilities)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3,500</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w w:val="99"/>
              </w:rPr>
              <w:t>$   3,500</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ind w:right="190"/>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December 31, 2019, the following table represents the Company’s assets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52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Measurement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4"/>
                <w:szCs w:val="14"/>
                <w:color w:val="auto"/>
              </w:rPr>
            </w:pPr>
          </w:p>
        </w:tc>
        <w:tc>
          <w:tcPr>
            <w:tcW w:w="17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December 31, 2019</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52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360"/>
              <w:spacing w:after="0"/>
              <w:rPr>
                <w:sz w:val="20"/>
                <w:szCs w:val="20"/>
                <w:color w:val="auto"/>
              </w:rPr>
            </w:pPr>
            <w:r>
              <w:rPr>
                <w:rFonts w:ascii="Arial" w:cs="Arial" w:eastAsia="Arial" w:hAnsi="Arial"/>
                <w:sz w:val="18"/>
                <w:szCs w:val="18"/>
                <w:color w:val="auto"/>
              </w:rPr>
              <w:t>Derivative assets (other current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1,456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1,456</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rPr>
              <w:t>$   1,456</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Borrowings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166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 2019</w:t>
            </w:r>
          </w:p>
        </w:tc>
      </w:tr>
      <w:tr>
        <w:trPr>
          <w:trHeight w:val="119"/>
        </w:trPr>
        <w:tc>
          <w:tcPr>
            <w:tcW w:w="63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139"/>
              <w:spacing w:after="0" w:line="119" w:lineRule="exact"/>
              <w:rPr>
                <w:sz w:val="20"/>
                <w:szCs w:val="20"/>
                <w:color w:val="auto"/>
              </w:rPr>
            </w:pPr>
            <w:r>
              <w:rPr>
                <w:rFonts w:ascii="Arial" w:cs="Arial" w:eastAsia="Arial" w:hAnsi="Arial"/>
                <w:sz w:val="13"/>
                <w:szCs w:val="13"/>
                <w:b w:val="1"/>
                <w:bCs w:val="1"/>
                <w:color w:val="auto"/>
              </w:rPr>
              <w:t>Carrying</w:t>
            </w: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40"/>
              <w:spacing w:after="0" w:line="119" w:lineRule="exact"/>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159"/>
              <w:spacing w:after="0" w:line="119" w:lineRule="exact"/>
              <w:rPr>
                <w:sz w:val="20"/>
                <w:szCs w:val="20"/>
                <w:color w:val="auto"/>
              </w:rPr>
            </w:pPr>
            <w:r>
              <w:rPr>
                <w:rFonts w:ascii="Arial" w:cs="Arial" w:eastAsia="Arial" w:hAnsi="Arial"/>
                <w:sz w:val="13"/>
                <w:szCs w:val="13"/>
                <w:b w:val="1"/>
                <w:bCs w:val="1"/>
                <w:color w:val="auto"/>
              </w:rPr>
              <w:t>Carrying</w:t>
            </w:r>
          </w:p>
        </w:tc>
        <w:tc>
          <w:tcPr>
            <w:tcW w:w="860" w:type="dxa"/>
            <w:vAlign w:val="bottom"/>
            <w:tcBorders>
              <w:top w:val="single" w:sz="8" w:color="auto"/>
            </w:tcBorders>
          </w:tcPr>
          <w:p>
            <w:pPr>
              <w:jc w:val="center"/>
              <w:ind w:left="8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r>
      <w:tr>
        <w:trPr>
          <w:trHeight w:val="171"/>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90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6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5"/>
          </w:tcPr>
          <w:p>
            <w:pPr>
              <w:ind w:left="160"/>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5.0% Exchangeable Senior Notes due March 2021 (Level 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9"/>
              <w:spacing w:after="0"/>
              <w:rPr>
                <w:sz w:val="20"/>
                <w:szCs w:val="20"/>
                <w:color w:val="auto"/>
              </w:rPr>
            </w:pPr>
            <w:r>
              <w:rPr>
                <w:rFonts w:ascii="Arial" w:cs="Arial" w:eastAsia="Arial" w:hAnsi="Arial"/>
                <w:sz w:val="18"/>
                <w:szCs w:val="18"/>
                <w:color w:val="auto"/>
              </w:rPr>
              <w:t>82,328</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94,479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81,959</w:t>
            </w:r>
          </w:p>
        </w:tc>
        <w:tc>
          <w:tcPr>
            <w:tcW w:w="900" w:type="dxa"/>
            <w:vAlign w:val="bottom"/>
            <w:gridSpan w:val="2"/>
          </w:tcPr>
          <w:p>
            <w:pPr>
              <w:jc w:val="center"/>
              <w:ind w:left="40"/>
              <w:spacing w:after="0"/>
              <w:rPr>
                <w:sz w:val="20"/>
                <w:szCs w:val="20"/>
                <w:color w:val="auto"/>
              </w:rPr>
            </w:pPr>
            <w:r>
              <w:rPr>
                <w:rFonts w:ascii="Arial" w:cs="Arial" w:eastAsia="Arial" w:hAnsi="Arial"/>
                <w:sz w:val="18"/>
                <w:szCs w:val="18"/>
                <w:color w:val="auto"/>
                <w:w w:val="93"/>
              </w:rPr>
              <w:t>$116,078</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6.625% Senior Notes due July 2021 (Level 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89"/>
              </w:rPr>
              <w:t>223,012</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210,795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6"/>
              </w:rPr>
              <w:t>222,784</w:t>
            </w:r>
          </w:p>
        </w:tc>
        <w:tc>
          <w:tcPr>
            <w:tcW w:w="900" w:type="dxa"/>
            <w:vAlign w:val="bottom"/>
            <w:gridSpan w:val="2"/>
            <w:shd w:val="clear" w:color="auto" w:fill="CCEEFF"/>
          </w:tcPr>
          <w:p>
            <w:pPr>
              <w:jc w:val="center"/>
              <w:ind w:left="40"/>
              <w:spacing w:after="0"/>
              <w:rPr>
                <w:sz w:val="20"/>
                <w:szCs w:val="20"/>
                <w:color w:val="auto"/>
              </w:rPr>
            </w:pPr>
            <w:r>
              <w:rPr>
                <w:rFonts w:ascii="Arial" w:cs="Arial" w:eastAsia="Arial" w:hAnsi="Arial"/>
                <w:sz w:val="18"/>
                <w:szCs w:val="18"/>
                <w:color w:val="auto"/>
                <w:w w:val="93"/>
              </w:rPr>
              <w:t>$224,250</w:t>
            </w:r>
          </w:p>
        </w:tc>
      </w:tr>
    </w:tbl>
    <w:p>
      <w:pPr>
        <w:spacing w:after="0" w:line="20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February 2019, MagnaChip Semiconductor S.A. repurchased a principal amount equal to $1,590 thousand and $920 thousand, respectively, of the Exchangeable Notes in the open market. The Company estimates the fair value of the Exchangeable Notes using the market approach, which utilizes quoted market prices that fall under Level 2. For further description of the Exchangeable Notes, see Note 11, “Borrowings.”</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On July 18, 2013, the Company issued 6.625% Senior Notes due July 15, 2021 (the “2021 Notes”) of $225,000 thousand, which represents the principal amount, excluding $1,125 thousand of original issue discount and $5,039 thousand of debt issuance costs. In December 2018 and January 2019, the Company repurchased a principal amount equal to $500 thousand and $250 thousand, respectively, of the 2021 Notes in the open market. The Company estimates the fair value of the 2021 Notes using the market approach, which utilizes quoted market prices that fall under Level 2. For further description of the 2021 Notes, see Note 11, “Borrowings.”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March 31, 2020 and 2019, the Company did not have any assets or liabilities measured at fair value on a non-recurring basis.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Borrowings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Borrowings as of March 31, 2020 and December 31, 2019 are as follows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224,250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224,250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(3,247)</w:t>
            </w: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Total borrowings, net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305,340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304,743</w:t>
            </w: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borrowings, net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2"/>
              </w:rPr>
              <w:t>(82,328)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Long-term borrowings,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223,012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304,743</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9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7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70"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three months ended March 31, 2020 and 2019 were $1,416 thousand and $1,408 thousand, respectively.</w:t>
      </w:r>
    </w:p>
    <w:p>
      <w:pPr>
        <w:sectPr>
          <w:pgSz w:w="11900" w:h="16838" w:orient="portrait"/>
          <w:cols w:equalWidth="0" w:num="1">
            <w:col w:w="11120"/>
          </w:cols>
          <w:pgMar w:left="320" w:top="459"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December 2018, the Company repurchased a principal amount equal to $1,590 thousand of the Exchangeable Notes in the open market, resulting in a loss of $234 thousand, which was recorded as loss on early extinguishment of long-term borrowings, net in the consolidated statements of operations for the year ended December 31, 2018. In February 2019, the Company repurchased a principal amount equal to $920 thousand of the Exchangeable Notes in the open market, resulting in a loss of $63 thousand, which was recorded as loss on early extinguishment of long-term borrowings, net in the consolidated statements of operations for the year ended December 31, 2019.</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12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On or after July 15, 2019, the Company can optionally redeem all or a part of the 2021 Notes at a redemption price equal to 100% of the principal amount of the notes plus accrued and unpaid interest and special interest, if any, on the notes redeemed, to the applicable date of redemption.</w:t>
      </w:r>
    </w:p>
    <w:p>
      <w:pPr>
        <w:spacing w:after="0" w:line="124" w:lineRule="exact"/>
        <w:rPr>
          <w:sz w:val="20"/>
          <w:szCs w:val="20"/>
          <w:color w:val="auto"/>
        </w:rPr>
      </w:pPr>
    </w:p>
    <w:p>
      <w:pPr>
        <w:ind w:left="120" w:right="220" w:firstLine="440"/>
        <w:spacing w:after="0" w:line="289" w:lineRule="auto"/>
        <w:rPr>
          <w:sz w:val="20"/>
          <w:szCs w:val="20"/>
          <w:color w:val="auto"/>
        </w:rPr>
      </w:pPr>
      <w:r>
        <w:rPr>
          <w:rFonts w:ascii="Arial" w:cs="Arial" w:eastAsia="Arial" w:hAnsi="Arial"/>
          <w:sz w:val="16"/>
          <w:szCs w:val="16"/>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 (xi) designate unrestricted subsidiaries.</w:t>
      </w:r>
    </w:p>
    <w:p>
      <w:pPr>
        <w:spacing w:after="0" w:line="16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Company incurred original issue discount of $1,125 thousand and debt issuance costs of $5,039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 related to the 2021 Notes for the three months ended March 31, 2020 and 2019 were $3,943 thousand and $3,930 thousand, respectively.</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December 2018, the Company repurchased a principal amount equal to $500 thousand of the 2021 Notes in the open market, resulting in a net gain of $28 thousand, which was recorded as loss on early extinguishment of long-term borrowings, net in the consolidated statements of operations for the year ended December 31, 2018. In January 2019, the Company repurchased a principal amount equal to $250 thousand of the 2021 Notes in the open market, resulting in a net gain of $21 thousand, which was recorded as loss on early extinguishment of long-term borrowings, net in the consolidated statements of operations for the year ended December 31, 2019.</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Accrued Severance Benefits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March 31, 2020, 98% of all employees of the Company were eligible for severance benefits.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7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64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6640" w:type="dxa"/>
            <w:vAlign w:val="bottom"/>
          </w:tcPr>
          <w:p>
            <w:pPr>
              <w:spacing w:after="0"/>
              <w:rPr>
                <w:sz w:val="14"/>
                <w:szCs w:val="14"/>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7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$ 53,344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$ 55,691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Provisions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2,019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1,314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(2,801)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(956)</w:t>
            </w:r>
          </w:p>
        </w:tc>
      </w:tr>
      <w:tr>
        <w:trPr>
          <w:trHeight w:val="27"/>
        </w:trPr>
        <w:tc>
          <w:tcPr>
            <w:tcW w:w="6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54,553</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Less: Cumulative contributions to severance insurance deposit accounts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(1,557)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(869)</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National Pension Fund</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Group severance insurance plan</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(243)</w:t>
            </w:r>
          </w:p>
        </w:tc>
      </w:tr>
      <w:tr>
        <w:trPr>
          <w:trHeight w:val="27"/>
        </w:trPr>
        <w:tc>
          <w:tcPr>
            <w:tcW w:w="6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$ 48,765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$ 53,354</w:t>
            </w:r>
          </w:p>
        </w:tc>
      </w:tr>
      <w:tr>
        <w:trPr>
          <w:trHeight w:val="20"/>
        </w:trPr>
        <w:tc>
          <w:tcPr>
            <w:tcW w:w="6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July 2018, the Company began contributing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Severance benefit</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580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2,201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2026 – 2030</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19,439</w:t>
            </w:r>
          </w:p>
        </w:tc>
      </w:tr>
    </w:tbl>
    <w:p>
      <w:pPr>
        <w:spacing w:after="0" w:line="20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Foreign Currency Loss, Net</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March 31, 2020 and December 31, 2019, the outstanding intercompany loan balances including accrued interest between the Korean subsidiary and the Dutch subsidiary were $684,021 thousand and $686,485 thousand, respectively. The Korean won to US dollar exchange rates were 1,222.6:1, 1,157.8:1 using the first base rate as of March 31, 2020 and December 31, 2019, respectively, as quoted by the KEB Hana Bank.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and its subsidiaries file income tax returns in Korea, Japan, Taiwan, the US and in various other jurisdictions. The Company is subject to income- or non-income tax examinations by tax authorities of these jurisdictions for all open tax years.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loss from continuing operations before income tax expense for the three months ended March 31, 2020 and 2019 was $29,775 thousand and $20,759 thousand, respectively. For the three months ended March 31, 2020 and 2019, the Company recorded an income tax expense on continuing of $1,303 thousand and $796 thousand, respectively, primarily attributable to interest on intercompany loan balances. Income tax expense was recorded for the Company’s Korean subsidiary based on the estimated taxable income for the respective periods, combined with its ability to utilize net operating loss carryforwards up to 60% in 2019 and 2020.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Geographic and Other Information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Historically, the Company operated in two reportable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195"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On March 30, 2020, the Company entered into the BTA to sell its Foundry business and Fab 4. The planned divestiture of its Foundry business and Fab 4 allows the Company to strategically shift its operational focus to its standard products business. As a result, the results of the Foundry Services Group were classified as discontinued operations in the Company’s consolidated statements of operations and thus excluded from both continuing operations and segment results for all periods presented. Please see “Item 1. Financial Statements and Supplementary Data—Notes to Consolidated Financial Statements—Note 2. Discontinued Operations and Assets Held for Sale” for additional information on the results of discontinued operations. Accordingly, the Company now has one reportable segment. The Company’s chief operating decision maker is its Chief Executive Officer, who allocates resources and assesses performance of the business and other activities based on gross profit.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the single continuing operating segment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7"/>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top w:val="single" w:sz="8" w:color="auto"/>
            </w:tcBorders>
            <w:gridSpan w:val="4"/>
          </w:tcPr>
          <w:p>
            <w:pPr>
              <w:jc w:val="right"/>
              <w:ind w:right="18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March 31,</w:t>
            </w:r>
          </w:p>
        </w:tc>
        <w:tc>
          <w:tcPr>
            <w:tcW w:w="40" w:type="dxa"/>
            <w:vAlign w:val="bottom"/>
          </w:tcPr>
          <w:p>
            <w:pPr>
              <w:spacing w:after="0"/>
              <w:rPr>
                <w:sz w:val="10"/>
                <w:szCs w:val="10"/>
                <w:color w:val="auto"/>
              </w:rPr>
            </w:pPr>
          </w:p>
        </w:tc>
      </w:tr>
      <w:tr>
        <w:trPr>
          <w:trHeight w:val="171"/>
        </w:trPr>
        <w:tc>
          <w:tcPr>
            <w:tcW w:w="6580" w:type="dxa"/>
            <w:vAlign w:val="bottom"/>
          </w:tcPr>
          <w:p>
            <w:pPr>
              <w:spacing w:after="0"/>
              <w:rPr>
                <w:sz w:val="14"/>
                <w:szCs w:val="14"/>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9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$ 77,593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$ 58,230</w:t>
            </w: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6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33,143</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42,034</w:t>
            </w:r>
          </w:p>
        </w:tc>
      </w:tr>
      <w:tr>
        <w:trPr>
          <w:trHeight w:val="27"/>
        </w:trPr>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standard products business</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7"/>
              </w:rPr>
              <w:t>$110,736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$100,264</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Transitional Fab 3 foundry services</w:t>
            </w:r>
          </w:p>
        </w:tc>
        <w:tc>
          <w:tcPr>
            <w:tcW w:w="6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9,737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7,003</w:t>
            </w:r>
          </w:p>
        </w:tc>
      </w:tr>
      <w:tr>
        <w:trPr>
          <w:trHeight w:val="27"/>
        </w:trPr>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120,473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107,267</w:t>
            </w:r>
          </w:p>
        </w:tc>
      </w:tr>
      <w:tr>
        <w:trPr>
          <w:trHeight w:val="20"/>
        </w:trPr>
        <w:tc>
          <w:tcPr>
            <w:tcW w:w="6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6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7"/>
          </w:tcPr>
          <w:p>
            <w:pPr>
              <w:ind w:left="1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580" w:type="dxa"/>
            <w:vAlign w:val="bottom"/>
          </w:tcPr>
          <w:p>
            <w:pPr>
              <w:spacing w:after="0"/>
              <w:rPr>
                <w:sz w:val="10"/>
                <w:szCs w:val="10"/>
                <w:color w:val="auto"/>
              </w:rPr>
            </w:pPr>
          </w:p>
        </w:tc>
        <w:tc>
          <w:tcPr>
            <w:tcW w:w="900" w:type="dxa"/>
            <w:vAlign w:val="bottom"/>
            <w:tcBorders>
              <w:top w:val="single" w:sz="8" w:color="auto"/>
            </w:tcBorders>
            <w:gridSpan w:val="5"/>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65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6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$ 29,130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$ 19,023</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658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6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$ 29,130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$ 19,023</w:t>
            </w:r>
          </w:p>
        </w:tc>
        <w:tc>
          <w:tcPr>
            <w:tcW w:w="4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is a summary of net sales – standard products business (which does not include the Transitional Fab 3 Foundry Services) by geographic region, based on the location to which the products are billed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7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77,542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63,747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Europe</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3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110,736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100,264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480" w:type="dxa"/>
            <w:vAlign w:val="bottom"/>
            <w:vMerge w:val="restart"/>
          </w:tcPr>
          <w:p>
            <w:pPr>
              <w:jc w:val="right"/>
              <w:ind w:right="229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For the three months ended March 31, 2020 and 2019, of the Company’s net sales – standard products business in Asia Pacific (other than Korea) and net sales – standard products business in Greater China (China, Hong Kong and Macau) represented 95.3% and 94.1% of total net sales – standard products business, respectively.</w:t>
      </w:r>
    </w:p>
    <w:p>
      <w:pPr>
        <w:spacing w:after="0" w:line="184"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Net sales from the Company’s top ten largest customers in the standard products business (which does not include the Transitional Fab 3 Foundry Services) accounted for 90% and 88% for the three months ended March 31, 2020 and 2019, respectively.</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For the three months ended March 31, 2020, the Company had two customers that represented 52.8% and 15.8% of its net sales – standard products business. For the three months ended March 31, 2019, the Company had two customers that represented 45.0% and 11.6% of its net sales – standard products business.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95% of the Company’s property, plant and equipment from continuing operations are located in Korea as of March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Accumulated other comprehensive income (loss) consists of the following as of March 31, 2020 and December 31, 2019, respectively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$ 18,046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(3,401)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r>
      <w:tr>
        <w:trPr>
          <w:trHeight w:val="27"/>
        </w:trPr>
        <w:tc>
          <w:tcPr>
            <w:tcW w:w="6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$ 14,645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(2,660)</w:t>
            </w:r>
          </w:p>
        </w:tc>
      </w:tr>
      <w:tr>
        <w:trPr>
          <w:trHeight w:val="20"/>
        </w:trPr>
        <w:tc>
          <w:tcPr>
            <w:tcW w:w="6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accumulated other comprehensive income (loss) for the three months ended March 31, 2020 and 2019 are as follows (in thousands):</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61"/>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8"/>
              </w:rPr>
              <w:t>Derivative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center"/>
              <w:ind w:right="141"/>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62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5"/>
                <w:szCs w:val="15"/>
                <w:color w:val="auto"/>
              </w:rPr>
            </w:pPr>
          </w:p>
        </w:tc>
        <w:tc>
          <w:tcPr>
            <w:tcW w:w="1000" w:type="dxa"/>
            <w:vAlign w:val="bottom"/>
            <w:gridSpan w:val="5"/>
          </w:tcPr>
          <w:p>
            <w:pPr>
              <w:jc w:val="right"/>
              <w:ind w:right="22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(4,205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1,545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(2,660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22,251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(5,004)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22,251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(4,946)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2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(3,401)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321"/>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right"/>
              <w:ind w:right="301"/>
              <w:spacing w:after="0" w:line="149"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2"/>
              </w:rPr>
              <w:t>Derivative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500" w:type="dxa"/>
            <w:vAlign w:val="bottom"/>
          </w:tcPr>
          <w:p>
            <w:pPr>
              <w:spacing w:after="0"/>
              <w:rPr>
                <w:sz w:val="12"/>
                <w:szCs w:val="12"/>
                <w:color w:val="auto"/>
              </w:rPr>
            </w:pPr>
          </w:p>
        </w:tc>
        <w:tc>
          <w:tcPr>
            <w:tcW w:w="102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620" w:type="dxa"/>
            <w:vAlign w:val="bottom"/>
            <w:gridSpan w:val="3"/>
            <w:vMerge w:val="continue"/>
          </w:tcPr>
          <w:p>
            <w:pPr>
              <w:spacing w:after="0"/>
              <w:rPr>
                <w:sz w:val="15"/>
                <w:szCs w:val="15"/>
                <w:color w:val="auto"/>
              </w:rPr>
            </w:pPr>
          </w:p>
        </w:tc>
        <w:tc>
          <w:tcPr>
            <w:tcW w:w="1520" w:type="dxa"/>
            <w:vAlign w:val="bottom"/>
            <w:gridSpan w:val="6"/>
          </w:tcPr>
          <w:p>
            <w:pPr>
              <w:ind w:left="500"/>
              <w:spacing w:after="0" w:line="158" w:lineRule="exact"/>
              <w:rPr>
                <w:sz w:val="20"/>
                <w:szCs w:val="20"/>
                <w:color w:val="auto"/>
              </w:rPr>
            </w:pPr>
            <w:r>
              <w:rPr>
                <w:rFonts w:ascii="Arial" w:cs="Arial" w:eastAsia="Arial" w:hAnsi="Arial"/>
                <w:sz w:val="14"/>
                <w:szCs w:val="14"/>
                <w:b w:val="1"/>
                <w:bCs w:val="1"/>
                <w:color w:val="auto"/>
              </w:rPr>
              <w:t>adjustments</w:t>
            </w:r>
          </w:p>
        </w:tc>
        <w:tc>
          <w:tcPr>
            <w:tcW w:w="1180" w:type="dxa"/>
            <w:vAlign w:val="bottom"/>
            <w:gridSpan w:val="6"/>
          </w:tcPr>
          <w:p>
            <w:pPr>
              <w:jc w:val="right"/>
              <w:ind w:right="260"/>
              <w:spacing w:after="0" w:line="158" w:lineRule="exact"/>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(20,061</w:t>
            </w:r>
          </w:p>
        </w:tc>
        <w:tc>
          <w:tcPr>
            <w:tcW w:w="260" w:type="dxa"/>
            <w:vAlign w:val="bottom"/>
            <w:tcBorders>
              <w:top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(20,110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7,304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(499)</w:t>
            </w:r>
          </w:p>
        </w:tc>
        <w:tc>
          <w:tcPr>
            <w:tcW w:w="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5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6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w w:val="98"/>
              </w:rPr>
              <w:t>(12,757)</w:t>
            </w:r>
          </w:p>
        </w:tc>
        <w:tc>
          <w:tcPr>
            <w:tcW w:w="4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(361)</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There was no income tax impact related to changes in accumulated other comprehensive income (loss) for the three months ended March 31, 2020 and 2019 due to net operating loss carry-forwards available to offset taxable income and full allowance for deferred tax assets.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illustrates the computation of basic and diluted loss per common share for the three months ended March 31, 2020 and 2019:</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w w:val="93"/>
              </w:rPr>
              <w:t>Three Months Ended</w:t>
            </w:r>
          </w:p>
        </w:tc>
      </w:tr>
      <w:tr>
        <w:trPr>
          <w:trHeight w:val="119"/>
        </w:trPr>
        <w:tc>
          <w:tcPr>
            <w:tcW w:w="59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321"/>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19"/>
        </w:trPr>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9"/>
              </w:rPr>
              <w:t>(In thousands of US dollars,</w:t>
            </w:r>
          </w:p>
        </w:tc>
        <w:tc>
          <w:tcPr>
            <w:tcW w:w="100" w:type="dxa"/>
            <w:vAlign w:val="bottom"/>
          </w:tcPr>
          <w:p>
            <w:pPr>
              <w:spacing w:after="0"/>
              <w:rPr>
                <w:sz w:val="10"/>
                <w:szCs w:val="10"/>
                <w:color w:val="auto"/>
              </w:rPr>
            </w:pPr>
          </w:p>
        </w:tc>
      </w:tr>
      <w:tr>
        <w:trPr>
          <w:trHeight w:val="185"/>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center"/>
              <w:ind w:right="101"/>
              <w:spacing w:after="0"/>
              <w:rPr>
                <w:sz w:val="20"/>
                <w:szCs w:val="20"/>
                <w:color w:val="auto"/>
              </w:rPr>
            </w:pPr>
            <w:r>
              <w:rPr>
                <w:rFonts w:ascii="Arial" w:cs="Arial" w:eastAsia="Arial" w:hAnsi="Arial"/>
                <w:sz w:val="14"/>
                <w:szCs w:val="14"/>
                <w:b w:val="1"/>
                <w:bCs w:val="1"/>
                <w:color w:val="auto"/>
                <w:w w:val="91"/>
              </w:rPr>
              <w:t>except share data)</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(31,078)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(21,555)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7,329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(12,570)</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 and diluted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8"/>
              </w:rPr>
              <w:t>34,893,157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34,194,878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Basic and diluted earnings (loss) per common share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(0.37)</w:t>
            </w:r>
          </w:p>
        </w:tc>
      </w:tr>
      <w:tr>
        <w:trPr>
          <w:trHeight w:val="27"/>
        </w:trPr>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loss per share, as they have an anti-dilutive effect on the calculation:</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6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00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March 31,</w:t>
            </w:r>
          </w:p>
        </w:tc>
        <w:tc>
          <w:tcPr>
            <w:tcW w:w="1060" w:type="dxa"/>
            <w:vAlign w:val="bottom"/>
            <w:tcBorders>
              <w:top w:val="single" w:sz="8" w:color="auto"/>
            </w:tcBorders>
          </w:tcPr>
          <w:p>
            <w:pPr>
              <w:jc w:val="right"/>
              <w:ind w:right="140"/>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60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2,163,845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2,632,300</w:t>
            </w:r>
          </w:p>
        </w:tc>
        <w:tc>
          <w:tcPr>
            <w:tcW w:w="40" w:type="dxa"/>
            <w:vAlign w:val="bottom"/>
            <w:shd w:val="clear" w:color="auto" w:fill="CCEEFF"/>
          </w:tcPr>
          <w:p>
            <w:pPr>
              <w:spacing w:after="0"/>
              <w:rPr>
                <w:sz w:val="18"/>
                <w:szCs w:val="18"/>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729,939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508,943</w:t>
            </w: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the three months ended March 31, 2020 and 2019, 10,144,155 shares and 10,182,542 shares, respectively, of potential common stock from the assumed conversion of Exchangeable Notes were excluded from the computation of diluted loss per share as the effects were anti-dilutive for the periods.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Purchase Agreements and Advances to Suppliers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Company purchases raw materials from a variety of vendors. During the normal course of business, in order to manage manufacturing lead times and help assure adequacy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March 31, 2020 and December 31, 2019, respectively.</w:t>
      </w:r>
    </w:p>
    <w:p>
      <w:pPr>
        <w:spacing w:after="0" w:line="17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Company, from time to time, may make advances in form of prepayments or deposits to suppliers to procure materials to meet its planned production. The Company recorded advances of $5,118 thousand and $6,593 thousand as other current assets as of March 31, 2020 and December 31, 2019,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which continues to spread rapidly in the U.S. and other countries throughout the world. Governmental authorities throughout the world have implemented numerous containment measures, including travel bans and restrictions, quarantines, shelter-in-place orders, and business restrictions and shutdowns, resulting in rapidly changing market and economic conditions.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While the Company experienced some minor disruption in its Power business from assembly and test subcontractors located in China in the first quarter of 2020 as a result of COVID-19, to date its external Display business contractors and sub-contractors have not been materially impacted by the outbreak. Nevertheless, while the future impact on the Company’s business from the COVID-19 pandemic is currently difficult to assess, the significant global macro-economic disruption will adversely affect customer demand for some of its products in the near term. The Company is, however, unable to accurately predict the full impact COVID-19 will have on its future results of operations due to numerous uncertainties, including the severity of the disease, the duration of the outbreak, a potential future recurrence of the outbreak, further containment actions that may be taken by governmental authorities, the impact to the businesses of its customers and suppliers, and other factors.</w:t>
      </w:r>
    </w:p>
    <w:p>
      <w:pPr>
        <w:spacing w:after="0" w:line="17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Company continues to closely monitor and evaluate the nature and scope of the impact on COVID-19 to its business, consolidated results of operations, and financial condition, and may take further actions altering its business operations and managing its costs and liquidity that the Company deems necessary or appropriate to respond to this fast moving and uncertain global health crisis and the resulting global economic consequences.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filed on February 21, 2020 (“2019 Form 10-K”) (including that the impact of the COVID-19 pandemic may also exacerbate the risks discussed therein).</w:t>
      </w:r>
    </w:p>
    <w:p>
      <w:pPr>
        <w:spacing w:after="0" w:line="18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 We have reclassified certain prior year amounts to conform to the current year’s presentation for discontinued operations to reflect the divestiture of our Foundry Services Group business and Fab 4. Unless otherwise stated, information in this section relates to our continuing operations. The consolidated statements of cash flows have not been adjusted to separately disclose cash flows related to discontinued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are a designer and manufacturer of analog and mixed-signal semiconductor platform solutions for communications, IoT applications, consumer, industrial and automotive applications. We provide technology platforms for analog, mixed-signal, power, high voltage, non-volatile memory, and radio frequency applications. We have a proven record with more than 40 years of operating history, a portfolio of approximately 2,950 registered patents and pending applications and extensive engineering and manufacturing process expertise.</w:t>
      </w:r>
    </w:p>
    <w:p>
      <w:pPr>
        <w:spacing w:after="0" w:line="17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On March 30, 2020, we entered into the BTA for the sale of our Foundry Services Group business and Fab 4. The planned divestiture of the Foundry Services Group business and Fab 4 will allow us to strategically shift our operational focus to our standard products business. As a result, the results of the Foundry Services Group were classified as discontinued operations in our consolidated statements of operations and excluded from both continuing operations and segment results for all periods presented. Accordingly, from the first quarter of 2020, we have one reportable segment: our standard products business, together with transitional foundry services associated with our fabrication facility located in Gumi, Korea, known as Fab 3, that it expects to perform for the Buyer for a period of up to three years (the “Transitional Fab 3 Foundry Services”). The Transitional Fab 3 Foundry Services revenue is accounted for at cost prior to the closing of the sale of the Foundry business and Fab 4.</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Our Display Solutions products provide panel display solutions to major suppliers of large and small rigid and flexible panel displays, and mobile, automotive applications and home appliances. Our Display Solutions products include source, gate drivers, timing controllers, and one-chip integrated solutions for LCD (Liquid Crystal Display) and OLED panel displays used in televisions, public displays, monitors notebooks, mobile communications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Power Solutions business line produces power management semiconductor products including discrete and integrated circuit solutions for power management in communications, consumer and industrial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w:t>
      </w:r>
    </w:p>
    <w:p>
      <w:pPr>
        <w:spacing w:after="0" w:line="17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Our wide variety of analog and mixed-signal semiconductor products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6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Net sales of the standard products business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6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such as organic light emitting diodes (OLED). We believe this balanced capital investment strategy enables us to optimize our capital investments and facilitates more diversified product and service offerings.</w:t>
      </w:r>
    </w:p>
    <w:p>
      <w:pPr>
        <w:spacing w:after="0" w:line="16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Since 2007, we have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12-inch foundry from the second half of 2015. This additional source of manufacturing is an increasingly important part of our supply chain management. By outsourcing manufacturing of advanced OLED products to external 12-inch foundries, we are able to dynamically adapt to the changing customer requirements and address growing markets without substantial capital investments by us. Both at the internal 8-inch manufacturing facilities and external 12-inch foundries, we apply our unique OLED process patents as well as other intellectual property, proprietary process design kits and custom design-flow methodologies.</w:t>
      </w:r>
    </w:p>
    <w:p>
      <w:pPr>
        <w:spacing w:after="0" w:line="17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Transfer Agreement</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March 30, 2020, we entered into the BTA for the sale of our Foundry Services Group business and Fab 4 to the Buyer. On the terms and subject to the conditions set forth in the BTA, the Buyer agreed to acquire certain assets and assume certain liabilities related to the Foundry Services Group business and Fab 4 for a purchase price equal to the KRW equivalent of $344.7 million in cash, subject to a working capital adjustment as described in the BTA. Subject to the terms of the BTA, all employees of the Foundry Services Group business and Fab 4 will be transferred to the Buyer as of the closing date, unless any of such employees formally objects to the transfer. The Buyer will assume all severance liabilities relating to the transferred employees. For a summary of the key terms and conditions of the BTA, please see our Current Report on Form 8-K filed on March 31, 2020 and the BTA filed as Exhibit 10.1 thereto.</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which continues to spread rapidly in the U.S. and other countries throughout the world. Governmental authorities throughout the world have implemented numerous containment measures, including travel bans and restrictions, quarantines, shelter-in-place orders, and business restrictions and shutdowns, resulting in rapidly changing market and economic conditions.</w:t>
      </w:r>
    </w:p>
    <w:p>
      <w:pPr>
        <w:spacing w:after="0" w:line="1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While we experienced some minor disruption in our Power business from assembly and test subcontractors located in China in the first quarter of 2020 as a result of COVID-19, to date our external Display business contractors and sub-contractors have not been materially impacted by the outbreak. Nevertheless, while the future impact on our business from the COVID-19 pandemic is currently difficult to assess, the significant global macro-economic disruption will adversely affect customer demand for some of our products in the near term. We are, however, unable to accurately predict the full impact COVID-19 will have on our future results of operations due to numerous uncertainties, including the severity of the disease, the duration of the outbreak, a potential future recurrence of the outbreak, further containment actions that may be taken by governmental authorities, the impact to the businesses of our customers and suppliers, and other factors.</w:t>
      </w:r>
    </w:p>
    <w:p>
      <w:pPr>
        <w:spacing w:after="0" w:line="17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continue to closely monitor and evaluate the nature and scope of the impact on COVID-19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Repurchase of Long-Term Borrowings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January and February 2019, we repurchased a principal amount of $0.3 million and $0.9 million of the 2021 Notes and the Exchangeable Notes, respectively. As a result, we recorded a $0.04 million net loss as early extinguishment loss on our consolidated statements of operations for the three months ended March 31, 2019.</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and Adjusted Net Income (Loss)</w:t>
      </w:r>
    </w:p>
    <w:p>
      <w:pPr>
        <w:spacing w:after="0" w:line="117"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We use the terms Adjusted EBITDA and Adjusted Net Income (Loss) (including on a per share basis) in our report. Adjusted EBITDA, as we define it, is a non-US GAAP measure. We define Adjusted EBITDA for the periods indicated as EBITDA (as defined below), adjusted to exclude</w:t>
      </w:r>
    </w:p>
    <w:p>
      <w:pPr>
        <w:ind w:left="120" w:right="260" w:hanging="4"/>
        <w:spacing w:after="0" w:line="25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and other charges, (ii) equity-based compensation expense, (iii) foreign currency loss (gain), net, (iv) derivative valuation loss (gain), net, (v) loss on early extinguishment of long-term borrowings, net and (vi) others. EBITDA for the periods indicated is defined as net income (loss) before interest expense, net, income tax expense, and depreciation and amortization.</w:t>
      </w:r>
    </w:p>
    <w:p>
      <w:pPr>
        <w:spacing w:after="0" w:line="19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1080" w:right="22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9" w:lineRule="exact"/>
        <w:rPr>
          <w:rFonts w:ascii="Arial" w:cs="Arial" w:eastAsia="Arial" w:hAnsi="Arial"/>
          <w:sz w:val="18"/>
          <w:szCs w:val="18"/>
          <w:color w:val="auto"/>
        </w:rPr>
      </w:pPr>
    </w:p>
    <w:p>
      <w:pPr>
        <w:ind w:left="1080" w:right="420" w:hanging="424"/>
        <w:spacing w:after="0" w:line="286"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70" w:lineRule="exact"/>
        <w:rPr>
          <w:rFonts w:ascii="Arial" w:cs="Arial" w:eastAsia="Arial" w:hAnsi="Arial"/>
          <w:sz w:val="17"/>
          <w:szCs w:val="17"/>
          <w:color w:val="auto"/>
        </w:rPr>
      </w:pPr>
    </w:p>
    <w:p>
      <w:pPr>
        <w:ind w:left="1080" w:right="240" w:hanging="424"/>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38"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(loss) to Adjusted EBITDA from continuing operations, discontinued operations and total operations is as follows: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6"/>
              </w:rPr>
              <w:t>March 31, 2020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6"/>
              </w:rPr>
              <w:t>March 31, 2019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Continuing</w:t>
            </w:r>
          </w:p>
        </w:tc>
        <w:tc>
          <w:tcPr>
            <w:tcW w:w="20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Discontinued</w:t>
            </w: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Continuing</w:t>
            </w:r>
          </w:p>
        </w:tc>
        <w:tc>
          <w:tcPr>
            <w:tcW w:w="20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Discontinued</w:t>
            </w:r>
          </w:p>
        </w:tc>
        <w:tc>
          <w:tcPr>
            <w:tcW w:w="80" w:type="dxa"/>
            <w:vAlign w:val="bottom"/>
          </w:tcPr>
          <w:p>
            <w:pPr>
              <w:spacing w:after="0"/>
              <w:rPr>
                <w:sz w:val="10"/>
                <w:szCs w:val="10"/>
                <w:color w:val="auto"/>
              </w:rPr>
            </w:pPr>
          </w:p>
        </w:tc>
        <w:tc>
          <w:tcPr>
            <w:tcW w:w="5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Operations</w:t>
            </w: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Operations</w:t>
            </w: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b w:val="1"/>
                <w:bCs w:val="1"/>
                <w:color w:val="auto"/>
                <w:w w:val="99"/>
              </w:rPr>
              <w:t>(In millions)</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$(23.7)</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(21.6)</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(34.1)</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charges(a)</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Equity-based compensation expense(b)</w:t>
            </w:r>
          </w:p>
        </w:tc>
        <w:tc>
          <w:tcPr>
            <w:tcW w:w="2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(gain), net(c)</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Derivative valuation loss (gain), net(d)</w:t>
            </w: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long-term borrowings, net(e)</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Others(f)</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$ 23.1</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months ended March 31, 2020, this adjustment eliminates a $2.1 million in professional fees incurred in connection with the Foundry Services Group business and Fab 4. For the three months ended March 31, 2019, this adjustment eliminates the impact of a $2.2 million restructuring related charge with respect to the fab employees. This adjustment also eliminates a $0.7 million legal costs incurred in connection with the Foundry Services Group and Fab 4.</w:t>
      </w:r>
    </w:p>
    <w:p>
      <w:pPr>
        <w:sectPr>
          <w:pgSz w:w="11900" w:h="16838" w:orient="portrait"/>
          <w:cols w:equalWidth="0" w:num="1">
            <w:col w:w="11140"/>
          </w:cols>
          <w:pgMar w:left="320" w:top="459" w:right="439" w:bottom="1440"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40"/>
          </w:cols>
          <w:pgMar w:left="32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with respect to the continuing operations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right="18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eliminates $0.04 million in expenses related to the repurchase of a portion of the 2021 Notes and the Exchangeable Notes in the first quarter of 2019.</w:t>
      </w:r>
    </w:p>
    <w:p>
      <w:pPr>
        <w:ind w:left="540" w:right="140" w:hanging="424"/>
        <w:spacing w:after="0" w:line="25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March 31, 2020, this adjustment eliminates non-recurring professional service fees and expenses incurred in connection with certain treasury and finance initiatives. For the three months ended March 31, 2019, this adjustment eliminates a $0.5 million legal settlement charge related to dispute with a prior customer and a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82" w:lineRule="exact"/>
        <w:rPr>
          <w:rFonts w:ascii="Arial" w:cs="Arial" w:eastAsia="Arial" w:hAnsi="Arial"/>
          <w:sz w:val="18"/>
          <w:szCs w:val="18"/>
          <w:color w:val="auto"/>
        </w:rPr>
      </w:pPr>
    </w:p>
    <w:p>
      <w:pPr>
        <w:ind w:left="560" w:right="160"/>
        <w:spacing w:after="0" w:line="277" w:lineRule="auto"/>
        <w:rPr>
          <w:rFonts w:ascii="Arial" w:cs="Arial" w:eastAsia="Arial" w:hAnsi="Arial"/>
          <w:sz w:val="18"/>
          <w:szCs w:val="18"/>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w:t>
      </w:r>
    </w:p>
    <w:p>
      <w:pPr>
        <w:spacing w:after="0" w:line="67" w:lineRule="exact"/>
        <w:rPr>
          <w:sz w:val="20"/>
          <w:szCs w:val="20"/>
          <w:color w:val="auto"/>
        </w:rPr>
      </w:pPr>
    </w:p>
    <w:p>
      <w:pPr>
        <w:ind w:left="1080" w:right="220" w:hanging="424"/>
        <w:spacing w:after="0" w:line="286"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70"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Adjusted Net Income (Loss) (including on a per share basis)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similar to the adjustments in this presentation. We define Adjusted Net Income (Loss) (including on a per share basis); for the periods indicated as net income (loss), adjusted to exclude (i) restructuring and other charges, (ii) equity-based compensation expense, (iii) foreign currency loss (gain), net, (iv) derivative valuation loss (gain), net, (v) loss on early extinguishment of long-term borrowings, net and (vi) others.</w:t>
      </w:r>
    </w:p>
    <w:p>
      <w:pPr>
        <w:spacing w:after="0" w:line="16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following table summarizes the adjustments to net income (loss) from continuing operations, discontinued operations and total operations that we make in order to calculate Adjusted Net Income (Loss) (including on a per share basis) from continuing operations, discontinued operations and total operations for the periods indicated: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8"/>
          </w:tcPr>
          <w:p>
            <w:pPr>
              <w:jc w:val="center"/>
              <w:ind w:left="633"/>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8"/>
          </w:tcPr>
          <w:p>
            <w:pPr>
              <w:jc w:val="center"/>
              <w:ind w:left="633"/>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6"/>
              </w:rPr>
              <w:t>March 31, 2019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Continuing</w:t>
            </w:r>
          </w:p>
        </w:tc>
        <w:tc>
          <w:tcPr>
            <w:tcW w:w="80" w:type="dxa"/>
            <w:vAlign w:val="bottom"/>
          </w:tcPr>
          <w:p>
            <w:pPr>
              <w:spacing w:after="0"/>
              <w:rPr>
                <w:sz w:val="10"/>
                <w:szCs w:val="10"/>
                <w:color w:val="auto"/>
              </w:rPr>
            </w:pPr>
          </w:p>
        </w:tc>
        <w:tc>
          <w:tcPr>
            <w:tcW w:w="100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Discontinued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Continuing</w:t>
            </w:r>
          </w:p>
        </w:tc>
        <w:tc>
          <w:tcPr>
            <w:tcW w:w="60" w:type="dxa"/>
            <w:vAlign w:val="bottom"/>
          </w:tcPr>
          <w:p>
            <w:pPr>
              <w:spacing w:after="0"/>
              <w:rPr>
                <w:sz w:val="10"/>
                <w:szCs w:val="10"/>
                <w:color w:val="auto"/>
              </w:rPr>
            </w:pPr>
          </w:p>
        </w:tc>
        <w:tc>
          <w:tcPr>
            <w:tcW w:w="10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Discontinued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Operations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Operations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Operations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8"/>
          </w:tcPr>
          <w:p>
            <w:pPr>
              <w:jc w:val="right"/>
              <w:ind w:right="60"/>
              <w:spacing w:after="0" w:line="142" w:lineRule="exact"/>
              <w:rPr>
                <w:sz w:val="20"/>
                <w:szCs w:val="20"/>
                <w:color w:val="auto"/>
              </w:rPr>
            </w:pPr>
            <w:r>
              <w:rPr>
                <w:rFonts w:ascii="Arial" w:cs="Arial" w:eastAsia="Arial" w:hAnsi="Arial"/>
                <w:sz w:val="14"/>
                <w:szCs w:val="14"/>
                <w:b w:val="1"/>
                <w:bCs w:val="1"/>
                <w:color w:val="auto"/>
                <w:w w:val="92"/>
              </w:rPr>
              <w:t>(In millions, except per share data)</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Adjustments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charges(a)</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Equity-based compensation expense(b)</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(gain), net(c)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Derivative valuation loss (gain), net(d)</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Loss on early extinguishment of long-term borrowings,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net(e)</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Others(f)</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40" w:type="dxa"/>
            <w:vAlign w:val="bottom"/>
          </w:tcPr>
          <w:p>
            <w:pPr>
              <w:spacing w:after="0"/>
              <w:rPr>
                <w:sz w:val="20"/>
                <w:szCs w:val="20"/>
                <w:color w:val="auto"/>
              </w:rPr>
            </w:pPr>
            <w:r>
              <w:rPr>
                <w:rFonts w:ascii="Arial" w:cs="Arial" w:eastAsia="Arial" w:hAnsi="Arial"/>
                <w:sz w:val="18"/>
                <w:szCs w:val="18"/>
                <w:color w:val="auto"/>
              </w:rPr>
              <w:t>Reported earnings (loss) per share – 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(0.68)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Reported earnings (loss) per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34,893,157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34,893,157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34,893,157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34,194,878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34,194,878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34,194,878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34,893,157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34,893,157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34,893,157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34,194,878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34,194,878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34,194,878</w:t>
            </w:r>
          </w:p>
        </w:tc>
        <w:tc>
          <w:tcPr>
            <w:tcW w:w="0" w:type="dxa"/>
            <w:vAlign w:val="bottom"/>
          </w:tcPr>
          <w:p>
            <w:pPr>
              <w:spacing w:after="0"/>
              <w:rPr>
                <w:sz w:val="1"/>
                <w:szCs w:val="1"/>
                <w:color w:val="auto"/>
              </w:rPr>
            </w:pPr>
          </w:p>
        </w:tc>
      </w:tr>
      <w:tr>
        <w:trPr>
          <w:trHeight w:val="324"/>
        </w:trPr>
        <w:tc>
          <w:tcPr>
            <w:tcW w:w="4540" w:type="dxa"/>
            <w:vAlign w:val="bottom"/>
          </w:tcPr>
          <w:p>
            <w:pPr>
              <w:spacing w:after="0"/>
              <w:rPr>
                <w:sz w:val="20"/>
                <w:szCs w:val="20"/>
                <w:color w:val="auto"/>
              </w:rPr>
            </w:pPr>
            <w:r>
              <w:rPr>
                <w:rFonts w:ascii="Arial" w:cs="Arial" w:eastAsia="Arial" w:hAnsi="Arial"/>
                <w:sz w:val="18"/>
                <w:szCs w:val="18"/>
                <w:color w:val="auto"/>
              </w:rPr>
              <w:t>Adjusted Net Income (Loss) per share – 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34,893,157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34,893,157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34,893,157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34,194,878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34,194,878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34,194,878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35,883,200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35,883,200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35,883,200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34,194,878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34,194,878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34,194,878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months ended March 31, 2020, this adjustment eliminates a $2.1 million in professional fees incurred in connection with the Foundry Services Group business and Fab 4. For the three months ended March 31, 2019, this adjustment eliminates the impact of a $2.2 million restructuring related charge with respect to the fab employees. This adjustment also eliminates a $0.7 million legal costs incurred in connection with the Foundry Services Group and Fab 4.</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with respect to the continuing operations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65"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right="18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$0.04 million in expenses related to the repurchase of a portion of the 2021 Notes and the Exchangeable Notes in the first quarter of 2019.</w:t>
      </w:r>
    </w:p>
    <w:p>
      <w:pPr>
        <w:ind w:left="540" w:right="140" w:hanging="424"/>
        <w:spacing w:after="0" w:line="25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three months ended March 31, 2020, this adjustment eliminates non-recurring professional service fees and expenses incurred in connection with certain treasury and finance initiatives. For the three months ended March 31, 2019, this adjustment eliminates a $0.5 million legal settlement charge related to dispute with a prior customer and a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82" w:lineRule="exact"/>
        <w:rPr>
          <w:rFonts w:ascii="Arial" w:cs="Arial" w:eastAsia="Arial" w:hAnsi="Arial"/>
          <w:sz w:val="18"/>
          <w:szCs w:val="18"/>
          <w:color w:val="auto"/>
        </w:rPr>
      </w:pPr>
    </w:p>
    <w:p>
      <w:pPr>
        <w:ind w:left="560"/>
        <w:spacing w:after="0" w:line="311" w:lineRule="auto"/>
        <w:rPr>
          <w:rFonts w:ascii="Arial" w:cs="Arial" w:eastAsia="Arial" w:hAnsi="Arial"/>
          <w:sz w:val="18"/>
          <w:szCs w:val="18"/>
          <w:color w:val="auto"/>
        </w:rPr>
      </w:pPr>
      <w:r>
        <w:rPr>
          <w:rFonts w:ascii="Arial" w:cs="Arial" w:eastAsia="Arial" w:hAnsi="Arial"/>
          <w:sz w:val="16"/>
          <w:szCs w:val="16"/>
          <w:color w:val="auto"/>
        </w:rPr>
        <w:t>There was no tax impact from the adjustments to net income (loss) to calculate our Adjusted Net Income (Loss) for the three months ended March 31, 2020 and 2019 due to net operating loss carry-forwards available to offset taxable income and full allowance for deferred tax assets. We believe that all adjustments to net income (loss) used to calculate Adjusted Net Income (Loss) were applied consistently to the periods presented.</w:t>
      </w:r>
    </w:p>
    <w:p>
      <w:pPr>
        <w:spacing w:after="0" w:line="40" w:lineRule="exact"/>
        <w:rPr>
          <w:rFonts w:ascii="Arial" w:cs="Arial" w:eastAsia="Arial" w:hAnsi="Arial"/>
          <w:sz w:val="18"/>
          <w:szCs w:val="18"/>
          <w:color w:val="auto"/>
        </w:rPr>
      </w:pPr>
    </w:p>
    <w:p>
      <w:pPr>
        <w:ind w:left="560" w:right="180"/>
        <w:spacing w:after="0" w:line="277" w:lineRule="auto"/>
        <w:rPr>
          <w:rFonts w:ascii="Arial" w:cs="Arial" w:eastAsia="Arial" w:hAnsi="Arial"/>
          <w:sz w:val="18"/>
          <w:szCs w:val="18"/>
          <w:color w:val="auto"/>
        </w:rPr>
      </w:pPr>
      <w:r>
        <w:rPr>
          <w:rFonts w:ascii="Arial" w:cs="Arial" w:eastAsia="Arial" w:hAnsi="Arial"/>
          <w:sz w:val="18"/>
          <w:szCs w:val="18"/>
          <w:color w:val="auto"/>
        </w:rPr>
        <w:t>Adjusted Net Income (Loss)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Net Income (Loss)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Net Income (Loss)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Net Income (Loss)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(Loss) differently than we do, limiting its usefulness as a comparative measure.</w:t>
      </w:r>
    </w:p>
    <w:p>
      <w:pPr>
        <w:spacing w:after="0" w:line="62"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color w:val="auto"/>
        </w:rPr>
        <w:t>Because of these limitations, Adjusted Net Income (Loss) should not be considered as a measure of profitability of our business. We compensate for these limitations by relying primarily on our US GAAP results and using Adjusted Net Income (Loss) only supplementally.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17"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 xml:space="preserve">Net </w:t>
      </w:r>
      <w:r>
        <w:rPr>
          <w:rFonts w:ascii="Arial" w:cs="Arial" w:eastAsia="Arial" w:hAnsi="Arial"/>
          <w:sz w:val="18"/>
          <w:szCs w:val="18"/>
          <w:b w:val="1"/>
          <w:bCs w:val="1"/>
          <w:i w:val="1"/>
          <w:iCs w:val="1"/>
          <w:color w:val="auto"/>
        </w:rPr>
        <w:t>Sales.</w:t>
      </w:r>
      <w:r>
        <w:rPr>
          <w:rFonts w:ascii="Arial" w:cs="Arial" w:eastAsia="Arial" w:hAnsi="Arial"/>
          <w:sz w:val="18"/>
          <w:szCs w:val="18"/>
          <w:b w:val="1"/>
          <w:bCs w:val="1"/>
          <w:color w:val="auto"/>
        </w:rPr>
        <w:t xml:space="preserve"> </w:t>
      </w:r>
      <w:r>
        <w:rPr>
          <w:rFonts w:ascii="Arial" w:cs="Arial" w:eastAsia="Arial" w:hAnsi="Arial"/>
          <w:sz w:val="18"/>
          <w:szCs w:val="18"/>
          <w:color w:val="auto"/>
        </w:rPr>
        <w:t>We derive substantially all of our sales (net of sales returns and allowances) from our standard products business.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is in the United States, Europe and the Asia Pacific region.</w:t>
      </w:r>
    </w:p>
    <w:p>
      <w:pPr>
        <w:spacing w:after="0" w:line="187"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We recognize revenue when risk and reward of ownership pass to the customer either upon shipment, upon product delivery at the customer’s location or upon customer acceptance, depending on the terms of the arrangement. For the three months ended March 31, 2020 and 2019, we sold products to 135 and 132 customers, respectively, and our net sales to our ten largest customers represented 90% and 88% of our net sales — standard products business, respectively. Our Fab 3 production capacity is approximately 31,000 semiconductor wafers per month. We believe our large-scale, cost-effective fabrication facilities enable us to rapidly adjust our production levels to meet shifts in demand by our end customers.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will provide the Transitional Fab 3 Foundry Services for a period up to three years after the sale of the Foundry Services Group business and Fab 4. For the periods prior to the sale of the Foundry Services Group business and Fab 4 (which is accounted for as a discontinued operation beginning in the first quarter of 2020), revenue derived from the Transitional Fab 3 Foundry Services is recorded at cost in both of our continuing and discontinued operations.</w:t>
      </w:r>
    </w:p>
    <w:p>
      <w:pPr>
        <w:spacing w:after="0" w:line="18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4"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March 31, 2020, approximately 98% of our employees were eligible for severance benefits.</w:t>
      </w:r>
    </w:p>
    <w:p>
      <w:pPr>
        <w:spacing w:after="0" w:line="165"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8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40-nanometer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including Fab 4.</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our 2021 Notes and our Exchangeable Notes.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Impact of Foreign Currency Exchange Rates on Reported Results of Operations. </w:t>
      </w:r>
      <w:r>
        <w:rPr>
          <w:rFonts w:ascii="Arial" w:cs="Arial" w:eastAsia="Arial" w:hAnsi="Arial"/>
          <w:sz w:val="17"/>
          <w:szCs w:val="17"/>
          <w:color w:val="auto"/>
        </w:rPr>
        <w:t>Historically, a portion of our revenues and greater than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March 31, 2020, the outstanding intercompany loan balance including accrued interest between our Korean subsidiary and our Dutch subsidiary was $684.0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a counterparty in a number of circumstances, including if our long-term debt rating falls below B-/B3 or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6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6"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are subject to income- or non-income-based tax examinations by tax authorities of the US, Korea and multiple other foreign jurisdictions, where applicable,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On March 30, 2020, we entered the BTA for the sale of its Foundry Services Group business and our Fab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Buyer. As a result, the results of the Foundry Services Group were classified as discontinued operations in our consolidated statements of operations and excluded from both continuing operations and segment results for all periods presented.</w:t>
      </w:r>
    </w:p>
    <w:p>
      <w:pPr>
        <w:spacing w:after="0" w:line="184"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Comparison of Three Months Ended March 31, 2020 and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three months ended March 31,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4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8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4"/>
                <w:szCs w:val="14"/>
                <w:color w:val="auto"/>
              </w:rPr>
            </w:pPr>
          </w:p>
        </w:tc>
        <w:tc>
          <w:tcPr>
            <w:tcW w:w="22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March 31, 2019</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10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 revenues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$ 110.7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$100.3</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8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2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24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81.6</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67.7</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81.2</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86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91.3</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75.8</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88.2</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19.0</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12.1</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12.0</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charges</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Interest expense</w:t>
            </w:r>
          </w:p>
        </w:tc>
        <w:tc>
          <w:tcPr>
            <w:tcW w:w="10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(4.7)</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3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1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Loss on early extinguishment of long-term borrowings, net</w:t>
            </w:r>
          </w:p>
        </w:tc>
        <w:tc>
          <w:tcPr>
            <w:tcW w:w="100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(0.0)</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(29.7)</w:t>
            </w: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(35.7)</w:t>
            </w:r>
          </w:p>
        </w:tc>
        <w:tc>
          <w:tcPr>
            <w:tcW w:w="13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(20.0)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0.8</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7.3</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(12.6)</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(23.7)</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(34.1)</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rPr>
              <w:t>37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our continuing operations: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6"/>
              </w:rPr>
              <w:t>March 31, 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6"/>
              </w:rPr>
              <w:t>March 31, 2019</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Total Revenues</w:t>
            </w:r>
          </w:p>
        </w:tc>
        <w:tc>
          <w:tcPr>
            <w:tcW w:w="2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Total Revenues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58.2</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19.4</w:t>
            </w:r>
          </w:p>
        </w:tc>
        <w:tc>
          <w:tcPr>
            <w:tcW w:w="0" w:type="dxa"/>
            <w:vAlign w:val="bottom"/>
          </w:tcPr>
          <w:p>
            <w:pPr>
              <w:spacing w:after="0"/>
              <w:rPr>
                <w:sz w:val="1"/>
                <w:szCs w:val="1"/>
                <w:color w:val="auto"/>
              </w:rPr>
            </w:pPr>
          </w:p>
        </w:tc>
      </w:tr>
      <w:tr>
        <w:trPr>
          <w:trHeight w:val="216"/>
        </w:trPr>
        <w:tc>
          <w:tcPr>
            <w:tcW w:w="560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42.0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100.3</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10.5</w:t>
            </w: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7.0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120.5</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107.3</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13.2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6"/>
              </w:rPr>
              <w:t>March 31, 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6"/>
              </w:rPr>
              <w:t>March 31, 2019</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Net sales</w:t>
            </w:r>
          </w:p>
        </w:tc>
        <w:tc>
          <w:tcPr>
            <w:tcW w:w="2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Gross profit – standard products business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3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19.0</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 transitional Fab 3 foundry services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19.0</w:t>
            </w:r>
          </w:p>
        </w:tc>
        <w:tc>
          <w:tcPr>
            <w:tcW w:w="40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Total revenues were $120.5 million for the three months ended March 31, 2020, a $13.2 million, or 12.3%, increased compared to $107.3 million for the three months ended March 31, 2019. This increase was primarily due to an increase in revenue related to our standard products business as described below.</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The standard products business. </w:t>
      </w:r>
      <w:r>
        <w:rPr>
          <w:rFonts w:ascii="Arial" w:cs="Arial" w:eastAsia="Arial" w:hAnsi="Arial"/>
          <w:sz w:val="18"/>
          <w:szCs w:val="18"/>
          <w:color w:val="auto"/>
        </w:rPr>
        <w:t>Net sales from our standard products business were $110.7 million for the three months ended March 31, 2020,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10.5 million, or 10.4%, increased compared to $100.3 million for the three months ended March 31, 2019. This increase was primarily attributable to an increase in revenue related to our mobile OLED display driver ICs due to an increase in new OLED smartphones by Chinese and Korean manufacturers, which were offset in part by lower demand for power products as a result of COVID-19-related supply chain issues and market softness in China, and a strategic reduction of our lower margin LCD business.</w:t>
      </w:r>
    </w:p>
    <w:p>
      <w:pPr>
        <w:spacing w:after="0" w:line="18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The transitional Fab 3 foundry services. </w:t>
      </w:r>
      <w:r>
        <w:rPr>
          <w:rFonts w:ascii="Arial" w:cs="Arial" w:eastAsia="Arial" w:hAnsi="Arial"/>
          <w:sz w:val="18"/>
          <w:szCs w:val="18"/>
          <w:color w:val="auto"/>
        </w:rPr>
        <w:t>Net sales form the transitional Fab 3 foundry services were $9.7 million and $7.0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Total gross profit was $29.1 million for the three months ended March 31, 2020 compared to $19.0 million for the three months ended March 31, 2019, a $10.1 million, or 53.1%, increase. Gross profit as a percentage of net sales for the three months ended March 31, 2020 increased to 24.2% compared to 17.7% for the three months ended March 31, 2019. The increase in gross profit and gross profit as a percentage of net sales was due to our standard products business as further described below.</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b w:val="1"/>
          <w:bCs w:val="1"/>
          <w:i w:val="1"/>
          <w:iCs w:val="1"/>
          <w:color w:val="auto"/>
        </w:rPr>
        <w:t xml:space="preserve">The standard products business. </w:t>
      </w:r>
      <w:r>
        <w:rPr>
          <w:rFonts w:ascii="Arial" w:cs="Arial" w:eastAsia="Arial" w:hAnsi="Arial"/>
          <w:sz w:val="18"/>
          <w:szCs w:val="18"/>
          <w:color w:val="auto"/>
        </w:rPr>
        <w:t>Gross profit from the standard products business was $29.1 million for the three months ended March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represented a $10.1 million, or 53.1%, increase from gross profit of $19.0 million for the three months ended March 31, 2019. Gross profit as a percentage of net sales for the three months ended March 31, 2020 increased to 26.3% compared to 19.0% for the three months ended March 31, 2019. The increase in both gross profit and gross profit margin was primarily attributable to an improved product mix and a decrease in inventory reserve related to a legacy display product.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 – 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 – standard products business by geographic region based on the location to which the products are billed. The following table sets forth our net sales - standard products business by geographic region and the percentage of total net sales - standard products business represented by each geographic region for the three months ended March 31, 2020 and 2019:</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Net Sales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Net Sales –</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standard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standard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products</w:t>
            </w:r>
          </w:p>
        </w:tc>
        <w:tc>
          <w:tcPr>
            <w:tcW w:w="22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business</w:t>
            </w:r>
          </w:p>
        </w:tc>
        <w:tc>
          <w:tcPr>
            <w:tcW w:w="2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business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3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63.7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13.8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110.7</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100.3</w:t>
            </w:r>
          </w:p>
        </w:tc>
        <w:tc>
          <w:tcPr>
            <w:tcW w:w="340" w:type="dxa"/>
            <w:vAlign w:val="bottom"/>
            <w:vMerge w:val="continue"/>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10.5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Net sales – standard products business in Korea for the three months ended March 31, 2020 decreased from $34.6 million to $30.8 million compared to the three months ended March 31, 2019, which represented a decrease of $3.8 million, or 11.1%, primarily due to lower demand for power products such as high-end MOSFETs primarily for TV and smartphone applications, and a strategic reduction of our lower margin LCD business, which was offset in part by an increase in revenue related to our mobile OLED display driver ICs due to an increase in demand for production of new OLED smartphones by Chinese and Korean manufacturers.</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Net sales – standard products business in Asia Pacific (other than Korea) for the three months ended March 31, 2020 increased to $77.5 million from $63.7 million in the three months ended March 31, 2019, which represented an increase of $13.8 million, or 21.6%, primarily due to an increase in revenue related to our mobile OLED display driver ICs due to an increase in demand for production of new OLED smartphones by Chinese and Korean manufacturers, which is offset in part by lower demand for power products as a result of COVID-19-related supply chain issues and market softness in China.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$12.1 million, or 10.0% of total revenues,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2020, compared to $12.0 million, or 11.2% of total revenues, for the three months ended March 31, 2019. The increase of $0.1 million, or 0.5%, was primarily attributable to an increase in legal and consulting service fees and equity-based compensation. This increase was offset in part by a $0.5 million legal settlement charge related to dispute with a prior customer recorded in the first quarter of 2019.</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$10.5 million, or 8.7% of total revenues,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2020, compared to $12.0 million, or 11.2% of total revenues, for the three months ended March 31, 2019. The decrease of $1.5 million, or 12.7%, was primarily attributable to the timing of development activities for our 28-nanometer OLED display driver ICs and a decrease in outside service fees and various overhead expenses.</w:t>
      </w:r>
    </w:p>
    <w:p>
      <w:pPr>
        <w:spacing w:after="0" w:line="187" w:lineRule="exact"/>
        <w:rPr>
          <w:sz w:val="20"/>
          <w:szCs w:val="20"/>
          <w:color w:val="auto"/>
        </w:rPr>
      </w:pPr>
    </w:p>
    <w:p>
      <w:pPr>
        <w:jc w:val="both"/>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Other Charges. </w:t>
      </w:r>
      <w:r>
        <w:rPr>
          <w:rFonts w:ascii="Arial" w:cs="Arial" w:eastAsia="Arial" w:hAnsi="Arial"/>
          <w:sz w:val="18"/>
          <w:szCs w:val="18"/>
          <w:color w:val="auto"/>
        </w:rPr>
        <w:t>Other charges were $0.6 million for the three months ended March 31, 2020, which were consisted of professional service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expenses incurred in connection with certain treasury and finance initiatives.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As a result of the foregoing, operating income of $6.0 million was recorded for the three months ended March 31, 2020 compared to operating loss of $5.1 million the three months ended March 31, 2019. As discussed above, the increase in operating income of $11.0 million resulted primarily from a $10.1 million increase in gross profit and a $1.5 million decrease in research and development expenses.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were $5.6 million and $5.6 million for the three months ended March 31, 2020 and March 31,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Foreign Currency Loss, Net. </w:t>
      </w:r>
      <w:r>
        <w:rPr>
          <w:rFonts w:ascii="Arial" w:cs="Arial" w:eastAsia="Arial" w:hAnsi="Arial"/>
          <w:sz w:val="17"/>
          <w:szCs w:val="17"/>
          <w:color w:val="auto"/>
        </w:rPr>
        <w:t>Net foreign currency loss for the three months ended March 31, 2020 was $31.0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loss of $10.6 million for the three months ended March 31, 2019. The net foreign currency loss for the three months ended March 31, 2020 and March 31, 2019 was due to the depreciation in value of the Korean won relative to the US dollar during the period.</w:t>
      </w:r>
    </w:p>
    <w:p>
      <w:pPr>
        <w:spacing w:after="0" w:line="16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w:t>
      </w:r>
    </w:p>
    <w:p>
      <w:pPr>
        <w:ind w:left="120" w:right="380"/>
        <w:spacing w:after="0" w:line="273" w:lineRule="auto"/>
        <w:rPr>
          <w:sz w:val="20"/>
          <w:szCs w:val="20"/>
          <w:color w:val="auto"/>
        </w:rPr>
      </w:pPr>
      <w:r>
        <w:rPr>
          <w:rFonts w:ascii="Arial" w:cs="Arial" w:eastAsia="Arial" w:hAnsi="Arial"/>
          <w:sz w:val="17"/>
          <w:szCs w:val="17"/>
          <w:color w:val="auto"/>
        </w:rPr>
        <w:t>US dollar. As of March 31, 2020 and March 31, 2019, the outstanding intercompany loan balances including accrued interest between our Korean subsidiary and our Dutch subsidiary were $684 million and $666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Loss on Early Extinguishment of Long-Term Borrowings, Net. </w:t>
      </w:r>
      <w:r>
        <w:rPr>
          <w:rFonts w:ascii="Arial" w:cs="Arial" w:eastAsia="Arial" w:hAnsi="Arial"/>
          <w:sz w:val="18"/>
          <w:szCs w:val="18"/>
          <w:color w:val="auto"/>
        </w:rPr>
        <w:t>For the three months ended March 31, 2019, we repurchased a principal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$0.3 million and $0.9 million of the 2021 Notes and the Exchangeable Notes, respectively. In connection with these repurchases, we recognized a $0.04 million of net loss.</w:t>
      </w:r>
    </w:p>
    <w:p>
      <w:pPr>
        <w:spacing w:after="0" w:line="184"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hedging instruments. Others for the three months ended March 31, 2020 and March 31, 2019 was $0.8 million and $0.6 million,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left="120" w:right="480" w:firstLine="440"/>
        <w:spacing w:after="0" w:line="311" w:lineRule="auto"/>
        <w:rPr>
          <w:sz w:val="20"/>
          <w:szCs w:val="20"/>
          <w:color w:val="auto"/>
        </w:rPr>
      </w:pPr>
      <w:r>
        <w:rPr>
          <w:rFonts w:ascii="Arial" w:cs="Arial" w:eastAsia="Arial" w:hAnsi="Arial"/>
          <w:sz w:val="16"/>
          <w:szCs w:val="16"/>
          <w:color w:val="auto"/>
        </w:rPr>
        <w:t>Income tax expense were $1.3 million and $0.8 million for three months ended March 31, 2020 and 2019, respectively, and were primarily attributable to interest on intercompany loan balances. Income tax expense was recorded for our Korean subsidiary based on the estimated taxable income for the respective periods, combined with its ability to utilize net operating loss carryforwards up to 60% in 2020 and 2019.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As a result of the foregoing, a net loss from continuing operations decreased by $9.5 million for the three months ended March 31, 2020 compared to the three months ended March 31, 2019. As discussed above, the increase in net loss from continuing operations primarily resulted from a $20.4 million increase in net foreign currency loss, which was offset in part by an $11.0 million increase in operating income.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On March 30, 2020, we entered into the BTA for the sale of our Foundry Services Group business and Fab 4. As a result, the results of the Foundry Services Group were classified as discontinued operations in our consolidated statements of operations and excluded from our continuing operations for all periods presented.</w:t>
      </w:r>
    </w:p>
    <w:p>
      <w:pPr>
        <w:spacing w:after="0" w:line="184"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Net income from discontinued operations for the three months ended March 31, 2020 was $7.3 million compared to net loss from discontinued operations of $12.6 million for the three months ended March 31, 2019. The $19.9 million increase in net income from discontinued operations primarily resulted from a $17.0 million increase in gross profit, a $1.5 million increase in foreign currency gain, net, a $0.8 million decrease in restructuring and other charges, a $0.6 million decrease in research and development expenses and a $0.4 million decrease in selling, general and administrative expenses, which was offset in part by a $0.4 million increase in income tax expense.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As a result of the foregoing, a net loss of $23.7 million was recorded for the three months ended March 31, 2020 compared to a net loss of $34.1 million for the three months ended March 31, 2019. As discussed above, the decrease in net loss of $10.4 million primarily resulted from a $19.9 million increase in net income from discontinued operations, which was offset by a $9.5 million increase in net loss from continuing operations.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4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1. Financial Statements and Supplementary Data—Notes to Consolidated Financial Statements—Note 3. Sales of Accounts Receivable and Receivable Discount Program” included elsewhere in this Report. In addition, from time to time, we may make payments to our vendors on extended terms with their consent. As of March 31, 2020, we do not have any accounts payable on extended terms or payment deferment with our vendors.</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March 30, 2020, we entered into the BTA for the sale of our Foundry Services Group business and the Fab 4, which has a purchase price equal to the KRW equivalent of $344.7 million in cash, subject to working capital adjustments set forth in the BTA. The sale is expected to close within approximately four to six months from the date of the BTA, subject to customary closing conditions, whereupon we expect to use a portion of the cash received to repay indebtedness and for general corporate purposes. We currently believe that we will have sufficient cash reserves from cash on hand and expected cash from operations, as well as cash received from the consummation of the BTA, to fund our operations as well as capital expenditures for the next twelve months and the foreseeable future.</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January 17, 2017, we issued an aggregate of $86.3 million in principal amount of our Exchangeable Notes. We may, from time to time, repurchase a portion of our outstanding 2021 Notes and our Exchangeable Notes through open market purchases or privately negotiated transactions subject to prevailing market conditions and our available cash reserves. In December 2018 and February 2019, we repurchased a principal amount equal to $1.6 million $0.9 million, respectively, of the Exchangeable Notes in the open market. As of March 31, 2020, our Exchangeable Notes were reclassified as a current liability as their maturities were less than one year.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Cash inflow provided by operating activities totaled $21.1 million for the three months ended March 31, 2020, compared to $11.7 million of cash outflow used in operating activities for the three months ended March 31, 2019. The net operating cash inflow for the three months ended March 31, 2020 reflects our net loss of $23.7 million, as adjusted favorably by $55.8 million, which mainly consisted of depreciation and amortization, provision for severance benefits and net foreign currency loss, and net unfavorable impact of $11.0 million from changes of operating assets and liabilities.</w:t>
      </w:r>
    </w:p>
    <w:p>
      <w:pPr>
        <w:spacing w:after="0" w:line="15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working capital balance as of March 31, 2020 was $175.5 million compared to $245.5 million as of December 31, 2019. The $70.0 million decrease was primarily attributable to a reclassification of $82.3 million for our Exchangeable Notes, which was recorded as a current portion of long-term borrowings, net in the first quarter of 2020, as the maturity is less than one year. This decrease was offset in part by a $13.5 million increase in accounts receivable, net.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Cash outflow used in investing activities totaled $7.1 million for the three months ended March 31, 2020, compared to $9.8 million of cash outflow used in investing activities for the three months ended March 31, 2019. The $2.7 million decrease was primarily attributable to a $7.9 million decrease in purchase of plant, property and equipment, which was offset in part by a $5.8 million net increase in hedge collateral.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Cash outflow used in financing activities totaled $1.2 million for the three months ended March 31, 2020, compared to $3.7 million of cash outflow used in financing activities for the three months ended March 31, 2019. The financing cash outflow for the three months ended March 31, 2020 was primarily attributable to a payment of $1.0 million for the repurchase of our common stock to satisfy tax withholding obligation in connection with the vesting of restricted stock units. The financing cash outflow for the three months ended March 31, 2019 was primarily attributable to a payment of $1.2 million for the repurchases of 2021 Notes and Exchangeable Notes in the first quarter of 2019 and a payment of $2.4 million for the repurchases of our common stock in January 2019 pursuant to our stock repurchase plan.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firstLine="440"/>
        <w:spacing w:after="0" w:line="342" w:lineRule="auto"/>
        <w:rPr>
          <w:sz w:val="20"/>
          <w:szCs w:val="20"/>
          <w:color w:val="auto"/>
        </w:rPr>
      </w:pPr>
      <w:r>
        <w:rPr>
          <w:rFonts w:ascii="Arial" w:cs="Arial" w:eastAsia="Arial" w:hAnsi="Arial"/>
          <w:sz w:val="16"/>
          <w:szCs w:val="16"/>
          <w:color w:val="auto"/>
        </w:rPr>
        <w:t>For additional cash flow information associated with our discontinued operation, please see “Item 1. Financial Statements and Supplementary Data – Notes to Consolidated Financial Statements – Note 2 – Discontinued Operations and Assets Held for Sale” included elsewhere in this Report.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routinely make capital expenditures for fabrication facility maintenance, enhancement of our existing facilities and reinforcement of our global research and development capability. For the three months ended March 31, 2020, capital expenditures for plant, property and equipment were</w:t>
      </w:r>
    </w:p>
    <w:p>
      <w:pPr>
        <w:ind w:left="120" w:right="340"/>
        <w:spacing w:after="0" w:line="255" w:lineRule="auto"/>
        <w:rPr>
          <w:sz w:val="20"/>
          <w:szCs w:val="20"/>
          <w:color w:val="auto"/>
        </w:rPr>
      </w:pPr>
      <w:r>
        <w:rPr>
          <w:rFonts w:ascii="Arial" w:cs="Arial" w:eastAsia="Arial" w:hAnsi="Arial"/>
          <w:sz w:val="18"/>
          <w:szCs w:val="18"/>
          <w:color w:val="auto"/>
        </w:rPr>
        <w:t>$3.4 million, a $7.9 million, or 70.1%, decrease from $11.2 million for the three months ended March 31, 2019. The decrease was mainly due to the timing of our equipment deployment. The capital expenditures for the three months ended March 31, 2020 and 2019 were related to meeting our customer demand, and supporting technology and facility improvement at our fabrication facilities.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our contractual obligations as of March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rPr>
              <w:t>Payments Due by Period</w:t>
            </w: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jc w:val="right"/>
              <w:ind w:right="35"/>
              <w:spacing w:after="0" w:line="119" w:lineRule="exact"/>
              <w:rPr>
                <w:sz w:val="20"/>
                <w:szCs w:val="20"/>
                <w:color w:val="auto"/>
              </w:rPr>
            </w:pPr>
            <w:r>
              <w:rPr>
                <w:rFonts w:ascii="Arial" w:cs="Arial" w:eastAsia="Arial" w:hAnsi="Arial"/>
                <w:sz w:val="13"/>
                <w:szCs w:val="13"/>
                <w:b w:val="1"/>
                <w:bCs w:val="1"/>
                <w:color w:val="auto"/>
              </w:rPr>
              <w:t>Remainder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66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rPr>
              <w:t>of</w:t>
            </w:r>
          </w:p>
        </w:tc>
        <w:tc>
          <w:tcPr>
            <w:tcW w:w="7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7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6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2023</w:t>
            </w:r>
          </w:p>
        </w:tc>
        <w:tc>
          <w:tcPr>
            <w:tcW w:w="6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2024</w:t>
            </w:r>
          </w:p>
        </w:tc>
        <w:tc>
          <w:tcPr>
            <w:tcW w:w="8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Notes(1)</w:t>
            </w:r>
          </w:p>
        </w:tc>
        <w:tc>
          <w:tcPr>
            <w:tcW w:w="2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$ 87.9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$ 85.8</w:t>
            </w:r>
          </w:p>
        </w:tc>
        <w:tc>
          <w:tcPr>
            <w:tcW w:w="7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Senior notes(2)</w:t>
            </w:r>
          </w:p>
        </w:tc>
        <w:tc>
          <w:tcPr>
            <w:tcW w:w="2400" w:type="dxa"/>
            <w:vAlign w:val="bottom"/>
            <w:gridSpan w:val="2"/>
          </w:tcPr>
          <w:p>
            <w:pPr>
              <w:jc w:val="right"/>
              <w:ind w:right="48"/>
              <w:spacing w:after="0"/>
              <w:rPr>
                <w:sz w:val="20"/>
                <w:szCs w:val="20"/>
                <w:color w:val="auto"/>
              </w:rPr>
            </w:pPr>
            <w:r>
              <w:rPr>
                <w:rFonts w:ascii="Arial" w:cs="Arial" w:eastAsia="Arial" w:hAnsi="Arial"/>
                <w:sz w:val="18"/>
                <w:szCs w:val="18"/>
                <w:color w:val="auto"/>
              </w:rPr>
              <w:t>246.5</w:t>
            </w:r>
          </w:p>
        </w:tc>
        <w:tc>
          <w:tcPr>
            <w:tcW w:w="280" w:type="dxa"/>
            <w:vAlign w:val="bottom"/>
          </w:tcPr>
          <w:p>
            <w:pPr>
              <w:spacing w:after="0"/>
              <w:rPr>
                <w:sz w:val="18"/>
                <w:szCs w:val="18"/>
                <w:color w:val="auto"/>
              </w:rPr>
            </w:pP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7.4</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239.1</w:t>
            </w: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leases(3)</w:t>
            </w:r>
          </w:p>
        </w:tc>
        <w:tc>
          <w:tcPr>
            <w:tcW w:w="2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0.0</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Finance leases(3)</w:t>
            </w:r>
          </w:p>
        </w:tc>
        <w:tc>
          <w:tcPr>
            <w:tcW w:w="2400" w:type="dxa"/>
            <w:vAlign w:val="bottom"/>
            <w:gridSpan w:val="2"/>
          </w:tcPr>
          <w:p>
            <w:pPr>
              <w:jc w:val="right"/>
              <w:ind w:right="48"/>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 Services(3)(4)</w:t>
            </w:r>
          </w:p>
        </w:tc>
        <w:tc>
          <w:tcPr>
            <w:tcW w:w="2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Others(5)</w:t>
            </w:r>
          </w:p>
        </w:tc>
        <w:tc>
          <w:tcPr>
            <w:tcW w:w="2400" w:type="dxa"/>
            <w:vAlign w:val="bottom"/>
            <w:gridSpan w:val="2"/>
          </w:tcPr>
          <w:p>
            <w:pPr>
              <w:jc w:val="right"/>
              <w:ind w:right="48"/>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7.5</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0.0</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0.0</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160" w:hanging="424"/>
        <w:spacing w:after="0" w:line="25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payments as well as $83.7 million aggregate principal amount of the Exchangeable Notes outstanding as of March 31, 2020, which bear interest at a rate of 5.0% per annum and are scheduled to mature in 2021 if not earlier exchanged at the price of approximately $8.26 per share of common stock.</w:t>
      </w:r>
    </w:p>
    <w:p>
      <w:pPr>
        <w:spacing w:after="0" w:line="2"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payments as well as $224.3 million aggregate principal amount of the 2021 Notes outstanding as of March 31, 2020, which bear interest at a rate of 6.625% per annum and are scheduled to mature in 2021 if not earlier redeemed.</w:t>
      </w: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1,222.6:1, the exchange rate as of March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for our fabrication facility in Gumi, Korea based on the contractual terms.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license agreements, funding obligations for the accrued severance benefits and other contractual obligations.</w:t>
      </w:r>
    </w:p>
    <w:p>
      <w:pPr>
        <w:spacing w:after="0" w:line="21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1. Financial Statements and Supplementary Data—Notes to Consolidated Financial Statements—Note 11. Borrowings” in this Report. Those covenants are subject to a number of exceptions and qualifications. Certain of those restrictive covenants will terminate if the Exchangeable Notes or the 2021 Notes are rated investment grade at any time.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lease office space and equipment under various operating lease agreements that expire through 2023.</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party to an arrangement for the water treatment facility in Gumi, Korea, which includes a 10-year service agreement.</w:t>
      </w:r>
    </w:p>
    <w:p>
      <w:pPr>
        <w:spacing w:after="0" w:line="22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Beginning in July 2018, we have contributed a certain percentage of severance benefits, accrued for eligible employees for their services beginning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these severance insurance deposit accounts from our accrued severance benefits. As of March 31, 2020, our accrued severance benefits totaled $48.8 million and cumulative contributions to these severance insurance deposit accounts amounted to $1.6 million. Our related cash payments for future contributions are $3.3 million for the remaining period of 2020, to the extent that our obligations are contractual, fixed and reasonably estimable.</w:t>
      </w:r>
    </w:p>
    <w:p>
      <w:pPr>
        <w:spacing w:after="0" w:line="16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follow US GAAP guidance on uncertain tax positions. Our unrecognized tax benefits totaled $0.4 million as of March 31, 2020. These unrecognized tax benefits have been excluded from the above table because we cannot estimate the period of cash settlement with the respective taxing authorities.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2020, we did not have any off-balance sheet arrangements, as defined in Item 303(a)(4)(ii) of Regulation S-K.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2019, or our 2019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 description of our critical accounting policies that involve significant management judgement appears in our 2019 Form 10-K, under “Management’s Discussion and Analysis of Financial Conditions and Reports of Operations—Critical Accounting Policies and Estimates.” There have been no material changes in the matters for which we make accounting estimates in the preparation of our consolidated financial statements for the three months ended March 31, 2020, except for those related to discontinued operations as a result of changes in reporting that relate to the sale of the Foundry Services Group business and Fab 4.</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Discontinued Operations. </w:t>
      </w:r>
      <w:r>
        <w:rPr>
          <w:rFonts w:ascii="Arial" w:cs="Arial" w:eastAsia="Arial" w:hAnsi="Arial"/>
          <w:sz w:val="16"/>
          <w:szCs w:val="16"/>
          <w:color w:val="auto"/>
        </w:rPr>
        <w:t>We review the presentation of the planned disposition of the Foundry Services Group business and Fab 4 based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information and events that have occurred. The review consists of evaluating whether the disposition meets the definition of a component for which the operations and cash flows are clearly distinguishable from the other components of the business, and if so, whether it is anticipated that after the disposal the cash flows of the component would be eliminated from continuing operations and whether the disposition represents a strategic shift that has a major effect on operations and financial results. In addition, we evaluate whether the Foundry Services Group business and Fab 4 have met the criteria as assets held for sale. In order for a planned disposition to be classified as assets held for sale, the established criteria must be met as of the reporting date, including an active program to market the sale and the expected disposition of within one year.</w:t>
      </w:r>
    </w:p>
    <w:p>
      <w:pPr>
        <w:spacing w:after="0" w:line="166"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Foundry Services Group business and Fab 4 is presented as discontinued operations beginning in the first quarter 2020 since all the criteria described above are met. For a divestiture that qualifies as a discontinued operation, all comparative periods presented are reclassified in the consolidated balance sheet. Additionally, the results of operations of a discontinued operation are reclassified to income or loss from discontinued operations, net of tax, for all periods presented. See “Item 1. Financial Statements and Supplementary Data – Notes to Consolidated Financial Statements – Note 2 - Discontinued Operations and Assets Held for Sale” for additional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Recent </w:t>
      </w:r>
      <w:r>
        <w:rPr>
          <w:rFonts w:ascii="Arial" w:cs="Arial" w:eastAsia="Arial" w:hAnsi="Arial"/>
          <w:sz w:val="18"/>
          <w:szCs w:val="18"/>
          <w:b w:val="1"/>
          <w:bCs w:val="1"/>
          <w:color w:val="auto"/>
        </w:rPr>
        <w:t>Accounting</w:t>
      </w:r>
      <w:r>
        <w:rPr>
          <w:rFonts w:ascii="Arial" w:cs="Arial" w:eastAsia="Arial" w:hAnsi="Arial"/>
          <w:sz w:val="18"/>
          <w:szCs w:val="18"/>
          <w:b w:val="1"/>
          <w:bCs w:val="1"/>
          <w:i w:val="1"/>
          <w:iCs w:val="1"/>
          <w:color w:val="auto"/>
        </w:rPr>
        <w:t xml:space="preserve"> Pronouncements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exposure to foreign currency exchange rate fluctuations on net income from our subsidiaries denominated in currencies other than</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31, 2020 for our Korean subsidiary, a 10% devaluation of the Korean won against the US dollar would have resulted in a decrease of $0.2 million in our US dollar financial instruments and cash balances.</w:t>
      </w:r>
    </w:p>
    <w:p>
      <w:pPr>
        <w:spacing w:after="0" w:line="19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See “Note 9.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Exposures</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As of March 31, 2020, $83.74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March 31, 2020, $224.25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interest rate risk related to the Exchangeable Notes and the 2021 Notes.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disclosure.</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the preparation of this Report, we carried out an evaluation under the supervision of and with the participation of our management, including our Chief Executive Officer and Principal Financial Officer, as of March 31, 2020, of the effectiveness of the design and operation of our disclosure controls and procedures, as such term is defined in Rules 13a-15(e) and 15d-15(e) under the Exchange Act. Based upon this evaluation, our Chief Executive Officer and Principal Financial Officer concluded that our disclosure controls and procedures were effective as of March 31,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2020 that have materially affected, or are reasonably likely to materially affect, our internal control over financial reporting.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9"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37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discussion of legal proceedings, see “Part I: Item 3. Legal Proceedings” of our 2019 Form 10-K.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“Part I: Item 1A. Risk Factors” and Note 18 of our 2019 Form 10-K for additional information.</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2019 Form</w:t>
      </w:r>
    </w:p>
    <w:p>
      <w:pPr>
        <w:ind w:left="120"/>
        <w:spacing w:after="0" w:line="255" w:lineRule="auto"/>
        <w:rPr>
          <w:sz w:val="20"/>
          <w:szCs w:val="20"/>
          <w:color w:val="auto"/>
        </w:rPr>
      </w:pPr>
      <w:r>
        <w:rPr>
          <w:rFonts w:ascii="Arial" w:cs="Arial" w:eastAsia="Arial" w:hAnsi="Arial"/>
          <w:sz w:val="18"/>
          <w:szCs w:val="18"/>
          <w:color w:val="auto"/>
        </w:rPr>
        <w:t>10-K (including that the impact of the COVID-19 pandemic may also exacerbate the risks discussed therein), herein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29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and prospects may be materially and adversely affected by the recent COVID-19 pandemic.</w:t>
      </w:r>
    </w:p>
    <w:p>
      <w:pPr>
        <w:spacing w:after="0" w:line="6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COVID-19, a virus causing potentially deadly respiratory tract infections, which has spread rapidly and enveloped most of the world, is a global public health crisis. On March 11, 2020, the World Health Organization characterized the COVID-19 outbreak as a pandemic. Governments in affected countries are imposing travel bans, quarantines and other emergency public health measures. In response to the virus, national and local governments in numerous countries around the world have implemented substantial lockdown measures, and other countries and local governments may enact similar policies. Private sector companies are also taking precautionary measures, such as requiring employees to work remotely, imposing travel restrictions and temporarily closing businesses and facilities. These restrictions, and future prevention and mitigation measures, are likely to have an adverse impact on global economic conditions, which could materially adversely affect our future operations. Uncertainties regarding the economic impact of the COVID-19 outbreak are likely to result in sustained market turmoil, which could also negatively impact our business, financial condition and cash flows.</w:t>
      </w:r>
    </w:p>
    <w:p>
      <w:pPr>
        <w:spacing w:after="0" w:line="19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These measures have impacted and may further impact our workforce and operations, the operations of our customers, and those of our respective vendors, suppliers, and partners. The disruptions to our operations caused by the COVID-19 outbreak may result in inefficiencies, delays and additional costs in our research and development, sales and marketing, and customer service efforts that we cannot fully mitigate through remote or other alternative work arrangements. Also, some suppliers of materials used in the production of our products may be located in areas that have been or will be more severely impacted by COVID-19, which could limit our ability to obtain sufficient materials for our products. In addition, the severe global economic disruption caused by COVID-19 may cause our customers and end-users of our products to suffer significant economic hardship, which could result in decreased demand for our products in the future and materially adversely affect our business, results of operations, financial condition (including liquidity) and prospects.</w:t>
      </w:r>
    </w:p>
    <w:p>
      <w:pPr>
        <w:spacing w:after="0" w:line="178"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The impact of the COVID-19 pandemic continues to evolve and its duration and ultimate disruption on our customers, end-users, overall demand for our products, supply chain, and the related financial impact to us, cannot be estimated at this time. Should such disruption continue for an extended period of time, the impact could have a more severe adverse effect on our business, results of operations and financial condition (including liquidity).</w:t>
      </w:r>
    </w:p>
    <w:p>
      <w:pPr>
        <w:spacing w:after="0" w:line="2"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Additionally, weaker economic conditions generally could result in impairment in value of our tangible or intangible assets, or our ability to raise additional capital, if needed.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3780" w:type="dxa"/>
            <w:vAlign w:val="bottom"/>
            <w:gridSpan w:val="5"/>
          </w:tcPr>
          <w:p>
            <w:pPr>
              <w:ind w:left="160"/>
              <w:spacing w:after="0"/>
              <w:rPr>
                <w:sz w:val="20"/>
                <w:szCs w:val="20"/>
                <w:color w:val="auto"/>
              </w:rPr>
            </w:pPr>
            <w:r>
              <w:rPr>
                <w:rFonts w:ascii="Arial" w:cs="Arial" w:eastAsia="Arial" w:hAnsi="Arial"/>
                <w:sz w:val="18"/>
                <w:szCs w:val="18"/>
                <w:b w:val="1"/>
                <w:bCs w:val="1"/>
                <w:color w:val="auto"/>
              </w:rPr>
              <w:t>Exhibits.</w:t>
            </w: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20" w:type="dxa"/>
            <w:vAlign w:val="bottom"/>
          </w:tcPr>
          <w:p>
            <w:pPr>
              <w:spacing w:after="0"/>
              <w:rPr>
                <w:sz w:val="24"/>
                <w:szCs w:val="2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0" w:type="dxa"/>
            <w:vAlign w:val="bottom"/>
            <w:gridSpan w:val="11"/>
          </w:tcPr>
          <w:p>
            <w:pPr>
              <w:spacing w:after="0"/>
              <w:rPr>
                <w:rFonts w:ascii="Arial" w:cs="Arial" w:eastAsia="Arial" w:hAnsi="Arial"/>
                <w:sz w:val="18"/>
                <w:szCs w:val="18"/>
                <w:color w:val="0000EE"/>
                <w:w w:val="93"/>
              </w:rPr>
            </w:pPr>
            <w:hyperlink r:id="rId69">
              <w:r>
                <w:rPr>
                  <w:rFonts w:ascii="Arial" w:cs="Arial" w:eastAsia="Arial" w:hAnsi="Arial"/>
                  <w:sz w:val="18"/>
                  <w:szCs w:val="18"/>
                  <w:color w:val="0000EE"/>
                  <w:w w:val="93"/>
                </w:rPr>
                <w:t>Separation Agreement, dated as of March 26, 2020 among MagnaChip Semiconductor, Ltd. (Korea), MagnaChip Semiconductor</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0" w:type="dxa"/>
            <w:vAlign w:val="bottom"/>
            <w:gridSpan w:val="11"/>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Corporation and Jonathan W. Kim. (incorporated by reference to Exhibit 10.1 to our Current Report on Form 8-K filed on March 27,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ind w:left="260"/>
              <w:spacing w:after="0" w:line="196" w:lineRule="exact"/>
              <w:rPr>
                <w:rFonts w:ascii="Arial" w:cs="Arial" w:eastAsia="Arial" w:hAnsi="Arial"/>
                <w:sz w:val="18"/>
                <w:szCs w:val="18"/>
                <w:color w:val="0000EE"/>
                <w:w w:val="86"/>
              </w:rPr>
            </w:pPr>
            <w:hyperlink r:id="rId69">
              <w:r>
                <w:rPr>
                  <w:rFonts w:ascii="Arial" w:cs="Arial" w:eastAsia="Arial" w:hAnsi="Arial"/>
                  <w:sz w:val="18"/>
                  <w:szCs w:val="18"/>
                  <w:color w:val="0000EE"/>
                  <w:w w:val="86"/>
                </w:rPr>
                <w:t>2020).</w:t>
              </w:r>
            </w:hyperlink>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0" w:type="dxa"/>
            <w:vAlign w:val="bottom"/>
            <w:gridSpan w:val="11"/>
          </w:tcPr>
          <w:p>
            <w:pPr>
              <w:spacing w:after="0"/>
              <w:rPr>
                <w:rFonts w:ascii="Arial" w:cs="Arial" w:eastAsia="Arial" w:hAnsi="Arial"/>
                <w:sz w:val="18"/>
                <w:szCs w:val="18"/>
                <w:color w:val="0000EE"/>
                <w:w w:val="97"/>
              </w:rPr>
            </w:pPr>
            <w:hyperlink r:id="rId70">
              <w:r>
                <w:rPr>
                  <w:rFonts w:ascii="Arial" w:cs="Arial" w:eastAsia="Arial" w:hAnsi="Arial"/>
                  <w:sz w:val="18"/>
                  <w:szCs w:val="18"/>
                  <w:color w:val="0000EE"/>
                  <w:w w:val="97"/>
                </w:rPr>
                <w:t>Business Transfer Agreement, dated as of March 31, 2020 among by and among Magnus Semiconductor, LLC, MagnaChip</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3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0" w:type="dxa"/>
            <w:vAlign w:val="bottom"/>
            <w:gridSpan w:val="11"/>
          </w:tcPr>
          <w:p>
            <w:pPr>
              <w:spacing w:after="0" w:line="196" w:lineRule="exact"/>
              <w:rPr>
                <w:rFonts w:ascii="Arial" w:cs="Arial" w:eastAsia="Arial" w:hAnsi="Arial"/>
                <w:sz w:val="18"/>
                <w:szCs w:val="18"/>
                <w:color w:val="0000EE"/>
                <w:w w:val="96"/>
              </w:rPr>
            </w:pPr>
            <w:hyperlink r:id="rId70">
              <w:r>
                <w:rPr>
                  <w:rFonts w:ascii="Arial" w:cs="Arial" w:eastAsia="Arial" w:hAnsi="Arial"/>
                  <w:sz w:val="18"/>
                  <w:szCs w:val="18"/>
                  <w:color w:val="0000EE"/>
                  <w:w w:val="96"/>
                </w:rPr>
                <w:t>Semiconductor S.A. and MagnaChip Semiconductor, Ltd. (incorporated by reference to Exhibit 10.1 to our Current Report on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70">
              <w:r>
                <w:rPr>
                  <w:rFonts w:ascii="Arial" w:cs="Arial" w:eastAsia="Arial" w:hAnsi="Arial"/>
                  <w:sz w:val="18"/>
                  <w:szCs w:val="18"/>
                  <w:color w:val="0000EE"/>
                  <w:w w:val="94"/>
                </w:rPr>
                <w:t>Form 8-K filed on March 31, 2020)</w:t>
              </w:r>
            </w:hyperlink>
          </w:p>
        </w:tc>
        <w:tc>
          <w:tcPr>
            <w:tcW w:w="9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40" w:type="dxa"/>
            <w:vAlign w:val="bottom"/>
            <w:gridSpan w:val="2"/>
          </w:tcPr>
          <w:p>
            <w:pPr>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gridSpan w:val="4"/>
          </w:tcPr>
          <w:p>
            <w:pPr>
              <w:spacing w:after="0"/>
              <w:rPr>
                <w:rFonts w:ascii="Arial" w:cs="Arial" w:eastAsia="Arial" w:hAnsi="Arial"/>
                <w:sz w:val="18"/>
                <w:szCs w:val="18"/>
                <w:u w:val="single" w:color="auto"/>
                <w:color w:val="0000EE"/>
                <w:w w:val="92"/>
              </w:rPr>
            </w:pPr>
            <w:hyperlink w:anchor="page50">
              <w:r>
                <w:rPr>
                  <w:rFonts w:ascii="Arial" w:cs="Arial" w:eastAsia="Arial" w:hAnsi="Arial"/>
                  <w:sz w:val="18"/>
                  <w:szCs w:val="18"/>
                  <w:u w:val="single" w:color="auto"/>
                  <w:color w:val="0000EE"/>
                  <w:w w:val="92"/>
                </w:rPr>
                <w:t>Certification pursuant to Rule 13a-14(a) or Rule</w:t>
              </w:r>
            </w:hyperlink>
          </w:p>
        </w:tc>
        <w:tc>
          <w:tcPr>
            <w:tcW w:w="6080" w:type="dxa"/>
            <w:vAlign w:val="bottom"/>
            <w:gridSpan w:val="7"/>
          </w:tcPr>
          <w:p>
            <w:pPr>
              <w:ind w:left="20"/>
              <w:spacing w:after="0"/>
              <w:rPr>
                <w:rFonts w:ascii="Arial" w:cs="Arial" w:eastAsia="Arial" w:hAnsi="Arial"/>
                <w:sz w:val="18"/>
                <w:szCs w:val="18"/>
                <w:u w:val="single" w:color="auto"/>
                <w:color w:val="0000EE"/>
                <w:w w:val="94"/>
              </w:rPr>
            </w:pPr>
            <w:hyperlink w:anchor="page50">
              <w:r>
                <w:rPr>
                  <w:rFonts w:ascii="Arial" w:cs="Arial" w:eastAsia="Arial" w:hAnsi="Arial"/>
                  <w:sz w:val="18"/>
                  <w:szCs w:val="18"/>
                  <w:u w:val="single" w:color="auto"/>
                  <w:color w:val="0000EE"/>
                  <w:w w:val="94"/>
                </w:rPr>
                <w:t>15d-14(a) of the Securities Exchange Act of 1934 of the Chief Executive Officer.</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gridSpan w:val="4"/>
          </w:tcPr>
          <w:p>
            <w:pPr>
              <w:spacing w:after="0"/>
              <w:rPr>
                <w:rFonts w:ascii="Arial" w:cs="Arial" w:eastAsia="Arial" w:hAnsi="Arial"/>
                <w:sz w:val="18"/>
                <w:szCs w:val="18"/>
                <w:u w:val="single" w:color="auto"/>
                <w:color w:val="0000EE"/>
                <w:w w:val="92"/>
              </w:rPr>
            </w:pPr>
            <w:hyperlink w:anchor="page51">
              <w:r>
                <w:rPr>
                  <w:rFonts w:ascii="Arial" w:cs="Arial" w:eastAsia="Arial" w:hAnsi="Arial"/>
                  <w:sz w:val="18"/>
                  <w:szCs w:val="18"/>
                  <w:u w:val="single" w:color="auto"/>
                  <w:color w:val="0000EE"/>
                  <w:w w:val="92"/>
                </w:rPr>
                <w:t>Certification pursuant to Rule 13a-14(a) or Rule</w:t>
              </w:r>
            </w:hyperlink>
          </w:p>
        </w:tc>
        <w:tc>
          <w:tcPr>
            <w:tcW w:w="6080" w:type="dxa"/>
            <w:vAlign w:val="bottom"/>
            <w:gridSpan w:val="7"/>
          </w:tcPr>
          <w:p>
            <w:pPr>
              <w:ind w:left="20"/>
              <w:spacing w:after="0"/>
              <w:rPr>
                <w:rFonts w:ascii="Arial" w:cs="Arial" w:eastAsia="Arial" w:hAnsi="Arial"/>
                <w:sz w:val="18"/>
                <w:szCs w:val="18"/>
                <w:color w:val="0000EE"/>
                <w:w w:val="91"/>
              </w:rPr>
            </w:pPr>
            <w:hyperlink w:anchor="page51">
              <w:r>
                <w:rPr>
                  <w:rFonts w:ascii="Arial" w:cs="Arial" w:eastAsia="Arial" w:hAnsi="Arial"/>
                  <w:sz w:val="18"/>
                  <w:szCs w:val="18"/>
                  <w:u w:val="single" w:color="auto"/>
                  <w:color w:val="0000EE"/>
                  <w:w w:val="91"/>
                </w:rPr>
                <w:t>15d-14(a) of the Securities Exchange Act of 1934 of the Principal Financial Officer</w:t>
              </w:r>
              <w:r>
                <w:rPr>
                  <w:rFonts w:ascii="Arial" w:cs="Arial" w:eastAsia="Arial" w:hAnsi="Arial"/>
                  <w:sz w:val="18"/>
                  <w:szCs w:val="18"/>
                  <w:color w:val="0000EE"/>
                  <w:w w:val="91"/>
                </w:rPr>
                <w:t>.</w:t>
              </w:r>
            </w:hyperlink>
          </w:p>
        </w:tc>
        <w:tc>
          <w:tcPr>
            <w:tcW w:w="0" w:type="dxa"/>
            <w:vAlign w:val="bottom"/>
          </w:tcPr>
          <w:p>
            <w:pPr>
              <w:spacing w:after="0"/>
              <w:rPr>
                <w:sz w:val="1"/>
                <w:szCs w:val="1"/>
                <w:color w:val="auto"/>
              </w:rPr>
            </w:pPr>
          </w:p>
        </w:tc>
      </w:tr>
      <w:tr>
        <w:trPr>
          <w:trHeight w:val="283"/>
        </w:trPr>
        <w:tc>
          <w:tcPr>
            <w:tcW w:w="920" w:type="dxa"/>
            <w:vAlign w:val="bottom"/>
            <w:gridSpan w:val="3"/>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6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20" w:type="dxa"/>
            <w:vAlign w:val="bottom"/>
            <w:gridSpan w:val="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Executive Officer</w:t>
              </w:r>
              <w:r>
                <w:rPr>
                  <w:rFonts w:ascii="Arial" w:cs="Arial" w:eastAsia="Arial" w:hAnsi="Arial"/>
                  <w:sz w:val="18"/>
                  <w:szCs w:val="18"/>
                  <w:color w:val="000000"/>
                </w:rPr>
                <w:t>.</w:t>
              </w:r>
            </w:hyperlink>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8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3"/>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6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Financial Officer.</w:t>
              </w:r>
            </w:hyperlink>
          </w:p>
        </w:tc>
        <w:tc>
          <w:tcPr>
            <w:tcW w:w="224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35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3520" w:type="dxa"/>
            <w:vAlign w:val="bottom"/>
            <w:gridSpan w:val="4"/>
          </w:tcPr>
          <w:p>
            <w:pPr>
              <w:spacing w:after="0"/>
              <w:rPr>
                <w:sz w:val="20"/>
                <w:szCs w:val="20"/>
                <w:color w:val="auto"/>
              </w:rPr>
            </w:pPr>
            <w:r>
              <w:rPr>
                <w:rFonts w:ascii="Arial" w:cs="Arial" w:eastAsia="Arial" w:hAnsi="Arial"/>
                <w:sz w:val="18"/>
                <w:szCs w:val="18"/>
                <w:color w:val="auto"/>
                <w:w w:val="91"/>
              </w:rPr>
              <w:t>XBRL Taxonomy Extension Schema Document.</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6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6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6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6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00"/>
          </w:cols>
          <w:pgMar w:left="320" w:top="459" w:right="6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Dated: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Dated: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Theodore S.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Compliance Officer, 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Counsel and Secretary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380"/>
          </w:cols>
          <w:pgMar w:left="320" w:top="459" w:right="11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17" w:lineRule="exact"/>
        <w:rPr>
          <w:sz w:val="20"/>
          <w:szCs w:val="20"/>
          <w:color w:val="auto"/>
        </w:rPr>
      </w:pPr>
    </w:p>
    <w:p>
      <w:pPr>
        <w:ind w:left="620" w:hanging="184"/>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80" w:firstLine="436"/>
        <w:spacing w:after="0" w:line="342"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Theodore S. Kim, certify that:</w:t>
      </w:r>
    </w:p>
    <w:p>
      <w:pPr>
        <w:spacing w:after="0" w:line="117" w:lineRule="exact"/>
        <w:rPr>
          <w:sz w:val="20"/>
          <w:szCs w:val="20"/>
          <w:color w:val="auto"/>
        </w:rPr>
      </w:pPr>
    </w:p>
    <w:p>
      <w:pPr>
        <w:ind w:left="620" w:hanging="18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80" w:firstLine="436"/>
        <w:spacing w:after="0" w:line="342"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Theodore S.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Compliance Officer,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0"/>
          </w:cols>
          <w:pgMar w:left="440" w:top="121" w:right="4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jc w:val="both"/>
        <w:ind w:right="200" w:firstLine="436"/>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2020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May 11, 2020</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jc w:val="both"/>
        <w:ind w:right="200" w:firstLine="436"/>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2020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5"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May 11, 2020</w:t>
      </w:r>
      <w:r>
        <w:rPr>
          <w:sz w:val="20"/>
          <w:szCs w:val="20"/>
          <w:color w:val="auto"/>
        </w:rPr>
        <w:tab/>
      </w:r>
      <w:r>
        <w:rPr>
          <w:rFonts w:ascii="Arial" w:cs="Arial" w:eastAsia="Arial" w:hAnsi="Arial"/>
          <w:sz w:val="16"/>
          <w:szCs w:val="16"/>
          <w:color w:val="auto"/>
        </w:rPr>
        <w:t>/s/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S.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Executive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Secretary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Roman"/>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2"/>
    </w:lvl>
    <w:lvl w:ilvl="1">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2"/>
    </w:lvl>
    <w:lvl w:ilvl="1">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69" Type="http://schemas.openxmlformats.org/officeDocument/2006/relationships/hyperlink" Target="http://www.sec.gov/Archives/edgar/data/1325702/000119312520088874/d875391dex101.htm" TargetMode="External"/><Relationship Id="rId70" Type="http://schemas.openxmlformats.org/officeDocument/2006/relationships/hyperlink" Target="http://www.sec.gov/Archives/edgar/data/1325702/000119312520091932/d90876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2020-05-11T15:36:22Z</dcterms:created>
  <dcterms:modified xsi:type="dcterms:W3CDTF">2020-05-11T15:36:22Z</dcterms:modified>
</cp:coreProperties>
</file>