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Avenue Special Situations Fund IV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331" w:lineRule="auto"/>
        <w:rPr>
          <w:sz w:val="20"/>
          <w:szCs w:val="20"/>
          <w:color w:val="auto"/>
        </w:rPr>
      </w:pPr>
      <w:r>
        <w:rPr>
          <w:rFonts w:ascii="Arial" w:cs="Arial" w:eastAsia="Arial" w:hAnsi="Arial"/>
          <w:sz w:val="18"/>
          <w:szCs w:val="18"/>
          <w:color w:val="0000FF"/>
        </w:rPr>
        <w:t>C/O AVENUE CAPITAL MANAGEMENT II, L.P. 399 PARK AVENUE, 6TH FLOOR</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line="27" w:lineRule="exact"/>
              <w:rPr>
                <w:sz w:val="20"/>
                <w:szCs w:val="20"/>
                <w:color w:val="auto"/>
              </w:rPr>
            </w:pPr>
            <w:r>
              <w:rPr>
                <w:rFonts w:ascii="Arial" w:cs="Arial" w:eastAsia="Arial" w:hAnsi="Arial"/>
                <w:sz w:val="3"/>
                <w:szCs w:val="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380" w:type="dxa"/>
            <w:vAlign w:val="bottom"/>
          </w:tcPr>
          <w:p>
            <w:pPr>
              <w:spacing w:after="0"/>
              <w:rPr>
                <w:sz w:val="11"/>
                <w:szCs w:val="11"/>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09/13/2013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0" w:type="dxa"/>
            <w:vAlign w:val="bottom"/>
            <w:gridSpan w:val="4"/>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4"/>
          </w:tcPr>
          <w:p>
            <w:pPr>
              <w:ind w:left="660"/>
              <w:spacing w:after="0"/>
              <w:rPr>
                <w:sz w:val="20"/>
                <w:szCs w:val="20"/>
                <w:color w:val="auto"/>
              </w:rPr>
            </w:pPr>
            <w:r>
              <w:rPr>
                <w:rFonts w:ascii="Arial" w:cs="Arial" w:eastAsia="Arial" w:hAnsi="Arial"/>
                <w:sz w:val="18"/>
                <w:szCs w:val="18"/>
                <w:color w:val="0000FF"/>
              </w:rPr>
              <w:t>09/13/2013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2"/>
              </w:rPr>
              <w:t>702,664</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8"/>
                <w:szCs w:val="18"/>
                <w:color w:val="0000FF"/>
                <w:w w:val="84"/>
              </w:rPr>
              <w:t>496,023</w:t>
            </w:r>
            <w:r>
              <w:rPr>
                <w:rFonts w:ascii="Arial" w:cs="Arial" w:eastAsia="Arial" w:hAnsi="Arial"/>
                <w:sz w:val="22"/>
                <w:szCs w:val="22"/>
                <w:color w:val="008000"/>
                <w:w w:val="84"/>
                <w:vertAlign w:val="superscript"/>
              </w:rPr>
              <w:t>(1)</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4"/>
          </w:tcPr>
          <w:p>
            <w:pPr>
              <w:ind w:left="660"/>
              <w:spacing w:after="0"/>
              <w:rPr>
                <w:sz w:val="20"/>
                <w:szCs w:val="20"/>
                <w:color w:val="auto"/>
              </w:rPr>
            </w:pPr>
            <w:r>
              <w:rPr>
                <w:rFonts w:ascii="Arial" w:cs="Arial" w:eastAsia="Arial" w:hAnsi="Arial"/>
                <w:sz w:val="18"/>
                <w:szCs w:val="18"/>
                <w:color w:val="0000FF"/>
              </w:rPr>
              <w:t>09/13/2013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2"/>
              </w:rPr>
              <w:t>877,034</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1"/>
              </w:rPr>
              <w:t>619,115</w:t>
            </w:r>
            <w:r>
              <w:rPr>
                <w:rFonts w:ascii="Arial" w:cs="Arial" w:eastAsia="Arial" w:hAnsi="Arial"/>
                <w:sz w:val="22"/>
                <w:szCs w:val="22"/>
                <w:color w:val="008000"/>
                <w:w w:val="81"/>
                <w:vertAlign w:val="superscript"/>
              </w:rPr>
              <w:t>(1)</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4"/>
          </w:tcPr>
          <w:p>
            <w:pPr>
              <w:ind w:left="660"/>
              <w:spacing w:after="0"/>
              <w:rPr>
                <w:sz w:val="20"/>
                <w:szCs w:val="20"/>
                <w:color w:val="auto"/>
              </w:rPr>
            </w:pPr>
            <w:r>
              <w:rPr>
                <w:rFonts w:ascii="Arial" w:cs="Arial" w:eastAsia="Arial" w:hAnsi="Arial"/>
                <w:sz w:val="18"/>
                <w:szCs w:val="18"/>
                <w:color w:val="0000FF"/>
              </w:rPr>
              <w:t>09/13/2013</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2"/>
              </w:rPr>
              <w:t>120,302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2"/>
              </w:rPr>
              <w:t>84,924</w:t>
            </w:r>
            <w:r>
              <w:rPr>
                <w:rFonts w:ascii="Arial" w:cs="Arial" w:eastAsia="Arial" w:hAnsi="Arial"/>
                <w:sz w:val="22"/>
                <w:szCs w:val="22"/>
                <w:color w:val="008000"/>
                <w:w w:val="82"/>
                <w:vertAlign w:val="superscript"/>
              </w:rPr>
              <w:t>(1)</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vMerge w:val="restart"/>
          </w:tcPr>
          <w:p>
            <w:pPr>
              <w:jc w:val="center"/>
              <w:ind w:left="24"/>
              <w:spacing w:after="0"/>
              <w:rPr>
                <w:sz w:val="20"/>
                <w:szCs w:val="20"/>
                <w:color w:val="auto"/>
              </w:rPr>
            </w:pPr>
            <w:r>
              <w:rPr>
                <w:rFonts w:ascii="Arial" w:cs="Arial" w:eastAsia="Arial" w:hAnsi="Arial"/>
                <w:sz w:val="18"/>
                <w:szCs w:val="18"/>
                <w:color w:val="0000FF"/>
                <w:w w:val="87"/>
              </w:rPr>
              <w:t>2,166,652</w:t>
            </w:r>
          </w:p>
        </w:tc>
        <w:tc>
          <w:tcPr>
            <w:tcW w:w="260" w:type="dxa"/>
            <w:vAlign w:val="bottom"/>
          </w:tcPr>
          <w:p>
            <w:pPr>
              <w:spacing w:after="0"/>
              <w:rPr>
                <w:sz w:val="22"/>
                <w:szCs w:val="22"/>
                <w:color w:val="auto"/>
              </w:rPr>
            </w:pPr>
          </w:p>
        </w:tc>
        <w:tc>
          <w:tcPr>
            <w:tcW w:w="72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87"/>
              </w:rPr>
              <w:t>Footnotes</w:t>
            </w:r>
            <w:r>
              <w:rPr>
                <w:rFonts w:ascii="Arial" w:cs="Arial" w:eastAsia="Arial" w:hAnsi="Arial"/>
                <w:sz w:val="22"/>
                <w:szCs w:val="22"/>
                <w:color w:val="008000"/>
                <w:w w:val="87"/>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6"/>
              </w:rPr>
              <w:t>722,264</w:t>
            </w:r>
          </w:p>
        </w:tc>
        <w:tc>
          <w:tcPr>
            <w:tcW w:w="260" w:type="dxa"/>
            <w:vAlign w:val="bottom"/>
          </w:tcPr>
          <w:p>
            <w:pPr>
              <w:spacing w:after="0"/>
              <w:rPr>
                <w:sz w:val="22"/>
                <w:szCs w:val="22"/>
                <w:color w:val="auto"/>
              </w:rPr>
            </w:pPr>
          </w:p>
        </w:tc>
        <w:tc>
          <w:tcPr>
            <w:tcW w:w="72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7"/>
          </w:tcPr>
          <w:p>
            <w:pPr>
              <w:jc w:val="center"/>
              <w:ind w:left="8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14"/>
          </w:tcPr>
          <w:p>
            <w:pPr>
              <w:jc w:val="center"/>
              <w:ind w:left="4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Avenue Special Situations Fund IV LP</w:t>
              </w:r>
            </w:hyperlink>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7"/>
              </w:rPr>
              <w:t>C/O AVENUE CAPITAL MANAGEMENT II, L.P.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w w:val="94"/>
              </w:rPr>
              <w:t>399 PARK AVENUE, 6TH FLOOR</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10022</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Avenue Special Situations Fund V LP</w:t>
              </w:r>
            </w:hyperlink>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447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7447915"/>
                    </a:xfrm>
                    <a:prstGeom prst="rect">
                      <a:avLst/>
                    </a:prstGeom>
                    <a:noFill/>
                  </pic:spPr>
                </pic:pic>
              </a:graphicData>
            </a:graphic>
          </wp:anchor>
        </w:drawing>
      </w: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Avenue CDP Global Opportunities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Avenue Capital Management II,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Avenue Capital Management II GenPar,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340" w:type="dxa"/>
            <w:vAlign w:val="bottom"/>
          </w:tcPr>
          <w:p>
            <w:pPr>
              <w:ind w:left="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6"/>
              </w:rPr>
            </w:pPr>
            <w:hyperlink r:id="rId19">
              <w:r>
                <w:rPr>
                  <w:rFonts w:ascii="Arial" w:cs="Arial" w:eastAsia="Arial" w:hAnsi="Arial"/>
                  <w:sz w:val="22"/>
                  <w:szCs w:val="22"/>
                  <w:color w:val="0000EE"/>
                  <w:w w:val="96"/>
                </w:rPr>
                <w:t>LASRY MARC</w:t>
              </w:r>
            </w:hyperlink>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Avenue Capital Partners IV, LLC ("Capital Partners IV"), GL Partners IV, LLC ("GL Partners IV"), Avenue Capital Partners V, LLC ("Capital Partners V"), GL Partners V, LLC ("GL Partners V"), Avenue Capital Management II, L.P. ("Avenue Capital Management"), Avenue Capital Management II GenPar, LLC ("Avenue Capital Management GenPar") or Marc Lasry (collectively, the "Controlling Persons") is or was for the purposes of Section 16(a) of the Securities Exchange Act of 1934, as amended, or otherwise the beneficial owner of any of the Common Stock of the Issuer directly held by Avenue Special Situations Fund IV, L.P. ("Fund IV"), Avenue Special Situations Fund V, L.P., Avenue-CDP Global Opportunities Fund, L.P., Avenue International Master, L.P. and Avenue Investments, L.P. Pursuant to Rule 16a-1, the Controlling Persons disclaim such beneficial ownership except to the extent of their pecuniary interest therein.</w:t>
      </w:r>
    </w:p>
    <w:p>
      <w:pPr>
        <w:spacing w:after="0" w:line="11" w:lineRule="exact"/>
        <w:rPr>
          <w:rFonts w:ascii="Arial" w:cs="Arial" w:eastAsia="Arial" w:hAnsi="Arial"/>
          <w:sz w:val="12"/>
          <w:szCs w:val="12"/>
          <w:color w:val="008000"/>
        </w:rPr>
      </w:pPr>
    </w:p>
    <w:p>
      <w:pPr>
        <w:ind w:left="20" w:righ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Fund IV holds directly 496,023 shares of Common Stock of the Issuer. Capital Partners IV serves as the general partner of Fund IV, and GL Partners IV serves as the managing member of Capital Partners IV. Each of Capital Partners IV and GL Partners IV holds indirectly the 496,023 shares of Common Stock of the Issuer held directly by Fund IV. Capital Partners IV is entitled to receive a performance-based allocation from Fund IV and GL Partners IV, as the managing member of Capital Partners IV, has an indirect interest in such allocation. Mr. Lasry owns an interest in Capital Partners IV and GL Partners IV and receives a portion of the profits allocation related to Fund IV.</w:t>
      </w:r>
    </w:p>
    <w:p>
      <w:pPr>
        <w:spacing w:after="0" w:line="8" w:lineRule="exact"/>
        <w:rPr>
          <w:rFonts w:ascii="Arial" w:cs="Arial" w:eastAsia="Arial" w:hAnsi="Arial"/>
          <w:sz w:val="12"/>
          <w:szCs w:val="12"/>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Avenue Special Situations Fund V, L.P. ("Fund V") holds directly 619,115 shares of Common Stock of the Issuer. Capital Partners V serves as the general partner of Fund V, and GL Partners V serves as the managing member of Capital Partners V. Each of Capital Partners V and GL Partners V holds indirectly the 619,115 shares of Common Stock of the Issuer held directly by Fund V. Capital Partners V is entitled to receive a performance-based allocation from Fund V and GL Partners V, as the managing member of Capital Partners V, has an indirect interest in such allocation. Mr. Lasry owns an interest in Capital Partners V and GL Partners V and receives a portion of the profits allocation related to Fund V.</w:t>
      </w:r>
    </w:p>
    <w:p>
      <w:pPr>
        <w:spacing w:after="0" w:line="8"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After giving effect to the transactions reported herein, Avenue-CDP Global Opportunities Fund, L.P. ("Avenue-CDP") holds directly 84,924 shares of Common Stock of the Issuer. Avenue Global Opportunities Fund GenPar, LLC ("Global GenPar") serves as the general partner of Avenue-CDP. Global GenPar holds indirectly the 84,924 shares of Common Stock of the Issuer held directly by Avenue-CDP. Global GenPar is entitled to receive a performance-based allocation from Avenue-CDP. Mr. Lasry owns an interest in Global GenPar and receives a portion of the profits allocation related to Avenue-CDP.</w:t>
      </w:r>
    </w:p>
    <w:p>
      <w:pPr>
        <w:spacing w:after="0" w:line="2" w:lineRule="exact"/>
        <w:rPr>
          <w:rFonts w:ascii="Arial" w:cs="Arial" w:eastAsia="Arial" w:hAnsi="Arial"/>
          <w:sz w:val="12"/>
          <w:szCs w:val="12"/>
          <w:color w:val="008000"/>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Lasry may be deemed to have a pecuniary interest in the 2,166,652 shares of Common Stock held directly by Avenue International Master, L.P. ("Avenue International Master") due to the portion of the profits allocation related to Avenue International Master he receives.</w:t>
      </w:r>
    </w:p>
    <w:p>
      <w:pPr>
        <w:spacing w:after="0" w:line="30" w:lineRule="exact"/>
        <w:rPr>
          <w:rFonts w:ascii="Arial" w:cs="Arial" w:eastAsia="Arial" w:hAnsi="Arial"/>
          <w:sz w:val="14"/>
          <w:szCs w:val="14"/>
          <w:color w:val="008000"/>
        </w:rPr>
      </w:pPr>
    </w:p>
    <w:p>
      <w:pPr>
        <w:ind w:left="20" w:right="1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Lasry may be deemed to have a pecuniary interest in the 722,264 shares of Common Stock held directly by Avenue Investments, L.P. ("Avenue Investments") due to the portion of the profits allocation related to Avenue Investments he receives.</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7"/>
              </w:rPr>
              <w:t>Avenue Special Situations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0000FF"/>
              </w:rPr>
              <w:t>09/13/2013</w:t>
            </w:r>
          </w:p>
        </w:tc>
      </w:tr>
      <w:tr>
        <w:trPr>
          <w:trHeight w:val="20"/>
        </w:trPr>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IV, L.P. By: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44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Capital Partners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738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 By: 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1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Partners IV,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03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09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ectPr>
          <w:pgSz w:w="11900" w:h="16900" w:orient="portrait"/>
          <w:cols w:equalWidth="0" w:num="1">
            <w:col w:w="11360"/>
          </w:cols>
          <w:pgMar w:left="260" w:top="179" w:right="27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4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 Special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68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Fund V, L.P. By: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7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Capital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63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1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Partners V,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6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90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Avenue-CDP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23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Opportunities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8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Global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0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GenPar,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3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537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8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II GenPar,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400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LLC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4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4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0000FF"/>
        </w:rPr>
        <w:t>09/13/2013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09/13/2013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09/13/2013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09/13/2013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09/13/2013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12" Type="http://schemas.openxmlformats.org/officeDocument/2006/relationships/hyperlink" Target="http://www.sec.gov/cgi-bin/browse-edgar?action=getcompany&amp;CIK=0001338744"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01178" TargetMode="External"/><Relationship Id="rId16" Type="http://schemas.openxmlformats.org/officeDocument/2006/relationships/hyperlink" Target="http://www.sec.gov/cgi-bin/browse-edgar?action=getcompany&amp;CIK=0001382345" TargetMode="External"/><Relationship Id="rId17" Type="http://schemas.openxmlformats.org/officeDocument/2006/relationships/hyperlink" Target="http://www.sec.gov/cgi-bin/browse-edgar?action=getcompany&amp;CIK=0001317338" TargetMode="External"/><Relationship Id="rId18" Type="http://schemas.openxmlformats.org/officeDocument/2006/relationships/hyperlink" Target="http://www.sec.gov/cgi-bin/browse-edgar?action=getcompany&amp;CIK=0001389850" TargetMode="External"/><Relationship Id="rId19"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2019-12-18T03:45:40Z</dcterms:created>
  <dcterms:modified xsi:type="dcterms:W3CDTF">2019-12-18T03:45:40Z</dcterms:modified>
</cp:coreProperties>
</file>