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MAGNACHIP SEMICONDUCTOR CORPORATION</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55933J203</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September 30, 2021</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431" w:lineRule="auto"/>
        <w:tabs>
          <w:tab w:leader="none" w:pos="2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-47625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-278765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-510540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55933J203</w:t>
      </w:r>
    </w:p>
    <w:p>
      <w:pPr>
        <w:spacing w:after="0" w:line="220" w:lineRule="exact"/>
        <w:rPr>
          <w:sz w:val="20"/>
          <w:szCs w:val="20"/>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61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1,998,604</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1,998,604</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1,998,604</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1,998,604</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1,998,604</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139"/>
          </w:cols>
          <w:pgMar w:left="320" w:top="712"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1,998,604</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4.30%</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1,998,604</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1,998,604</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1,998,604</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4.30%</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1,998,604</w:t>
            </w:r>
          </w:p>
        </w:tc>
      </w:tr>
      <w:tr>
        <w:trPr>
          <w:trHeight w:val="226"/>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32" w:right="1440" w:bottom="0" w:gutter="0" w:footer="0" w:header="0"/>
        </w:sectPr>
      </w:pPr>
    </w:p>
    <w:bookmarkStart w:id="3" w:name="page4"/>
    <w:bookmarkEnd w:id="3"/>
    <w:p>
      <w:pPr>
        <w:spacing w:after="0" w:line="68" w:lineRule="exact"/>
        <w:rPr>
          <w:sz w:val="20"/>
          <w:szCs w:val="20"/>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Dispositive Power: 1,998,604</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1,998,604</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-1946910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55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1,998,604</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1,998,604</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1,998,604</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4.30%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MAGNACHIP SEMICONDUCTOR CORPORATION</w:t>
      </w:r>
    </w:p>
    <w:p>
      <w:pPr>
        <w:spacing w:after="0" w:line="219" w:lineRule="exact"/>
        <w:rPr>
          <w:rFonts w:ascii="Arial" w:cs="Arial" w:eastAsia="Arial" w:hAnsi="Arial"/>
          <w:sz w:val="22"/>
          <w:szCs w:val="22"/>
          <w:color w:val="auto"/>
        </w:rPr>
      </w:pPr>
    </w:p>
    <w:p>
      <w:pPr>
        <w:ind w:left="1800" w:right="4179" w:hanging="1098"/>
        <w:spacing w:after="0" w:line="448" w:lineRule="auto"/>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Address of Issuer’s Principal Executive Offices. 74 Rue De Merl</w:t>
      </w:r>
    </w:p>
    <w:p>
      <w:pPr>
        <w:ind w:left="1800"/>
        <w:spacing w:after="0"/>
        <w:rPr>
          <w:rFonts w:ascii="Arial" w:cs="Arial" w:eastAsia="Arial" w:hAnsi="Arial"/>
          <w:sz w:val="22"/>
          <w:szCs w:val="22"/>
          <w:color w:val="auto"/>
        </w:rPr>
      </w:pPr>
      <w:r>
        <w:rPr>
          <w:rFonts w:ascii="Arial" w:cs="Arial" w:eastAsia="Arial" w:hAnsi="Arial"/>
          <w:sz w:val="22"/>
          <w:szCs w:val="22"/>
          <w:color w:val="auto"/>
        </w:rPr>
        <w:t>Luxembourg N4 L-2146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-1355090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-455295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CUSIP Number: 55933J203</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§§240.113d-1(b) or 240.13d-2(b) or (c), check whether the person filing is 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w w:val="89"/>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93"/>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Investment company registered under section 8 of the Investment Company Act of 1940 (15</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U.S.C. 80a-8).</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An employee benefit plan or endowment fund in accordance with §240.13d-19b)(1)(ii)(F);</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savings associations as defined in Section 3(b) of the Federal Deposit Insurance Act (12 U.S.C.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 church plan that is excluded from the definition of an investment company under section 3(c)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 of the Investment Company Act of 1940 (15 U.S.C. 80a-3);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355"/>
        </w:trPr>
        <w:tc>
          <w:tcPr>
            <w:tcW w:w="960" w:type="dxa"/>
            <w:vAlign w:val="bottom"/>
            <w:gridSpan w:val="2"/>
          </w:tcPr>
          <w:p>
            <w:pPr>
              <w:spacing w:after="0"/>
              <w:rPr>
                <w:sz w:val="20"/>
                <w:szCs w:val="20"/>
                <w:color w:val="auto"/>
              </w:rPr>
            </w:pPr>
            <w:r>
              <w:rPr>
                <w:rFonts w:ascii="Arial" w:cs="Arial" w:eastAsia="Arial" w:hAnsi="Arial"/>
                <w:sz w:val="22"/>
                <w:szCs w:val="22"/>
                <w:color w:val="auto"/>
              </w:rPr>
              <w:t>Item 4.</w:t>
            </w: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Ownership</w:t>
            </w:r>
          </w:p>
        </w:tc>
        <w:tc>
          <w:tcPr>
            <w:tcW w:w="8680" w:type="dxa"/>
            <w:vAlign w:val="bottom"/>
          </w:tcPr>
          <w:p>
            <w:pPr>
              <w:spacing w:after="0"/>
              <w:rPr>
                <w:sz w:val="24"/>
                <w:szCs w:val="24"/>
                <w:color w:val="auto"/>
              </w:rPr>
            </w:pPr>
          </w:p>
        </w:tc>
      </w:tr>
    </w:tbl>
    <w:p>
      <w:pPr>
        <w:spacing w:after="0" w:line="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8" w:lineRule="exact"/>
        <w:rPr>
          <w:sz w:val="20"/>
          <w:szCs w:val="20"/>
          <w:color w:val="auto"/>
        </w:rPr>
      </w:pPr>
    </w:p>
    <w:tbl>
      <w:tblPr>
        <w:tblLayout w:type="fixed"/>
        <w:tblInd w:w="590" w:type="dxa"/>
        <w:tblCellMar>
          <w:top w:w="0" w:type="dxa"/>
          <w:left w:w="0" w:type="dxa"/>
          <w:bottom w:w="0" w:type="dxa"/>
          <w:right w:w="0" w:type="dxa"/>
        </w:tblCellMar>
      </w:tblPr>
      <w:tr>
        <w:trPr>
          <w:trHeight w:val="288"/>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4.30%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4.30%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1120" w:type="dxa"/>
            <w:vAlign w:val="bottom"/>
            <w:tcBorders>
              <w:left w:val="single" w:sz="8" w:color="auto"/>
              <w:right w:val="single" w:sz="8" w:color="auto"/>
            </w:tcBorders>
          </w:tcPr>
          <w:p>
            <w:pPr>
              <w:spacing w:after="0"/>
              <w:rPr>
                <w:sz w:val="7"/>
                <w:szCs w:val="7"/>
                <w:color w:val="auto"/>
              </w:rPr>
            </w:pPr>
          </w:p>
        </w:tc>
        <w:tc>
          <w:tcPr>
            <w:tcW w:w="7380" w:type="dxa"/>
            <w:vAlign w:val="bottom"/>
            <w:tcBorders>
              <w:right w:val="single" w:sz="8" w:color="auto"/>
            </w:tcBorders>
          </w:tcPr>
          <w:p>
            <w:pPr>
              <w:spacing w:after="0"/>
              <w:rPr>
                <w:sz w:val="7"/>
                <w:szCs w:val="7"/>
                <w:color w:val="auto"/>
              </w:rPr>
            </w:pPr>
          </w:p>
        </w:tc>
      </w:tr>
    </w:tbl>
    <w:p>
      <w:pPr>
        <w:sectPr>
          <w:pgSz w:w="11900" w:h="16900" w:orient="portrait"/>
          <w:cols w:equalWidth="0" w:num="1">
            <w:col w:w="11220"/>
          </w:cols>
          <w:pgMar w:left="320" w:top="348"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4.30%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4.30%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4.30%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1,998,604</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2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800" w:right="100"/>
        <w:spacing w:after="0" w:line="236"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200" w:lineRule="exact"/>
        <w:rPr>
          <w:rFonts w:ascii="Arial" w:cs="Arial" w:eastAsia="Arial" w:hAnsi="Arial"/>
          <w:sz w:val="22"/>
          <w:szCs w:val="22"/>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800" w:right="540"/>
        <w:spacing w:after="0" w:line="252" w:lineRule="auto"/>
        <w:rPr>
          <w:rFonts w:ascii="Arial" w:cs="Arial" w:eastAsia="Arial" w:hAnsi="Arial"/>
          <w:sz w:val="22"/>
          <w:szCs w:val="22"/>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-2155825</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October 8,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October 8,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October 8,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Rhodora J. Donahue, individually and as Trust of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October 8,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20"/>
          </w:cols>
          <w:pgMar w:left="320" w:top="118" w:right="35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74"/>
        </w:trPr>
        <w:tc>
          <w:tcPr>
            <w:tcW w:w="3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720" w:type="dxa"/>
            <w:vAlign w:val="bottom"/>
          </w:tcPr>
          <w:p>
            <w:pPr>
              <w:jc w:val="center"/>
              <w:ind w:right="3392"/>
              <w:spacing w:after="0"/>
              <w:rPr>
                <w:sz w:val="20"/>
                <w:szCs w:val="20"/>
                <w:color w:val="auto"/>
              </w:rPr>
            </w:pPr>
            <w:r>
              <w:rPr>
                <w:rFonts w:ascii="Arial" w:cs="Arial" w:eastAsia="Arial" w:hAnsi="Arial"/>
                <w:sz w:val="22"/>
                <w:szCs w:val="22"/>
                <w:color w:val="auto"/>
              </w:rPr>
              <w:t>EXHIBIT “1”</w:t>
            </w:r>
          </w:p>
        </w:tc>
      </w:tr>
      <w:tr>
        <w:trPr>
          <w:trHeight w:val="459"/>
        </w:trPr>
        <w:tc>
          <w:tcPr>
            <w:tcW w:w="3000" w:type="dxa"/>
            <w:vAlign w:val="bottom"/>
          </w:tcPr>
          <w:p>
            <w:pPr>
              <w:spacing w:after="0"/>
              <w:rPr>
                <w:sz w:val="24"/>
                <w:szCs w:val="24"/>
                <w:color w:val="auto"/>
              </w:rPr>
            </w:pPr>
          </w:p>
        </w:tc>
        <w:tc>
          <w:tcPr>
            <w:tcW w:w="8240" w:type="dxa"/>
            <w:vAlign w:val="bottom"/>
            <w:gridSpan w:val="2"/>
          </w:tcPr>
          <w:p>
            <w:pPr>
              <w:jc w:val="center"/>
              <w:ind w:right="2872"/>
              <w:spacing w:after="0"/>
              <w:rPr>
                <w:sz w:val="20"/>
                <w:szCs w:val="20"/>
                <w:color w:val="auto"/>
              </w:rPr>
            </w:pPr>
            <w:r>
              <w:rPr>
                <w:rFonts w:ascii="Arial" w:cs="Arial" w:eastAsia="Arial" w:hAnsi="Arial"/>
                <w:sz w:val="22"/>
                <w:szCs w:val="22"/>
                <w:color w:val="auto"/>
                <w:w w:val="92"/>
              </w:rPr>
              <w:t>ITEM 3 CLASSIFICATION OF REPORTING PERSONS</w:t>
            </w:r>
          </w:p>
        </w:tc>
      </w:tr>
      <w:tr>
        <w:trPr>
          <w:trHeight w:val="459"/>
        </w:trPr>
        <w:tc>
          <w:tcPr>
            <w:tcW w:w="3000" w:type="dxa"/>
            <w:vAlign w:val="bottom"/>
          </w:tcPr>
          <w:p>
            <w:pPr>
              <w:spacing w:after="0"/>
              <w:rPr>
                <w:sz w:val="24"/>
                <w:szCs w:val="24"/>
                <w:color w:val="auto"/>
              </w:rPr>
            </w:pPr>
          </w:p>
        </w:tc>
        <w:tc>
          <w:tcPr>
            <w:tcW w:w="8240" w:type="dxa"/>
            <w:vAlign w:val="bottom"/>
            <w:gridSpan w:val="2"/>
          </w:tcPr>
          <w:p>
            <w:pPr>
              <w:jc w:val="center"/>
              <w:ind w:right="2892"/>
              <w:spacing w:after="0"/>
              <w:rPr>
                <w:sz w:val="20"/>
                <w:szCs w:val="20"/>
                <w:color w:val="auto"/>
              </w:rPr>
            </w:pPr>
            <w:r>
              <w:rPr>
                <w:rFonts w:ascii="Arial" w:cs="Arial" w:eastAsia="Arial" w:hAnsi="Arial"/>
                <w:sz w:val="22"/>
                <w:szCs w:val="22"/>
                <w:color w:val="auto"/>
                <w:w w:val="89"/>
              </w:rPr>
              <w:t>Identity and Classification of Each Reporting Person</w:t>
            </w:r>
          </w:p>
        </w:tc>
      </w:tr>
      <w:tr>
        <w:trPr>
          <w:trHeight w:val="665"/>
        </w:trPr>
        <w:tc>
          <w:tcPr>
            <w:tcW w:w="3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r>
        <w:trPr>
          <w:trHeight w:val="268"/>
        </w:trPr>
        <w:tc>
          <w:tcPr>
            <w:tcW w:w="3000" w:type="dxa"/>
            <w:vAlign w:val="bottom"/>
            <w:tcBorders>
              <w:left w:val="single" w:sz="8" w:color="auto"/>
            </w:tcBorders>
          </w:tcPr>
          <w:p>
            <w:pPr>
              <w:ind w:left="1260"/>
              <w:spacing w:after="0"/>
              <w:rPr>
                <w:sz w:val="20"/>
                <w:szCs w:val="20"/>
                <w:color w:val="auto"/>
              </w:rPr>
            </w:pPr>
            <w:r>
              <w:rPr>
                <w:rFonts w:ascii="Arial" w:cs="Arial" w:eastAsia="Arial" w:hAnsi="Arial"/>
                <w:sz w:val="22"/>
                <w:szCs w:val="22"/>
                <w:color w:val="auto"/>
              </w:rPr>
              <w:t>IDENTITY</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222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r>
        <w:trPr>
          <w:trHeight w:val="215"/>
        </w:trPr>
        <w:tc>
          <w:tcPr>
            <w:tcW w:w="30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w w:val="89"/>
              </w:rPr>
              <w:t>Federated Hermes Equity Funds</w:t>
            </w:r>
          </w:p>
        </w:tc>
        <w:tc>
          <w:tcPr>
            <w:tcW w:w="520" w:type="dxa"/>
            <w:vAlign w:val="bottom"/>
            <w:tcBorders>
              <w:right w:val="single" w:sz="8" w:color="auto"/>
            </w:tcBorders>
          </w:tcPr>
          <w:p>
            <w:pPr>
              <w:spacing w:after="0"/>
              <w:rPr>
                <w:sz w:val="18"/>
                <w:szCs w:val="18"/>
                <w:color w:val="auto"/>
              </w:rPr>
            </w:pPr>
          </w:p>
        </w:tc>
        <w:tc>
          <w:tcPr>
            <w:tcW w:w="77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0"/>
              </w:rPr>
              <w:t>(d) Investment company registered under Section 8 of the Investment Company Act of</w:t>
            </w:r>
          </w:p>
        </w:tc>
      </w:tr>
      <w:tr>
        <w:trPr>
          <w:trHeight w:val="274"/>
        </w:trPr>
        <w:tc>
          <w:tcPr>
            <w:tcW w:w="3000" w:type="dxa"/>
            <w:vAlign w:val="bottom"/>
            <w:tcBorders>
              <w:left w:val="single" w:sz="8" w:color="auto"/>
            </w:tcBorders>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1940 (15 U.S.C. 80a-8)</w:t>
            </w:r>
          </w:p>
        </w:tc>
      </w:tr>
      <w:tr>
        <w:trPr>
          <w:trHeight w:val="206"/>
        </w:trPr>
        <w:tc>
          <w:tcPr>
            <w:tcW w:w="300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15"/>
        </w:trPr>
        <w:tc>
          <w:tcPr>
            <w:tcW w:w="30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Global Investment</w:t>
            </w:r>
          </w:p>
        </w:tc>
        <w:tc>
          <w:tcPr>
            <w:tcW w:w="520" w:type="dxa"/>
            <w:vAlign w:val="bottom"/>
            <w:tcBorders>
              <w:right w:val="single" w:sz="8" w:color="auto"/>
            </w:tcBorders>
          </w:tcPr>
          <w:p>
            <w:pPr>
              <w:spacing w:after="0"/>
              <w:rPr>
                <w:sz w:val="18"/>
                <w:szCs w:val="18"/>
                <w:color w:val="auto"/>
              </w:rPr>
            </w:pPr>
          </w:p>
        </w:tc>
        <w:tc>
          <w:tcPr>
            <w:tcW w:w="77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0"/>
              </w:rPr>
              <w:t>(e) Investment Adviser registered under Section 203 of the Investment Advisers Act of</w:t>
            </w:r>
          </w:p>
        </w:tc>
      </w:tr>
      <w:tr>
        <w:trPr>
          <w:trHeight w:val="274"/>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Management Corp.</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1940</w:t>
            </w:r>
          </w:p>
        </w:tc>
      </w:tr>
      <w:tr>
        <w:trPr>
          <w:trHeight w:val="206"/>
        </w:trPr>
        <w:tc>
          <w:tcPr>
            <w:tcW w:w="300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68"/>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Federated Hermes, Inc.</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parent Holding Company, in accordance with Section 240.13d-1(b)(ii)(G)</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r>
        <w:trPr>
          <w:trHeight w:val="268"/>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FII Holdings, Inc.</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parent Holding Company, in accordance with Section 240.13d-1(b)(ii)(G)</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r>
        <w:trPr>
          <w:trHeight w:val="268"/>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w w:val="92"/>
              </w:rPr>
              <w:t>Voting Shares Irrevocable Trust</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parent Holding Company, in accordance with Section 240.13d-1(b)(ii)(G)</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r>
        <w:trPr>
          <w:trHeight w:val="268"/>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Thomas R. Donahue</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parent Holding Company, in accordance with Section 240.13d-1(b)(ii)(G)</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r>
        <w:trPr>
          <w:trHeight w:val="268"/>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Rhodora J. Donahue</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parent Holding Company, in accordance with Section 240.13d-1(b)(ii)(G)</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r>
        <w:trPr>
          <w:trHeight w:val="268"/>
        </w:trPr>
        <w:tc>
          <w:tcPr>
            <w:tcW w:w="300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 Christopher Donahue</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parent Holding Company, in accordance with Section 240.13d-1(b)(ii)(G)</w:t>
            </w:r>
          </w:p>
        </w:tc>
      </w:tr>
      <w:tr>
        <w:trPr>
          <w:trHeight w:val="185"/>
        </w:trPr>
        <w:tc>
          <w:tcPr>
            <w:tcW w:w="30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77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MAGNACHIP SEMICONDUCTOR CORPORATION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0" w:firstLine="656"/>
        <w:spacing w:after="0" w:line="250"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October 8, 2021</w:t>
      </w:r>
    </w:p>
    <w:p>
      <w:pPr>
        <w:spacing w:after="0" w:line="207"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
        <w:spacing w:after="0" w:line="274" w:lineRule="auto"/>
        <w:tabs>
          <w:tab w:leader="none" w:pos="5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85" w:right="35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2021-10-08T13:26:42Z</dcterms:created>
  <dcterms:modified xsi:type="dcterms:W3CDTF">2021-10-08T13:26:42Z</dcterms:modified>
</cp:coreProperties>
</file>