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20"/>
        <w:spacing w:after="0"/>
        <w:rPr>
          <w:sz w:val="20"/>
          <w:szCs w:val="20"/>
          <w:color w:val="auto"/>
        </w:rPr>
      </w:pPr>
      <w:r>
        <w:rPr>
          <w:rFonts w:ascii="Arial" w:cs="Arial" w:eastAsia="Arial" w:hAnsi="Arial"/>
          <w:sz w:val="22"/>
          <w:szCs w:val="22"/>
          <w:b w:val="1"/>
          <w:bCs w:val="1"/>
          <w:color w:val="auto"/>
        </w:rPr>
        <w:t>Securities Exchange Act of 1934</w:t>
      </w:r>
    </w:p>
    <w:p>
      <w:pPr>
        <w:spacing w:after="0" w:line="19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Date of report (Date of earliest event reported): February 19,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240665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20" w:type="dxa"/>
        <w:tblCellMar>
          <w:top w:w="0" w:type="dxa"/>
          <w:left w:w="0" w:type="dxa"/>
          <w:bottom w:w="0" w:type="dxa"/>
          <w:right w:w="0" w:type="dxa"/>
        </w:tblCellMar>
      </w:tblPr>
      <w:tr>
        <w:trPr>
          <w:trHeight w:val="212"/>
        </w:trPr>
        <w:tc>
          <w:tcPr>
            <w:tcW w:w="4120" w:type="dxa"/>
            <w:vAlign w:val="bottom"/>
          </w:tcPr>
          <w:p>
            <w:pPr>
              <w:jc w:val="center"/>
              <w:ind w:right="2318"/>
              <w:spacing w:after="0"/>
              <w:rPr>
                <w:sz w:val="20"/>
                <w:szCs w:val="20"/>
                <w:color w:val="auto"/>
              </w:rPr>
            </w:pPr>
            <w:r>
              <w:rPr>
                <w:rFonts w:ascii="Arial" w:cs="Arial" w:eastAsia="Arial" w:hAnsi="Arial"/>
                <w:sz w:val="18"/>
                <w:szCs w:val="18"/>
                <w:b w:val="1"/>
                <w:bCs w:val="1"/>
                <w:color w:val="auto"/>
                <w:w w:val="91"/>
              </w:rPr>
              <w:t>Delaware</w:t>
            </w:r>
          </w:p>
        </w:tc>
        <w:tc>
          <w:tcPr>
            <w:tcW w:w="2220" w:type="dxa"/>
            <w:vAlign w:val="bottom"/>
          </w:tcPr>
          <w:p>
            <w:pPr>
              <w:ind w:left="100"/>
              <w:spacing w:after="0"/>
              <w:rPr>
                <w:sz w:val="20"/>
                <w:szCs w:val="20"/>
                <w:color w:val="auto"/>
              </w:rPr>
            </w:pPr>
            <w:r>
              <w:rPr>
                <w:rFonts w:ascii="Arial" w:cs="Arial" w:eastAsia="Arial" w:hAnsi="Arial"/>
                <w:sz w:val="18"/>
                <w:szCs w:val="18"/>
                <w:b w:val="1"/>
                <w:bCs w:val="1"/>
                <w:color w:val="auto"/>
              </w:rPr>
              <w:t>001-34791</w:t>
            </w:r>
          </w:p>
        </w:tc>
        <w:tc>
          <w:tcPr>
            <w:tcW w:w="2480" w:type="dxa"/>
            <w:vAlign w:val="bottom"/>
          </w:tcPr>
          <w:p>
            <w:pPr>
              <w:jc w:val="center"/>
              <w:ind w:left="1241"/>
              <w:spacing w:after="0"/>
              <w:rPr>
                <w:sz w:val="20"/>
                <w:szCs w:val="20"/>
                <w:color w:val="auto"/>
              </w:rPr>
            </w:pPr>
            <w:r>
              <w:rPr>
                <w:rFonts w:ascii="Arial" w:cs="Arial" w:eastAsia="Arial" w:hAnsi="Arial"/>
                <w:sz w:val="18"/>
                <w:szCs w:val="18"/>
                <w:b w:val="1"/>
                <w:bCs w:val="1"/>
                <w:color w:val="auto"/>
                <w:w w:val="91"/>
              </w:rPr>
              <w:t>83-0406195</w:t>
            </w:r>
          </w:p>
        </w:tc>
      </w:tr>
      <w:tr>
        <w:trPr>
          <w:trHeight w:val="149"/>
        </w:trPr>
        <w:tc>
          <w:tcPr>
            <w:tcW w:w="4120" w:type="dxa"/>
            <w:vAlign w:val="bottom"/>
          </w:tcPr>
          <w:p>
            <w:pPr>
              <w:jc w:val="center"/>
              <w:ind w:right="2338"/>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22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20" w:type="dxa"/>
            <w:vAlign w:val="bottom"/>
          </w:tcPr>
          <w:p>
            <w:pPr>
              <w:jc w:val="center"/>
              <w:ind w:right="2338"/>
              <w:spacing w:after="0"/>
              <w:rPr>
                <w:sz w:val="20"/>
                <w:szCs w:val="20"/>
                <w:color w:val="auto"/>
              </w:rPr>
            </w:pPr>
            <w:r>
              <w:rPr>
                <w:rFonts w:ascii="Arial" w:cs="Arial" w:eastAsia="Arial" w:hAnsi="Arial"/>
                <w:sz w:val="14"/>
                <w:szCs w:val="14"/>
                <w:b w:val="1"/>
                <w:bCs w:val="1"/>
                <w:color w:val="auto"/>
                <w:w w:val="94"/>
              </w:rPr>
              <w:t>of Incorporation)</w:t>
            </w:r>
          </w:p>
        </w:tc>
        <w:tc>
          <w:tcPr>
            <w:tcW w:w="2220" w:type="dxa"/>
            <w:vAlign w:val="bottom"/>
          </w:tcPr>
          <w:p>
            <w:pPr>
              <w:ind w:left="8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12"/>
        </w:trPr>
        <w:tc>
          <w:tcPr>
            <w:tcW w:w="4120" w:type="dxa"/>
            <w:vAlign w:val="bottom"/>
          </w:tcPr>
          <w:p>
            <w:pPr>
              <w:jc w:val="center"/>
              <w:ind w:left="1158"/>
              <w:spacing w:after="0"/>
              <w:rPr>
                <w:sz w:val="20"/>
                <w:szCs w:val="20"/>
                <w:color w:val="auto"/>
              </w:rPr>
            </w:pPr>
            <w:r>
              <w:rPr>
                <w:rFonts w:ascii="Arial" w:cs="Arial" w:eastAsia="Arial" w:hAnsi="Arial"/>
                <w:sz w:val="18"/>
                <w:szCs w:val="18"/>
                <w:b w:val="1"/>
                <w:bCs w:val="1"/>
                <w:color w:val="auto"/>
                <w:w w:val="90"/>
              </w:rPr>
              <w:t>c/o MagnaChip Semiconductor S.A.</w:t>
            </w:r>
          </w:p>
        </w:tc>
        <w:tc>
          <w:tcPr>
            <w:tcW w:w="222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16"/>
        </w:trPr>
        <w:tc>
          <w:tcPr>
            <w:tcW w:w="4120" w:type="dxa"/>
            <w:vAlign w:val="bottom"/>
          </w:tcPr>
          <w:p>
            <w:pPr>
              <w:jc w:val="center"/>
              <w:ind w:left="1158"/>
              <w:spacing w:after="0"/>
              <w:rPr>
                <w:sz w:val="20"/>
                <w:szCs w:val="20"/>
                <w:color w:val="auto"/>
              </w:rPr>
            </w:pPr>
            <w:r>
              <w:rPr>
                <w:rFonts w:ascii="Arial" w:cs="Arial" w:eastAsia="Arial" w:hAnsi="Arial"/>
                <w:sz w:val="18"/>
                <w:szCs w:val="18"/>
                <w:b w:val="1"/>
                <w:bCs w:val="1"/>
                <w:color w:val="auto"/>
                <w:w w:val="90"/>
              </w:rPr>
              <w:t>1, Allée Scheffer, L-2520</w:t>
            </w:r>
          </w:p>
        </w:tc>
        <w:tc>
          <w:tcPr>
            <w:tcW w:w="2220" w:type="dxa"/>
            <w:vAlign w:val="bottom"/>
          </w:tcPr>
          <w:p>
            <w:pPr>
              <w:spacing w:after="0"/>
              <w:rPr>
                <w:sz w:val="18"/>
                <w:szCs w:val="18"/>
                <w:color w:val="auto"/>
              </w:rPr>
            </w:pPr>
          </w:p>
        </w:tc>
        <w:tc>
          <w:tcPr>
            <w:tcW w:w="2480" w:type="dxa"/>
            <w:vAlign w:val="bottom"/>
          </w:tcPr>
          <w:p>
            <w:pPr>
              <w:spacing w:after="0"/>
              <w:rPr>
                <w:sz w:val="18"/>
                <w:szCs w:val="18"/>
                <w:color w:val="auto"/>
              </w:rPr>
            </w:pPr>
          </w:p>
        </w:tc>
      </w:tr>
      <w:tr>
        <w:trPr>
          <w:trHeight w:val="225"/>
        </w:trPr>
        <w:tc>
          <w:tcPr>
            <w:tcW w:w="6340" w:type="dxa"/>
            <w:vAlign w:val="bottom"/>
            <w:gridSpan w:val="2"/>
          </w:tcPr>
          <w:p>
            <w:pPr>
              <w:jc w:val="center"/>
              <w:ind w:right="902"/>
              <w:spacing w:after="0"/>
              <w:rPr>
                <w:sz w:val="20"/>
                <w:szCs w:val="20"/>
                <w:color w:val="auto"/>
              </w:rPr>
            </w:pPr>
            <w:r>
              <w:rPr>
                <w:rFonts w:ascii="Arial" w:cs="Arial" w:eastAsia="Arial" w:hAnsi="Arial"/>
                <w:sz w:val="18"/>
                <w:szCs w:val="18"/>
                <w:b w:val="1"/>
                <w:bCs w:val="1"/>
                <w:color w:val="auto"/>
                <w:w w:val="92"/>
              </w:rPr>
              <w:t>Luxembourg, Grand Duchy of Luxembourg</w:t>
            </w:r>
          </w:p>
        </w:tc>
        <w:tc>
          <w:tcPr>
            <w:tcW w:w="2480" w:type="dxa"/>
            <w:vAlign w:val="bottom"/>
          </w:tcPr>
          <w:p>
            <w:pPr>
              <w:jc w:val="center"/>
              <w:ind w:left="1241"/>
              <w:spacing w:after="0"/>
              <w:rPr>
                <w:sz w:val="20"/>
                <w:szCs w:val="20"/>
                <w:color w:val="auto"/>
              </w:rPr>
            </w:pPr>
            <w:r>
              <w:rPr>
                <w:rFonts w:ascii="Arial" w:cs="Arial" w:eastAsia="Arial" w:hAnsi="Arial"/>
                <w:sz w:val="18"/>
                <w:szCs w:val="18"/>
                <w:b w:val="1"/>
                <w:bCs w:val="1"/>
                <w:color w:val="auto"/>
                <w:w w:val="92"/>
              </w:rPr>
              <w:t>Not Applicable</w:t>
            </w:r>
          </w:p>
        </w:tc>
      </w:tr>
      <w:tr>
        <w:trPr>
          <w:trHeight w:val="186"/>
        </w:trPr>
        <w:tc>
          <w:tcPr>
            <w:tcW w:w="4120" w:type="dxa"/>
            <w:vAlign w:val="bottom"/>
          </w:tcPr>
          <w:p>
            <w:pPr>
              <w:jc w:val="center"/>
              <w:ind w:left="1138"/>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220" w:type="dxa"/>
            <w:vAlign w:val="bottom"/>
          </w:tcPr>
          <w:p>
            <w:pPr>
              <w:spacing w:after="0"/>
              <w:rPr>
                <w:sz w:val="16"/>
                <w:szCs w:val="16"/>
                <w:color w:val="auto"/>
              </w:rPr>
            </w:pPr>
          </w:p>
        </w:tc>
        <w:tc>
          <w:tcPr>
            <w:tcW w:w="2480" w:type="dxa"/>
            <w:vAlign w:val="bottom"/>
          </w:tcPr>
          <w:p>
            <w:pPr>
              <w:jc w:val="center"/>
              <w:ind w:left="124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248920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MX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bookmarkStart w:id="1" w:name="page2"/>
    <w:bookmarkEnd w:id="1"/>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21"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Attached hereto as Exhibit 99.1 and incorporated by reference herein is financial information for MagnaChip Semiconductor Corporation and its consolidated subsidiaries for the fourth quarter and full year ended December 31, 2019, as presented in a press release dated February 19, 2020.</w:t>
      </w:r>
    </w:p>
    <w:p>
      <w:pPr>
        <w:spacing w:after="0" w:line="12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disclosed under this Item 2.02, including Exhibit 99.1 hereto, shall not be deemed “filed” for purposes of Section 18 of the Securities Exchange Act of 1934, as amended, and shall not be deemed incorporated by reference into any filing made under the Securities Act of 1933, as amended, except as expressly set forth by specific reference in such filing.</w:t>
      </w:r>
    </w:p>
    <w:p>
      <w:pPr>
        <w:spacing w:after="0" w:line="204"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31" w:lineRule="exact"/>
        <w:rPr>
          <w:sz w:val="20"/>
          <w:szCs w:val="20"/>
          <w:color w:val="auto"/>
        </w:rPr>
      </w:pPr>
    </w:p>
    <w:p>
      <w:pPr>
        <w:ind w:left="440" w:hanging="436"/>
        <w:spacing w:after="0"/>
        <w:tabs>
          <w:tab w:leader="none" w:pos="4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is furnished as part of this report:</w:t>
      </w: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5080</wp:posOffset>
            </wp:positionV>
            <wp:extent cx="6997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81" w:lineRule="exact"/>
        <w:rPr>
          <w:sz w:val="20"/>
          <w:szCs w:val="20"/>
          <w:color w:val="auto"/>
        </w:rPr>
      </w:pPr>
    </w:p>
    <w:p>
      <w:pPr>
        <w:ind w:left="880" w:right="120" w:hanging="877"/>
        <w:spacing w:after="0" w:line="277"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8"/>
            <w:szCs w:val="18"/>
            <w:u w:val="single" w:color="auto"/>
            <w:color w:val="0000EE"/>
          </w:rPr>
          <w:t>Press release for MagnaChip Semiconductor Corporation dated February 19, 2020, announcing the results for the fourth quarter and full</w:t>
        </w:r>
      </w:hyperlink>
      <w:r>
        <w:rPr>
          <w:rFonts w:ascii="Arial" w:cs="Arial" w:eastAsia="Arial" w:hAnsi="Arial"/>
          <w:sz w:val="18"/>
          <w:szCs w:val="18"/>
          <w:u w:val="single" w:color="auto"/>
          <w:color w:val="0000EE"/>
        </w:rPr>
        <w:t xml:space="preserve"> </w:t>
      </w:r>
      <w:hyperlink w:anchor="page4">
        <w:r>
          <w:rPr>
            <w:rFonts w:ascii="Arial" w:cs="Arial" w:eastAsia="Arial" w:hAnsi="Arial"/>
            <w:sz w:val="18"/>
            <w:szCs w:val="18"/>
            <w:u w:val="single" w:color="auto"/>
            <w:color w:val="0000EE"/>
          </w:rPr>
          <w:t>year ended December 31, 2019.</w:t>
        </w:r>
      </w:hyperlink>
    </w:p>
    <w:p>
      <w:pPr>
        <w:sectPr>
          <w:pgSz w:w="11900" w:h="16838" w:orient="portrait"/>
          <w:cols w:equalWidth="0" w:num="1">
            <w:col w:w="10800"/>
          </w:cols>
          <w:pgMar w:left="440" w:top="270" w:right="6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MAGNACHIP SEMICONDUCTOR CORPORATION</w:t>
      </w:r>
    </w:p>
    <w:p>
      <w:pPr>
        <w:spacing w:after="0" w:line="225" w:lineRule="exact"/>
        <w:rPr>
          <w:sz w:val="20"/>
          <w:szCs w:val="20"/>
          <w:color w:val="auto"/>
        </w:rPr>
      </w:pPr>
    </w:p>
    <w:p>
      <w:pPr>
        <w:spacing w:after="0"/>
        <w:tabs>
          <w:tab w:leader="none" w:pos="5620" w:val="left"/>
          <w:tab w:leader="none" w:pos="6040" w:val="left"/>
        </w:tabs>
        <w:rPr>
          <w:sz w:val="20"/>
          <w:szCs w:val="20"/>
          <w:color w:val="auto"/>
        </w:rPr>
      </w:pPr>
      <w:r>
        <w:rPr>
          <w:rFonts w:ascii="Arial" w:cs="Arial" w:eastAsia="Arial" w:hAnsi="Arial"/>
          <w:sz w:val="18"/>
          <w:szCs w:val="18"/>
          <w:color w:val="auto"/>
        </w:rPr>
        <w:t>Dated: February 19,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Theodore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14605</wp:posOffset>
            </wp:positionV>
            <wp:extent cx="31470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Theodore Kim</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7"/>
          <w:szCs w:val="17"/>
          <w:color w:val="auto"/>
        </w:rPr>
        <w:t>Chief Compliance Officer, Executive Vice President, General</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Counsel and Secretary</w:t>
      </w:r>
    </w:p>
    <w:p>
      <w:pPr>
        <w:sectPr>
          <w:pgSz w:w="11900" w:h="16838" w:orient="portrait"/>
          <w:cols w:equalWidth="0" w:num="1">
            <w:col w:w="10720"/>
          </w:cols>
          <w:pgMar w:left="440" w:top="270"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172085</wp:posOffset>
            </wp:positionV>
            <wp:extent cx="2607310" cy="660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0731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51435</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Revenue of $200.0 Million at High-End of Updated Q4 2019 Guidance Range;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OLED Revenue of $67.3 Million in Fourth Quarter Up Two-Fold Year-Over-Year</w:t>
      </w:r>
    </w:p>
    <w:p>
      <w:pPr>
        <w:spacing w:after="0" w:line="103" w:lineRule="exact"/>
        <w:rPr>
          <w:sz w:val="20"/>
          <w:szCs w:val="20"/>
          <w:color w:val="auto"/>
        </w:rPr>
      </w:pPr>
    </w:p>
    <w:p>
      <w:pPr>
        <w:jc w:val="center"/>
        <w:spacing w:after="0" w:line="453" w:lineRule="auto"/>
        <w:rPr>
          <w:sz w:val="20"/>
          <w:szCs w:val="20"/>
          <w:color w:val="auto"/>
        </w:rPr>
      </w:pPr>
      <w:r>
        <w:rPr>
          <w:rFonts w:ascii="Arial" w:cs="Arial" w:eastAsia="Arial" w:hAnsi="Arial"/>
          <w:sz w:val="16"/>
          <w:szCs w:val="16"/>
          <w:color w:val="auto"/>
        </w:rPr>
        <w:t>– Gross Margin of 26.6% in Q4 Slightly Above Mid-Point of Updated Guidance Range – – Cash of $151.7 Million, Up 15.5% Sequentially; $20.5 Million Net Operating Cash Flow – – Revenue of $792.2 Million for 2019 Up 5.5%; OLED, Power Revenue Set Annual Records –</w:t>
      </w:r>
    </w:p>
    <w:p>
      <w:pPr>
        <w:spacing w:after="0" w:line="35"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 xml:space="preserve">SEOUL, South Korea and SAN JOSE, Calif., February 19, 2020 </w:t>
      </w:r>
      <w:r>
        <w:rPr>
          <w:rFonts w:ascii="Arial" w:cs="Arial" w:eastAsia="Arial" w:hAnsi="Arial"/>
          <w:sz w:val="18"/>
          <w:szCs w:val="18"/>
          <w:color w:val="auto"/>
        </w:rPr>
        <w:t>— MagnaChip Semiconductor Corporation (NYSE: MX) today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results for the fourth quarter of 2019 and full year.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Q4 2019 Highlights</w:t>
      </w:r>
    </w:p>
    <w:p>
      <w:pPr>
        <w:spacing w:after="0" w:line="135" w:lineRule="exact"/>
        <w:rPr>
          <w:sz w:val="20"/>
          <w:szCs w:val="20"/>
          <w:color w:val="auto"/>
        </w:rPr>
      </w:pPr>
    </w:p>
    <w:p>
      <w:pPr>
        <w:ind w:left="980" w:right="20" w:hanging="436"/>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of $200.0 million exceeded high-end of original guidance range of $181-191 million provided on October 23, 2019; met high-end of updated guidance range of $198-200 million provided on January 13, 2020.</w:t>
      </w:r>
    </w:p>
    <w:p>
      <w:pPr>
        <w:spacing w:after="0" w:line="75" w:lineRule="exact"/>
        <w:rPr>
          <w:rFonts w:ascii="Arial" w:cs="Arial" w:eastAsia="Arial" w:hAnsi="Arial"/>
          <w:sz w:val="18"/>
          <w:szCs w:val="18"/>
          <w:color w:val="auto"/>
        </w:rPr>
      </w:pPr>
    </w:p>
    <w:p>
      <w:pPr>
        <w:ind w:left="980" w:right="160" w:hanging="436"/>
        <w:spacing w:after="0" w:line="34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Q4 revenue up 11.5% Year-over-Year (YoY); down 12.9% Quarter over Quarter (QoQ) due primarily to normal seasonal softness; OLED revenue significantly better-than-expected, Foundry revenue better-than-expected, and Power revenue softer-than-expected.</w:t>
      </w:r>
    </w:p>
    <w:p>
      <w:pPr>
        <w:spacing w:after="0" w:line="29" w:lineRule="exact"/>
        <w:rPr>
          <w:rFonts w:ascii="Arial" w:cs="Arial" w:eastAsia="Arial" w:hAnsi="Arial"/>
          <w:sz w:val="16"/>
          <w:szCs w:val="16"/>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OLED DDIC revenue of $67.3 million sets record; up two-fold YoY and down 14.0% QoQ</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Power standard products revenue of $37.8 million, down 18.1% YoY; down 22.4% QoQ</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Foundry Services Group (FSG) revenue of $86.6 million, up 4.2% YoY; down 4.1% QoQ</w:t>
      </w:r>
    </w:p>
    <w:p>
      <w:pPr>
        <w:spacing w:after="0" w:line="130" w:lineRule="exact"/>
        <w:rPr>
          <w:rFonts w:ascii="Arial" w:cs="Arial" w:eastAsia="Arial" w:hAnsi="Arial"/>
          <w:sz w:val="18"/>
          <w:szCs w:val="18"/>
          <w:color w:val="auto"/>
        </w:rPr>
      </w:pPr>
    </w:p>
    <w:p>
      <w:pPr>
        <w:ind w:left="980" w:right="200" w:hanging="436"/>
        <w:spacing w:after="0" w:line="264"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gross profit margin of 26.6% exceeded original guidance range of 24-26%; exceeded the mid-point of updated guidance range of 26-27%, driven primarily by higher-than-expected fab utilization, an improved OLED product mix and better manufacturing yields at an external foundry on latest-generation OLED display drivers.</w:t>
      </w:r>
    </w:p>
    <w:p>
      <w:pPr>
        <w:spacing w:after="0" w:line="86" w:lineRule="exact"/>
        <w:rPr>
          <w:rFonts w:ascii="Arial" w:cs="Arial" w:eastAsia="Arial" w:hAnsi="Arial"/>
          <w:sz w:val="18"/>
          <w:szCs w:val="18"/>
          <w:color w:val="auto"/>
        </w:rPr>
      </w:pPr>
    </w:p>
    <w:p>
      <w:pPr>
        <w:ind w:left="980" w:right="400" w:hanging="436"/>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Balance sheet: Cash and cash equivalents totaled $151.7 million, up 15.5% sequentially from $131.3 million, and highest in six years; $20.5 million net operating cash flow; third consecutive quarter of net positive operating cash flow.</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Summary</w:t>
      </w:r>
    </w:p>
    <w:p>
      <w:pPr>
        <w:spacing w:after="0" w:line="135" w:lineRule="exact"/>
        <w:rPr>
          <w:sz w:val="20"/>
          <w:szCs w:val="20"/>
          <w:color w:val="auto"/>
        </w:rPr>
      </w:pPr>
    </w:p>
    <w:p>
      <w:pPr>
        <w:ind w:left="980" w:hanging="43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of $792.2 million, up 5.5% YoY from $750.9 million</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Record OLED revenue of $267.1 million, up 42.1% from $188.0 million in 2018</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Record Power revenue of $176.2 million, up 4.1% from $169.3 million in 2018</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Foundry revenue of $307.1 million, down 5.6% from $325.3 million in 2018</w:t>
      </w:r>
    </w:p>
    <w:p>
      <w:pPr>
        <w:spacing w:after="0" w:line="130" w:lineRule="exact"/>
        <w:rPr>
          <w:rFonts w:ascii="Arial" w:cs="Arial" w:eastAsia="Arial" w:hAnsi="Arial"/>
          <w:sz w:val="18"/>
          <w:szCs w:val="18"/>
          <w:color w:val="auto"/>
        </w:rPr>
      </w:pPr>
    </w:p>
    <w:p>
      <w:pPr>
        <w:ind w:left="980" w:hanging="436"/>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gross profit margin of 22.8%, despite abnormally low gross margin in Q1 2019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YJ Kim comments on Coronavirus and Q1 2020 financial guidance</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On behalf of MagnaChip, let me extend our deepest thoughts and prayers to those coping with the impact of the COVID-19 coronavirus in China and elsewhere. From a business perspective, we are still assessing the potential impact since the coronavirus situation is still very dynamic. MagnaChip historically has experienced typical seasonal softness and a decline in revenue in its first quarter as compared to the prior fourth quarter, but we entered 2020 with a more optimistic view. Prior to the coronavirus outbreak, our preliminary internal forecast had anticipated Q1 2020 revenue would be slighter higher than the $200 million in revenue we reported in Q4 2019.</w:t>
      </w:r>
    </w:p>
    <w:p>
      <w:pPr>
        <w:sectPr>
          <w:pgSz w:w="11900" w:h="16838" w:orient="portrait"/>
          <w:cols w:equalWidth="0" w:num="1">
            <w:col w:w="11020"/>
          </w:cols>
          <w:pgMar w:left="440" w:top="121" w:right="439" w:bottom="1440" w:gutter="0" w:footer="0" w:header="0"/>
        </w:sectPr>
      </w:pPr>
    </w:p>
    <w:bookmarkStart w:id="4" w:name="page5"/>
    <w:bookmarkEnd w:id="4"/>
    <w:p>
      <w:pPr>
        <w:ind w:right="12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MagnaChip’s manufacturing supply chain resides largely outside China so there is negligible impact on our results. However, based on our preliminary assessments, public health measures taken in China to protect the population likely will affect customer demand in Q1. As a result, we’ve lowered our internal expectation and widened the typical guidance range we normally would provide for Q1 2020 to help account for lingering uncertainty around this public health crisis. While actual results may vary based upon events that are still unfolding, MagnaChip currently anticipates, based on best available current estimates, in Q1 2020:</w:t>
      </w:r>
    </w:p>
    <w:p>
      <w:pPr>
        <w:spacing w:after="0" w:line="94" w:lineRule="exact"/>
        <w:rPr>
          <w:sz w:val="20"/>
          <w:szCs w:val="20"/>
          <w:color w:val="auto"/>
        </w:rPr>
      </w:pPr>
    </w:p>
    <w:p>
      <w:pPr>
        <w:ind w:left="980" w:right="160" w:hanging="436"/>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to be in the range of $180 million to $195 million, down 6.2% at the mid-point of the projected range when compared with revenue of $200.0 million in the fourth quarter of 2019, and up 19.1% year-over-year when compared to revenue of $157.4 million in the first quarter of 2019.</w:t>
      </w:r>
    </w:p>
    <w:p>
      <w:pPr>
        <w:spacing w:after="0" w:line="86" w:lineRule="exact"/>
        <w:rPr>
          <w:rFonts w:ascii="Arial" w:cs="Arial" w:eastAsia="Arial" w:hAnsi="Arial"/>
          <w:sz w:val="18"/>
          <w:szCs w:val="18"/>
          <w:color w:val="auto"/>
        </w:rPr>
      </w:pPr>
    </w:p>
    <w:p>
      <w:pPr>
        <w:ind w:left="980" w:right="20" w:hanging="436"/>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Gross profit margin to be in the range of 23% to 25%, when compared to 26.6% in the fourth quarter of 2019 and 14.4% in the first quarter of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YJ Kim comments on business highlights</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Revenue of $200.0 million was the highest level achieved in a fourth quarter since 2012, primarily due to significantly better-than-expected revenue for our OLED display drivers as well as better-than-expected revenue in our Foundry business. OLED revenue in the fourth quarter increased two-fold year-over-year, driven primarily by a sharp increase in demand for our latest generation 28-nanometer display drivers. We enter 2020 with an OLED driver lineup about twice as large as a year ago, and we’re positioned for continued long-term growth with OLED drivers that meet the dual technical requirements for low power and high-resolution displays in next-generation 5G-enabled smartphones and new foldables. Power revenue declined 18.1%, more than had been expected in Q4, due to pricing pressure and weakness in the industrial and television markets. However, Power revenue in 2019 showed growth for the third consecutive year, and revenue from premium Power products increased by more than 20% in 2019 over the prior year. Our Foundry revenue in the fourth quarter increased 4.2% year-over-year and was at the highest level for 8” foundry revenue since our initial public offering in 2011.</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Evaluation Process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make substantial progress in discussions with multiple interested parties toward a possible sale of the business as well as consideration of accretive business conversions and other options. We reiterate that our decisions regarding the outcome of the various options of the strategic evaluation process will be guided by what the Board and management consider to be the best available path to improve MagnaChip’s profitability and to maximize shareholder value.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Financial Review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Revenue</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revenue in the fourth quarter was $200.0 million, up 11.5% as compared to reported revenue of $179.4 million from the fourth quarter of 2018, and down 12.9% from $229.7 million in the third quarter of 2019.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Revenue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Foundry Services Group revenue in the fourth quarter was $86.6 million, up 4.2% from the fourth quarter of 2018, and down 4.1% sequentially.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Standard Products Group revenue in the fourth quarter was $113.3 million, up 17.7% from the fourth quarter of 2018, and down 18.6% sequentially.</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Gross Profit and Gross Profit Margin</w:t>
      </w:r>
    </w:p>
    <w:p>
      <w:pPr>
        <w:spacing w:after="0" w:line="121"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Total gross profit in the fourth quarter of 2019 was $53.2 million or 26.6% as a percentage of revenue, as compared with a gross profit of $43.9 million or 24.5% as a percentage of revenue in the fourth quarter of 2018, and $60.9 million or 26.5% as a percentage of revenue in the third quarter of 2019.</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Gross Profit Margin</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Foundry Services Group gross profit margin in the fourth quarter was 26.1% as compared with 23.2% in the fourth quarter of 2018 and 28.3% in the third quarter of 2019. The YoY in the Foundry Services Group’s gross profit margin was primarily due to an improved product mix. The Standard Products Group gross profit margin in the fourth quarter was 26.9% as compared with 25.6% in the fourth quarter of 2018 and 25.3% in the third quarter of 2019. The YoY and sequential improvement in the Standard Products Group’s gross profit margin was due primarily to an improved product mix, and stabilized wafer yields from external suppliers on OLED products that entered production in the third quarter of 2019.</w:t>
      </w:r>
    </w:p>
    <w:p>
      <w:pPr>
        <w:sectPr>
          <w:pgSz w:w="11900" w:h="16838" w:orient="portrait"/>
          <w:cols w:equalWidth="0" w:num="1">
            <w:col w:w="11020"/>
          </w:cols>
          <w:pgMar w:left="440" w:top="274"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Operating Income, Net Income, Adjusted Net Income, Adjusted EBITDA</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Operating income was $10.0 million for the fourth quarter of 2019 as compared to operating income of $7.9 million for the fourth quarter of 2018 and $25.9 million in the third quarter of 2019.</w:t>
      </w:r>
    </w:p>
    <w:p>
      <w:pPr>
        <w:spacing w:after="0" w:line="17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Net income, on a GAAP basis, was $23.4 million or $0.68 per basic share and $0.54 per diluted share in the fourth quarter of 2019 as compared with net loss of $2.4 million or $0.07 per basic and diluted share in the fourth quarter of 2018 and net loss of $1.6 million or $0.05 per basic and diluted share in the third quarter of 2019.</w:t>
      </w:r>
    </w:p>
    <w:p>
      <w:pPr>
        <w:spacing w:after="0" w:line="18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Adjusted Net Income, a non-GAAP financial measure, totaled $13.2 million or $0.38 per basic share and $0.32 per diluted share in the fourth quarter of 2019 as compared to Adjusted Net Income of $3.5 million or $0.10 per basic and diluted share in the fourth quarter of 2018 and Adjusted Net Income of $20.9 million or $0.61 per basic share and $0.49 per diluted share in the third quarter of 2019.</w:t>
      </w:r>
    </w:p>
    <w:p>
      <w:pPr>
        <w:spacing w:after="0" w:line="18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Adjusted EBITDA, a non-GAAP financial measure, was $27.7 million or 13.8% of revenue in the fourth quarter of 2019 as compared to Adjusted EBITDA of $17.4 million or 9.7% of revenue in the fourth quarter of 2018 and Adjusted EBITDA of $35.5 million or 15.4% of revenue in the third quarter of 2019.</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Management believes that non-GAAP financial measures, when viewed in conjunction with GAAP results, can provide a meaningful understanding of the factors and trends affecting MagnaChip’s business and operations and assist in evaluating our core operating performance. However, such non-GAAP financial measures have limitations and should not be considered as a substitute for net income or as a better indicator of our operating performance than measures that are presented in accordance with GAAP. A reconciliation of GAAP results to non-GAAP results is included in this press release.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totaled $151.7 million in the fourth quarter, up from $131.3 million in the third quarter of 2019.</w:t>
      </w:r>
    </w:p>
    <w:p>
      <w:pPr>
        <w:spacing w:after="0" w:line="244" w:lineRule="exact"/>
        <w:rPr>
          <w:sz w:val="20"/>
          <w:szCs w:val="20"/>
          <w:color w:val="auto"/>
        </w:rPr>
      </w:pPr>
    </w:p>
    <w:tbl>
      <w:tblPr>
        <w:tblLayout w:type="fixed"/>
        <w:tblInd w:w="4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540"/>
              <w:spacing w:after="0"/>
              <w:rPr>
                <w:sz w:val="20"/>
                <w:szCs w:val="20"/>
                <w:color w:val="auto"/>
              </w:rPr>
            </w:pPr>
            <w:r>
              <w:rPr>
                <w:rFonts w:ascii="Arial" w:cs="Arial" w:eastAsia="Arial" w:hAnsi="Arial"/>
                <w:sz w:val="14"/>
                <w:szCs w:val="14"/>
                <w:b w:val="1"/>
                <w:bCs w:val="1"/>
                <w:color w:val="auto"/>
              </w:rPr>
              <w:t>Year Ended</w:t>
            </w:r>
          </w:p>
        </w:tc>
        <w:tc>
          <w:tcPr>
            <w:tcW w:w="66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19"/>
        </w:trPr>
        <w:tc>
          <w:tcPr>
            <w:tcW w:w="20" w:type="dxa"/>
            <w:vAlign w:val="bottom"/>
          </w:tcPr>
          <w:p>
            <w:pPr>
              <w:spacing w:after="0"/>
              <w:rPr>
                <w:sz w:val="10"/>
                <w:szCs w:val="10"/>
                <w:color w:val="auto"/>
              </w:rPr>
            </w:pPr>
          </w:p>
        </w:tc>
        <w:tc>
          <w:tcPr>
            <w:tcW w:w="4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320" w:type="dxa"/>
            <w:vAlign w:val="bottom"/>
            <w:gridSpan w:val="3"/>
          </w:tcPr>
          <w:p>
            <w:pPr>
              <w:ind w:left="46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460" w:type="dxa"/>
            <w:vAlign w:val="bottom"/>
          </w:tcPr>
          <w:p>
            <w:pPr>
              <w:spacing w:after="0"/>
              <w:rPr>
                <w:sz w:val="10"/>
                <w:szCs w:val="10"/>
                <w:color w:val="auto"/>
              </w:rPr>
            </w:pP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320" w:type="dxa"/>
            <w:vAlign w:val="bottom"/>
            <w:gridSpan w:val="3"/>
          </w:tcPr>
          <w:p>
            <w:pPr>
              <w:ind w:left="46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4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430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4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Sales</w:t>
            </w: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11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86,631</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83,114</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307,144</w:t>
            </w:r>
          </w:p>
        </w:tc>
        <w:tc>
          <w:tcPr>
            <w:tcW w:w="6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325,312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700"/>
              <w:spacing w:after="0"/>
              <w:rPr>
                <w:sz w:val="20"/>
                <w:szCs w:val="20"/>
                <w:color w:val="auto"/>
              </w:rPr>
            </w:pPr>
            <w:r>
              <w:rPr>
                <w:rFonts w:ascii="Arial" w:cs="Arial" w:eastAsia="Arial" w:hAnsi="Arial"/>
                <w:sz w:val="18"/>
                <w:szCs w:val="18"/>
                <w:color w:val="auto"/>
              </w:rPr>
              <w:t>Display Solutions</w:t>
            </w: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75,490</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50,127</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308,531</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256,113</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Power Solutions</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46,131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176,245</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169,284</w:t>
            </w:r>
          </w:p>
        </w:tc>
        <w:tc>
          <w:tcPr>
            <w:tcW w:w="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080"/>
              <w:spacing w:after="0"/>
              <w:rPr>
                <w:sz w:val="20"/>
                <w:szCs w:val="20"/>
                <w:color w:val="auto"/>
              </w:rPr>
            </w:pPr>
            <w:r>
              <w:rPr>
                <w:rFonts w:ascii="Arial" w:cs="Arial" w:eastAsia="Arial" w:hAnsi="Arial"/>
                <w:sz w:val="18"/>
                <w:szCs w:val="18"/>
                <w:color w:val="auto"/>
              </w:rPr>
              <w:t>Total Standard Products Group</w:t>
            </w:r>
          </w:p>
        </w:tc>
        <w:tc>
          <w:tcPr>
            <w:tcW w:w="11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113,292</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96,258</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484,776</w:t>
            </w:r>
          </w:p>
        </w:tc>
        <w:tc>
          <w:tcPr>
            <w:tcW w:w="6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425,397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All other</w:t>
            </w: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4300" w:type="dxa"/>
            <w:vAlign w:val="bottom"/>
          </w:tcPr>
          <w:p>
            <w:pPr>
              <w:ind w:left="1080"/>
              <w:spacing w:after="0"/>
              <w:rPr>
                <w:sz w:val="20"/>
                <w:szCs w:val="20"/>
                <w:color w:val="auto"/>
              </w:rPr>
            </w:pPr>
            <w:r>
              <w:rPr>
                <w:rFonts w:ascii="Arial" w:cs="Arial" w:eastAsia="Arial" w:hAnsi="Arial"/>
                <w:sz w:val="18"/>
                <w:szCs w:val="18"/>
                <w:color w:val="auto"/>
              </w:rPr>
              <w:t>Total net sales</w:t>
            </w:r>
          </w:p>
        </w:tc>
        <w:tc>
          <w:tcPr>
            <w:tcW w:w="11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199,993</w:t>
            </w:r>
          </w:p>
        </w:tc>
        <w:tc>
          <w:tcPr>
            <w:tcW w:w="6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179,394</w:t>
            </w:r>
          </w:p>
        </w:tc>
        <w:tc>
          <w:tcPr>
            <w:tcW w:w="6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792,195</w:t>
            </w:r>
          </w:p>
        </w:tc>
        <w:tc>
          <w:tcPr>
            <w:tcW w:w="6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5"/>
              </w:rPr>
              <w:t>750,898</w:t>
            </w:r>
          </w:p>
        </w:tc>
        <w:tc>
          <w:tcPr>
            <w:tcW w:w="40" w:type="dxa"/>
            <w:vAlign w:val="bottom"/>
          </w:tcPr>
          <w:p>
            <w:pPr>
              <w:spacing w:after="0"/>
              <w:rPr>
                <w:sz w:val="20"/>
                <w:szCs w:val="20"/>
                <w:color w:val="auto"/>
              </w:rPr>
            </w:pPr>
          </w:p>
        </w:tc>
      </w:tr>
    </w:tbl>
    <w:p>
      <w:pPr>
        <w:sectPr>
          <w:pgSz w:w="11900" w:h="16838" w:orient="portrait"/>
          <w:cols w:equalWidth="0" w:num="1">
            <w:col w:w="11020"/>
          </w:cols>
          <w:pgMar w:left="440" w:top="270" w:right="43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4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7"/>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7"/>
          </w:tcPr>
          <w:p>
            <w:pPr>
              <w:jc w:val="right"/>
              <w:ind w:right="48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Borders>
              <w:top w:val="single" w:sz="8" w:color="auto"/>
            </w:tcBorders>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jc w:val="right"/>
              <w:ind w:right="140"/>
              <w:spacing w:after="0" w:line="119" w:lineRule="exact"/>
              <w:rPr>
                <w:sz w:val="20"/>
                <w:szCs w:val="20"/>
                <w:color w:val="auto"/>
              </w:rPr>
            </w:pPr>
            <w:r>
              <w:rPr>
                <w:rFonts w:ascii="Arial" w:cs="Arial" w:eastAsia="Arial" w:hAnsi="Arial"/>
                <w:sz w:val="13"/>
                <w:szCs w:val="13"/>
                <w:b w:val="1"/>
                <w:bCs w:val="1"/>
                <w:color w:val="auto"/>
              </w:rPr>
              <w:t>% of</w:t>
            </w: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top w:val="single" w:sz="8" w:color="auto"/>
            </w:tcBorders>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98"/>
              </w:rPr>
              <w:t>Amount</w:t>
            </w:r>
          </w:p>
        </w:tc>
        <w:tc>
          <w:tcPr>
            <w:tcW w:w="4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90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5"/>
              </w:rPr>
              <w:t>Net Sales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160" w:type="dxa"/>
            <w:vAlign w:val="bottom"/>
            <w:gridSpan w:val="3"/>
          </w:tcPr>
          <w:p>
            <w:pPr>
              <w:jc w:val="center"/>
              <w:ind w:left="114"/>
              <w:spacing w:after="0"/>
              <w:rPr>
                <w:sz w:val="20"/>
                <w:szCs w:val="20"/>
                <w:color w:val="auto"/>
              </w:rPr>
            </w:pPr>
            <w:r>
              <w:rPr>
                <w:rFonts w:ascii="Arial" w:cs="Arial" w:eastAsia="Arial" w:hAnsi="Arial"/>
                <w:sz w:val="14"/>
                <w:szCs w:val="14"/>
                <w:b w:val="1"/>
                <w:bCs w:val="1"/>
                <w:color w:val="auto"/>
                <w:w w:val="88"/>
              </w:rPr>
              <w:t>Net Sales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20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2720" w:type="dxa"/>
            <w:vAlign w:val="bottom"/>
            <w:gridSpan w:val="4"/>
          </w:tcPr>
          <w:p>
            <w:pPr>
              <w:jc w:val="right"/>
              <w:spacing w:after="0"/>
              <w:rPr>
                <w:sz w:val="20"/>
                <w:szCs w:val="20"/>
                <w:color w:val="auto"/>
              </w:rPr>
            </w:pPr>
            <w:r>
              <w:rPr>
                <w:rFonts w:ascii="Arial" w:cs="Arial" w:eastAsia="Arial" w:hAnsi="Arial"/>
                <w:sz w:val="18"/>
                <w:szCs w:val="18"/>
                <w:color w:val="auto"/>
              </w:rPr>
              <w:t>$22,649</w:t>
            </w:r>
          </w:p>
        </w:tc>
        <w:tc>
          <w:tcPr>
            <w:tcW w:w="1260" w:type="dxa"/>
            <w:vAlign w:val="bottom"/>
            <w:gridSpan w:val="5"/>
          </w:tcPr>
          <w:p>
            <w:pPr>
              <w:jc w:val="right"/>
              <w:ind w:right="120"/>
              <w:spacing w:after="0"/>
              <w:rPr>
                <w:sz w:val="20"/>
                <w:szCs w:val="20"/>
                <w:color w:val="auto"/>
              </w:rPr>
            </w:pPr>
            <w:r>
              <w:rPr>
                <w:rFonts w:ascii="Arial" w:cs="Arial" w:eastAsia="Arial" w:hAnsi="Arial"/>
                <w:sz w:val="18"/>
                <w:szCs w:val="18"/>
                <w:color w:val="auto"/>
              </w:rPr>
              <w:t>26.1%</w:t>
            </w: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$19,286</w:t>
            </w:r>
          </w:p>
        </w:tc>
        <w:tc>
          <w:tcPr>
            <w:tcW w:w="2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2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30,485</w:t>
            </w: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2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24,604</w:t>
            </w:r>
          </w:p>
        </w:tc>
        <w:tc>
          <w:tcPr>
            <w:tcW w:w="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All other</w:t>
            </w:r>
          </w:p>
        </w:tc>
        <w:tc>
          <w:tcPr>
            <w:tcW w:w="2720" w:type="dxa"/>
            <w:vAlign w:val="bottom"/>
            <w:gridSpan w:val="4"/>
          </w:tcPr>
          <w:p>
            <w:pPr>
              <w:jc w:val="right"/>
              <w:spacing w:after="0"/>
              <w:rPr>
                <w:sz w:val="20"/>
                <w:szCs w:val="20"/>
                <w:color w:val="auto"/>
              </w:rPr>
            </w:pPr>
            <w:r>
              <w:rPr>
                <w:rFonts w:ascii="Arial" w:cs="Arial" w:eastAsia="Arial" w:hAnsi="Arial"/>
                <w:sz w:val="18"/>
                <w:szCs w:val="18"/>
                <w:color w:val="auto"/>
              </w:rPr>
              <w:t>70</w:t>
            </w:r>
          </w:p>
        </w:tc>
        <w:tc>
          <w:tcPr>
            <w:tcW w:w="980" w:type="dxa"/>
            <w:vAlign w:val="bottom"/>
            <w:gridSpan w:val="4"/>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gross profit</w:t>
            </w:r>
          </w:p>
        </w:tc>
        <w:tc>
          <w:tcPr>
            <w:tcW w:w="27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$53,204</w:t>
            </w:r>
          </w:p>
        </w:tc>
        <w:tc>
          <w:tcPr>
            <w:tcW w:w="126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26.6%</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$43,912</w:t>
            </w:r>
          </w:p>
        </w:tc>
        <w:tc>
          <w:tcPr>
            <w:tcW w:w="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60" w:type="dxa"/>
            <w:vAlign w:val="bottom"/>
            <w:gridSpan w:val="7"/>
          </w:tcPr>
          <w:p>
            <w:pPr>
              <w:jc w:val="right"/>
              <w:ind w:right="80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w w:val="99"/>
              </w:rPr>
              <w:t>December 31, 2019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720" w:type="dxa"/>
            <w:vAlign w:val="bottom"/>
            <w:tcBorders>
              <w:top w:val="single" w:sz="8" w:color="auto"/>
            </w:tcBorders>
            <w:gridSpan w:val="3"/>
            <w:vMerge w:val="restart"/>
          </w:tcPr>
          <w:p>
            <w:pPr>
              <w:jc w:val="right"/>
              <w:ind w:right="140"/>
              <w:spacing w:after="0"/>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jc w:val="right"/>
              <w:ind w:right="73"/>
              <w:spacing w:after="0" w:line="119" w:lineRule="exact"/>
              <w:rPr>
                <w:sz w:val="20"/>
                <w:szCs w:val="20"/>
                <w:color w:val="auto"/>
              </w:rPr>
            </w:pPr>
            <w:r>
              <w:rPr>
                <w:rFonts w:ascii="Arial" w:cs="Arial" w:eastAsia="Arial" w:hAnsi="Arial"/>
                <w:sz w:val="13"/>
                <w:szCs w:val="13"/>
                <w:b w:val="1"/>
                <w:bCs w:val="1"/>
                <w:color w:val="auto"/>
              </w:rPr>
              <w:t>% of</w:t>
            </w:r>
          </w:p>
        </w:tc>
        <w:tc>
          <w:tcPr>
            <w:tcW w:w="34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4"/>
              </w:rPr>
              <w:t>Amount</w:t>
            </w:r>
          </w:p>
        </w:tc>
        <w:tc>
          <w:tcPr>
            <w:tcW w:w="4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12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Net Sales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160" w:type="dxa"/>
            <w:vAlign w:val="bottom"/>
            <w:gridSpan w:val="3"/>
          </w:tcPr>
          <w:p>
            <w:pPr>
              <w:jc w:val="center"/>
              <w:ind w:left="114"/>
              <w:spacing w:after="0"/>
              <w:rPr>
                <w:sz w:val="20"/>
                <w:szCs w:val="20"/>
                <w:color w:val="auto"/>
              </w:rPr>
            </w:pPr>
            <w:r>
              <w:rPr>
                <w:rFonts w:ascii="Arial" w:cs="Arial" w:eastAsia="Arial" w:hAnsi="Arial"/>
                <w:sz w:val="14"/>
                <w:szCs w:val="14"/>
                <w:b w:val="1"/>
                <w:bCs w:val="1"/>
                <w:color w:val="auto"/>
                <w:w w:val="88"/>
              </w:rPr>
              <w:t>Net Sales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Gross Profit</w:t>
            </w:r>
          </w:p>
        </w:tc>
        <w:tc>
          <w:tcPr>
            <w:tcW w:w="20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Foundry Services Group</w:t>
            </w:r>
          </w:p>
        </w:tc>
        <w:tc>
          <w:tcPr>
            <w:tcW w:w="2660" w:type="dxa"/>
            <w:vAlign w:val="bottom"/>
            <w:gridSpan w:val="3"/>
          </w:tcPr>
          <w:p>
            <w:pPr>
              <w:jc w:val="right"/>
              <w:spacing w:after="0"/>
              <w:rPr>
                <w:sz w:val="20"/>
                <w:szCs w:val="20"/>
                <w:color w:val="auto"/>
              </w:rPr>
            </w:pPr>
            <w:r>
              <w:rPr>
                <w:rFonts w:ascii="Arial" w:cs="Arial" w:eastAsia="Arial" w:hAnsi="Arial"/>
                <w:sz w:val="18"/>
                <w:szCs w:val="18"/>
                <w:color w:val="auto"/>
              </w:rPr>
              <w:t>$ 64,010</w:t>
            </w:r>
          </w:p>
        </w:tc>
        <w:tc>
          <w:tcPr>
            <w:tcW w:w="60" w:type="dxa"/>
            <w:vAlign w:val="bottom"/>
          </w:tcPr>
          <w:p>
            <w:pPr>
              <w:spacing w:after="0"/>
              <w:rPr>
                <w:sz w:val="18"/>
                <w:szCs w:val="18"/>
                <w:color w:val="auto"/>
              </w:rPr>
            </w:pPr>
          </w:p>
        </w:tc>
        <w:tc>
          <w:tcPr>
            <w:tcW w:w="1260" w:type="dxa"/>
            <w:vAlign w:val="bottom"/>
            <w:gridSpan w:val="5"/>
          </w:tcPr>
          <w:p>
            <w:pPr>
              <w:ind w:left="600"/>
              <w:spacing w:after="0"/>
              <w:rPr>
                <w:sz w:val="20"/>
                <w:szCs w:val="20"/>
                <w:color w:val="auto"/>
              </w:rPr>
            </w:pPr>
            <w:r>
              <w:rPr>
                <w:rFonts w:ascii="Arial" w:cs="Arial" w:eastAsia="Arial" w:hAnsi="Arial"/>
                <w:sz w:val="18"/>
                <w:szCs w:val="18"/>
                <w:color w:val="auto"/>
              </w:rPr>
              <w:t>20.8%</w:t>
            </w: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$ 82,578</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Standard Products Group</w:t>
            </w:r>
          </w:p>
        </w:tc>
        <w:tc>
          <w:tcPr>
            <w:tcW w:w="2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116,327</w:t>
            </w:r>
          </w:p>
        </w:tc>
        <w:tc>
          <w:tcPr>
            <w:tcW w:w="6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w w:val="85"/>
              </w:rPr>
              <w:t>24.0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115,478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ind w:left="340"/>
              <w:spacing w:after="0"/>
              <w:rPr>
                <w:sz w:val="20"/>
                <w:szCs w:val="20"/>
                <w:color w:val="auto"/>
              </w:rPr>
            </w:pPr>
            <w:r>
              <w:rPr>
                <w:rFonts w:ascii="Arial" w:cs="Arial" w:eastAsia="Arial" w:hAnsi="Arial"/>
                <w:sz w:val="18"/>
                <w:szCs w:val="18"/>
                <w:color w:val="auto"/>
              </w:rPr>
              <w:t>All other</w:t>
            </w:r>
          </w:p>
        </w:tc>
        <w:tc>
          <w:tcPr>
            <w:tcW w:w="2660" w:type="dxa"/>
            <w:vAlign w:val="bottom"/>
            <w:gridSpan w:val="3"/>
          </w:tcPr>
          <w:p>
            <w:pPr>
              <w:jc w:val="right"/>
              <w:spacing w:after="0"/>
              <w:rPr>
                <w:sz w:val="20"/>
                <w:szCs w:val="20"/>
                <w:color w:val="auto"/>
              </w:rPr>
            </w:pPr>
            <w:r>
              <w:rPr>
                <w:rFonts w:ascii="Arial" w:cs="Arial" w:eastAsia="Arial" w:hAnsi="Arial"/>
                <w:sz w:val="18"/>
                <w:szCs w:val="18"/>
                <w:color w:val="auto"/>
              </w:rPr>
              <w:t>274</w:t>
            </w:r>
          </w:p>
        </w:tc>
        <w:tc>
          <w:tcPr>
            <w:tcW w:w="60" w:type="dxa"/>
            <w:vAlign w:val="bottom"/>
          </w:tcPr>
          <w:p>
            <w:pPr>
              <w:spacing w:after="0"/>
              <w:rPr>
                <w:sz w:val="18"/>
                <w:szCs w:val="18"/>
                <w:color w:val="auto"/>
              </w:rPr>
            </w:pPr>
          </w:p>
        </w:tc>
        <w:tc>
          <w:tcPr>
            <w:tcW w:w="920" w:type="dxa"/>
            <w:vAlign w:val="bottom"/>
            <w:gridSpan w:val="3"/>
          </w:tcPr>
          <w:p>
            <w:pPr>
              <w:ind w:left="600"/>
              <w:spacing w:after="0"/>
              <w:rPr>
                <w:sz w:val="20"/>
                <w:szCs w:val="20"/>
                <w:color w:val="auto"/>
              </w:rPr>
            </w:pPr>
            <w:r>
              <w:rPr>
                <w:rFonts w:ascii="Arial" w:cs="Arial" w:eastAsia="Arial" w:hAnsi="Arial"/>
                <w:sz w:val="18"/>
                <w:szCs w:val="18"/>
                <w:color w:val="auto"/>
                <w:w w:val="85"/>
              </w:rPr>
              <w:t>99.6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gridSpan w:val="4"/>
          </w:tcPr>
          <w:p>
            <w:pPr>
              <w:jc w:val="right"/>
              <w:ind w:right="20"/>
              <w:spacing w:after="0"/>
              <w:rPr>
                <w:sz w:val="20"/>
                <w:szCs w:val="20"/>
                <w:color w:val="auto"/>
              </w:rPr>
            </w:pPr>
            <w:r>
              <w:rPr>
                <w:rFonts w:ascii="Arial" w:cs="Arial" w:eastAsia="Arial" w:hAnsi="Arial"/>
                <w:sz w:val="18"/>
                <w:szCs w:val="18"/>
                <w:color w:val="auto"/>
              </w:rPr>
              <w:t>40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gross profit</w:t>
            </w:r>
          </w:p>
        </w:tc>
        <w:tc>
          <w:tcPr>
            <w:tcW w:w="26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$180,611</w:t>
            </w:r>
          </w:p>
        </w:tc>
        <w:tc>
          <w:tcPr>
            <w:tcW w:w="60" w:type="dxa"/>
            <w:vAlign w:val="bottom"/>
            <w:shd w:val="clear" w:color="auto" w:fill="CCEEFF"/>
          </w:tcPr>
          <w:p>
            <w:pPr>
              <w:spacing w:after="0"/>
              <w:rPr>
                <w:sz w:val="18"/>
                <w:szCs w:val="18"/>
                <w:color w:val="auto"/>
              </w:rPr>
            </w:pPr>
          </w:p>
        </w:tc>
        <w:tc>
          <w:tcPr>
            <w:tcW w:w="1260" w:type="dxa"/>
            <w:vAlign w:val="bottom"/>
            <w:gridSpan w:val="5"/>
            <w:shd w:val="clear" w:color="auto" w:fill="CCEEFF"/>
          </w:tcPr>
          <w:p>
            <w:pPr>
              <w:ind w:left="600"/>
              <w:spacing w:after="0"/>
              <w:rPr>
                <w:sz w:val="20"/>
                <w:szCs w:val="20"/>
                <w:color w:val="auto"/>
              </w:rPr>
            </w:pPr>
            <w:r>
              <w:rPr>
                <w:rFonts w:ascii="Arial" w:cs="Arial" w:eastAsia="Arial" w:hAnsi="Arial"/>
                <w:sz w:val="18"/>
                <w:szCs w:val="18"/>
                <w:color w:val="auto"/>
              </w:rPr>
              <w:t>22.8%</w:t>
            </w:r>
          </w:p>
        </w:tc>
        <w:tc>
          <w:tcPr>
            <w:tcW w:w="8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$198,096</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26.4%</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2019 and Recent Company Highlights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MagnaChip:</w:t>
      </w:r>
    </w:p>
    <w:p>
      <w:pPr>
        <w:spacing w:after="0" w:line="131" w:lineRule="exact"/>
        <w:rPr>
          <w:sz w:val="20"/>
          <w:szCs w:val="20"/>
          <w:color w:val="auto"/>
        </w:rPr>
      </w:pPr>
    </w:p>
    <w:p>
      <w:pPr>
        <w:ind w:left="980" w:right="360" w:hanging="436"/>
        <w:spacing w:after="0" w:line="30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Announced that CEO YJ Kim was awarded the National Industrial Service Medal by the Korean President in acknowledgement of his efforts to attract investment and encourage job development in Korea. The medal was presented at the annual ‘Foreign Company Day’ ceremony hosted by the Korea Ministry of Industry, Trade and Energy, and the Korea Foreign Company Association (FORCA). </w:t>
      </w:r>
      <w:r>
        <w:rPr>
          <w:rFonts w:ascii="Arial" w:cs="Arial" w:eastAsia="Arial" w:hAnsi="Arial"/>
          <w:sz w:val="16"/>
          <w:szCs w:val="16"/>
          <w:u w:val="single" w:color="auto"/>
          <w:color w:val="auto"/>
        </w:rPr>
        <w:t>http://investors.magnachip.com/news-releases/news-release-details/magnachip-semiconductor-ceo-yj-kim-awarded-koreas-prestigious</w:t>
      </w:r>
    </w:p>
    <w:p>
      <w:pPr>
        <w:spacing w:after="0" w:line="59" w:lineRule="exact"/>
        <w:rPr>
          <w:rFonts w:ascii="Arial" w:cs="Arial" w:eastAsia="Arial" w:hAnsi="Arial"/>
          <w:sz w:val="16"/>
          <w:szCs w:val="16"/>
          <w:color w:val="auto"/>
        </w:rPr>
      </w:pPr>
    </w:p>
    <w:p>
      <w:pPr>
        <w:ind w:left="980" w:right="900" w:hanging="436"/>
        <w:spacing w:after="0" w:line="34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Was nominated as a 2019 Finalist for the award of “Most Respected Emerging Public Semiconductor Company” by the Global Semiconductor Alliance. </w:t>
      </w:r>
      <w:r>
        <w:rPr>
          <w:rFonts w:ascii="Arial" w:cs="Arial" w:eastAsia="Arial" w:hAnsi="Arial"/>
          <w:sz w:val="16"/>
          <w:szCs w:val="16"/>
          <w:u w:val="single" w:color="auto"/>
          <w:color w:val="auto"/>
        </w:rPr>
        <w:t>https://www.gsaglobal.org/2019-global-semiconductor-alliance-award-nominees-announced/</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2019 Earnings Conference Call</w:t>
      </w:r>
    </w:p>
    <w:p>
      <w:pPr>
        <w:spacing w:after="0" w:line="117"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The earnings conference call will be webcast live today (February 19, 2020) at 5:00 p.m. ET, and also is available by dialing toll-free at </w:t>
      </w:r>
      <w:r>
        <w:rPr>
          <w:rFonts w:ascii="Arial" w:cs="Arial" w:eastAsia="Arial" w:hAnsi="Arial"/>
          <w:sz w:val="18"/>
          <w:szCs w:val="18"/>
          <w:b w:val="1"/>
          <w:bCs w:val="1"/>
          <w:color w:val="auto"/>
        </w:rPr>
        <w:t>1-844-536-5472</w:t>
      </w:r>
      <w:r>
        <w:rPr>
          <w:rFonts w:ascii="Arial" w:cs="Arial" w:eastAsia="Arial" w:hAnsi="Arial"/>
          <w:sz w:val="18"/>
          <w:szCs w:val="18"/>
          <w:color w:val="auto"/>
        </w:rPr>
        <w:t xml:space="preserve">. International call-in participants can dial </w:t>
      </w:r>
      <w:r>
        <w:rPr>
          <w:rFonts w:ascii="Arial" w:cs="Arial" w:eastAsia="Arial" w:hAnsi="Arial"/>
          <w:sz w:val="18"/>
          <w:szCs w:val="18"/>
          <w:b w:val="1"/>
          <w:bCs w:val="1"/>
          <w:color w:val="auto"/>
        </w:rPr>
        <w:t>1-614-999-9318</w:t>
      </w:r>
      <w:r>
        <w:rPr>
          <w:rFonts w:ascii="Arial" w:cs="Arial" w:eastAsia="Arial" w:hAnsi="Arial"/>
          <w:sz w:val="18"/>
          <w:szCs w:val="18"/>
          <w:color w:val="auto"/>
        </w:rPr>
        <w:t xml:space="preserve">. The conference ID number is </w:t>
      </w:r>
      <w:r>
        <w:rPr>
          <w:rFonts w:ascii="Arial" w:cs="Arial" w:eastAsia="Arial" w:hAnsi="Arial"/>
          <w:sz w:val="18"/>
          <w:szCs w:val="18"/>
          <w:b w:val="1"/>
          <w:bCs w:val="1"/>
          <w:color w:val="auto"/>
        </w:rPr>
        <w:t>7994839</w:t>
      </w:r>
      <w:r>
        <w:rPr>
          <w:rFonts w:ascii="Arial" w:cs="Arial" w:eastAsia="Arial" w:hAnsi="Arial"/>
          <w:sz w:val="18"/>
          <w:szCs w:val="18"/>
          <w:color w:val="auto"/>
        </w:rPr>
        <w:t xml:space="preserve">. Participants are encouraged to initiate their calls at least 10 minutes in advance of the 5 p.m. ET start time to ensure a timely connection. The webcast and earnings release will be accessible at www.magnachip.com. A replay of the conference call will be available the same day and will run for 72 hours. The replay dial-in numbers are </w:t>
      </w:r>
      <w:r>
        <w:rPr>
          <w:rFonts w:ascii="Arial" w:cs="Arial" w:eastAsia="Arial" w:hAnsi="Arial"/>
          <w:sz w:val="18"/>
          <w:szCs w:val="18"/>
          <w:b w:val="1"/>
          <w:bCs w:val="1"/>
          <w:color w:val="auto"/>
        </w:rPr>
        <w:t xml:space="preserve">1-404-537-3406 </w:t>
      </w:r>
      <w:r>
        <w:rPr>
          <w:rFonts w:ascii="Arial" w:cs="Arial" w:eastAsia="Arial" w:hAnsi="Arial"/>
          <w:sz w:val="18"/>
          <w:szCs w:val="18"/>
          <w:color w:val="auto"/>
        </w:rPr>
        <w:t>or toll-free at</w:t>
      </w:r>
      <w:r>
        <w:rPr>
          <w:rFonts w:ascii="Arial" w:cs="Arial" w:eastAsia="Arial" w:hAnsi="Arial"/>
          <w:sz w:val="18"/>
          <w:szCs w:val="18"/>
          <w:b w:val="1"/>
          <w:bCs w:val="1"/>
          <w:color w:val="auto"/>
        </w:rPr>
        <w:t xml:space="preserve"> 1-855-859-2056</w:t>
      </w:r>
      <w:r>
        <w:rPr>
          <w:rFonts w:ascii="Arial" w:cs="Arial" w:eastAsia="Arial" w:hAnsi="Arial"/>
          <w:sz w:val="18"/>
          <w:szCs w:val="18"/>
          <w:color w:val="auto"/>
        </w:rPr>
        <w:t>. The access code is</w:t>
      </w:r>
      <w:r>
        <w:rPr>
          <w:rFonts w:ascii="Arial" w:cs="Arial" w:eastAsia="Arial" w:hAnsi="Arial"/>
          <w:sz w:val="18"/>
          <w:szCs w:val="18"/>
          <w:b w:val="1"/>
          <w:bCs w:val="1"/>
          <w:color w:val="auto"/>
        </w:rPr>
        <w:t xml:space="preserve"> 7994839</w:t>
      </w:r>
      <w:r>
        <w:rPr>
          <w:rFonts w:ascii="Arial" w:cs="Arial" w:eastAsia="Arial" w:hAnsi="Arial"/>
          <w:sz w:val="18"/>
          <w:szCs w:val="18"/>
          <w:color w:val="auto"/>
        </w:rPr>
        <w:t>.</w:t>
      </w:r>
    </w:p>
    <w:p>
      <w:pPr>
        <w:sectPr>
          <w:pgSz w:w="11900" w:h="16838" w:orient="portrait"/>
          <w:cols w:equalWidth="0" w:num="1">
            <w:col w:w="11020"/>
          </w:cols>
          <w:pgMar w:left="440" w:top="253"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MagnaChip Semiconductor Corporation</w:t>
      </w:r>
    </w:p>
    <w:p>
      <w:pPr>
        <w:spacing w:after="0" w:line="121"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 xml:space="preserve">MagnaChip is a designer and manufacturer of analog and mixed-signal semiconductor platform solutions for communications, IoT, consumer, industrial and automotive applications. The Company’s Standard Products Group and Foundry Services Group provide a broad range of standard products and manufacturing services to customers worldwide. MagnaChip, with 41 years of operating history, owns a portfolio of approximately 2,950 registered patents and pending applications, and has extensive engineering, design and manufacturing process expertise. For more information, please visit </w:t>
      </w:r>
      <w:r>
        <w:rPr>
          <w:rFonts w:ascii="Arial" w:cs="Arial" w:eastAsia="Arial" w:hAnsi="Arial"/>
          <w:sz w:val="16"/>
          <w:szCs w:val="16"/>
          <w:u w:val="single" w:color="auto"/>
          <w:color w:val="auto"/>
        </w:rPr>
        <w:t>www.magnachip.com</w:t>
      </w:r>
      <w:r>
        <w:rPr>
          <w:rFonts w:ascii="Arial" w:cs="Arial" w:eastAsia="Arial" w:hAnsi="Arial"/>
          <w:sz w:val="16"/>
          <w:szCs w:val="16"/>
          <w:color w:val="auto"/>
        </w:rPr>
        <w:t>. Information on or accessible through, MagnaChip’s website is not a part of, and is not incorporated into, this release.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Information in this release regarding MagnaChip’s forecasts, business outlook, expectations and beliefs are forward-looking statements within the meaning of the Private Securities Litigation Reform Act of 1995 that involve risks and uncertainties. These statements include statements about our future operating and financial performance, including but not limited to first quarter 2020 revenue and gross profit margin expectations. All forward-looking statements included in this release are based upon information available to MagnaChip as of the date of this release, which may change, and we assume no obligation to update any such forward-looking statements. These statements are not guarantees of future performance and actual results could differ materially from our current expectations. Factors that could cause or contribute to such differences include general economic conditions, the impact of competitive products and pricing, timely design acceptance by our customers, timely introduction of new products and technologies, ability to ramp new products into volume production, industry wide shifts in supply and demand for semiconductor products, industry and/or company overcapacity, effective and cost efficient utilization of manufacturing capacity, financial stability in foreign markets and the impact of foreign exchange rates, unanticipated costs and expenses or the inability to identify expenses which can be eliminated, compliance with U.S. and international trade and export laws and regulations by us and our distributors, the risk that the strategic evaluation and the initiatives related thereto described above are not successful, public health issues, including the outbreak of COVID-19, coronavirus, and other business interruptions that could disrupt supply or delivery of, or demand for, MagnaChip’s products, and other risks detailed from time to time in MagnaChip’s filings with the SEC, including our Form 10-K filed on February 22, 2019 and subsequent registration statements, amendments or other reports that we may file from time to time with the SEC and/or make available on our website. MagnaChip assumes no obligation and does not intend to update the forward-looking statements provided, whether as a result of new information, future events or otherwise.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20"/>
                <w:szCs w:val="20"/>
                <w:color w:val="auto"/>
              </w:rPr>
            </w:pPr>
            <w:r>
              <w:rPr>
                <w:rFonts w:ascii="Arial" w:cs="Arial" w:eastAsia="Arial" w:hAnsi="Arial"/>
                <w:sz w:val="18"/>
                <w:szCs w:val="18"/>
                <w:b w:val="1"/>
                <w:bCs w:val="1"/>
                <w:color w:val="auto"/>
              </w:rPr>
              <w:t>CONTACTS:</w:t>
            </w:r>
          </w:p>
        </w:tc>
        <w:tc>
          <w:tcPr>
            <w:tcW w:w="318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20"/>
        </w:trPr>
        <w:tc>
          <w:tcPr>
            <w:tcW w:w="2560" w:type="dxa"/>
            <w:vAlign w:val="bottom"/>
          </w:tcPr>
          <w:p>
            <w:pPr>
              <w:spacing w:after="0"/>
              <w:rPr>
                <w:sz w:val="20"/>
                <w:szCs w:val="20"/>
                <w:color w:val="auto"/>
              </w:rPr>
            </w:pPr>
            <w:r>
              <w:rPr>
                <w:rFonts w:ascii="Arial" w:cs="Arial" w:eastAsia="Arial" w:hAnsi="Arial"/>
                <w:sz w:val="18"/>
                <w:szCs w:val="18"/>
                <w:b w:val="1"/>
                <w:bCs w:val="1"/>
                <w:color w:val="auto"/>
              </w:rPr>
              <w:t>In the United States:</w:t>
            </w:r>
          </w:p>
        </w:tc>
        <w:tc>
          <w:tcPr>
            <w:tcW w:w="3180" w:type="dxa"/>
            <w:vAlign w:val="bottom"/>
          </w:tcPr>
          <w:p>
            <w:pPr>
              <w:spacing w:after="0"/>
              <w:rPr>
                <w:sz w:val="19"/>
                <w:szCs w:val="19"/>
                <w:color w:val="auto"/>
              </w:rPr>
            </w:pPr>
          </w:p>
        </w:tc>
        <w:tc>
          <w:tcPr>
            <w:tcW w:w="2360" w:type="dxa"/>
            <w:vAlign w:val="bottom"/>
          </w:tcPr>
          <w:p>
            <w:pPr>
              <w:spacing w:after="0"/>
              <w:rPr>
                <w:sz w:val="20"/>
                <w:szCs w:val="20"/>
                <w:color w:val="auto"/>
              </w:rPr>
            </w:pPr>
            <w:r>
              <w:rPr>
                <w:rFonts w:ascii="Arial" w:cs="Arial" w:eastAsia="Arial" w:hAnsi="Arial"/>
                <w:sz w:val="18"/>
                <w:szCs w:val="18"/>
                <w:b w:val="1"/>
                <w:bCs w:val="1"/>
                <w:color w:val="auto"/>
              </w:rPr>
              <w:t>In Korea:</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Bruce Entin</w:t>
            </w:r>
          </w:p>
        </w:tc>
        <w:tc>
          <w:tcPr>
            <w:tcW w:w="318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Chankeun Park</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Investor Relations</w:t>
            </w:r>
          </w:p>
        </w:tc>
        <w:tc>
          <w:tcPr>
            <w:tcW w:w="318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Director, Public Relations</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Tel. +1-408-625-1262</w:t>
            </w:r>
          </w:p>
        </w:tc>
        <w:tc>
          <w:tcPr>
            <w:tcW w:w="3180" w:type="dxa"/>
            <w:vAlign w:val="bottom"/>
          </w:tcPr>
          <w:p>
            <w:pPr>
              <w:spacing w:after="0"/>
              <w:rPr>
                <w:sz w:val="18"/>
                <w:szCs w:val="18"/>
                <w:color w:val="auto"/>
              </w:rPr>
            </w:pPr>
          </w:p>
        </w:tc>
        <w:tc>
          <w:tcPr>
            <w:tcW w:w="2360" w:type="dxa"/>
            <w:vAlign w:val="bottom"/>
          </w:tcPr>
          <w:p>
            <w:pPr>
              <w:spacing w:after="0"/>
              <w:rPr>
                <w:sz w:val="20"/>
                <w:szCs w:val="20"/>
                <w:color w:val="auto"/>
              </w:rPr>
            </w:pPr>
            <w:r>
              <w:rPr>
                <w:rFonts w:ascii="Arial" w:cs="Arial" w:eastAsia="Arial" w:hAnsi="Arial"/>
                <w:sz w:val="18"/>
                <w:szCs w:val="18"/>
                <w:color w:val="auto"/>
              </w:rPr>
              <w:t>Tel. +82-2-6903-5223</w:t>
            </w:r>
          </w:p>
        </w:tc>
      </w:tr>
      <w:tr>
        <w:trPr>
          <w:trHeight w:val="190"/>
        </w:trPr>
        <w:tc>
          <w:tcPr>
            <w:tcW w:w="256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9"/>
              </w:rPr>
              <w:t>Investor.relations@magnachip.com</w:t>
            </w:r>
          </w:p>
        </w:tc>
        <w:tc>
          <w:tcPr>
            <w:tcW w:w="3180" w:type="dxa"/>
            <w:vAlign w:val="bottom"/>
          </w:tcPr>
          <w:p>
            <w:pPr>
              <w:spacing w:after="0"/>
              <w:rPr>
                <w:sz w:val="16"/>
                <w:szCs w:val="16"/>
                <w:color w:val="auto"/>
              </w:rPr>
            </w:pPr>
          </w:p>
        </w:tc>
        <w:tc>
          <w:tcPr>
            <w:tcW w:w="2360" w:type="dxa"/>
            <w:vAlign w:val="bottom"/>
            <w:tcBorders>
              <w:bottom w:val="single" w:sz="8" w:color="auto"/>
            </w:tcBorders>
          </w:tcPr>
          <w:p>
            <w:pPr>
              <w:spacing w:after="0" w:line="190" w:lineRule="exact"/>
              <w:rPr>
                <w:sz w:val="20"/>
                <w:szCs w:val="20"/>
                <w:color w:val="auto"/>
              </w:rPr>
            </w:pPr>
            <w:r>
              <w:rPr>
                <w:rFonts w:ascii="Arial" w:cs="Arial" w:eastAsia="Arial" w:hAnsi="Arial"/>
                <w:sz w:val="18"/>
                <w:szCs w:val="18"/>
                <w:color w:val="auto"/>
                <w:w w:val="88"/>
              </w:rPr>
              <w:t>chankeun.park@magnachip.com</w:t>
            </w:r>
          </w:p>
        </w:tc>
      </w:tr>
    </w:tbl>
    <w:p>
      <w:pPr>
        <w:sectPr>
          <w:pgSz w:w="11900" w:h="16838" w:orient="portrait"/>
          <w:cols w:equalWidth="0" w:num="1">
            <w:col w:w="11000"/>
          </w:cols>
          <w:pgMar w:left="440" w:top="270" w:right="459" w:bottom="1440" w:gutter="0" w:footer="0" w:header="0"/>
        </w:sectPr>
      </w:pPr>
    </w:p>
    <w:bookmarkStart w:id="8" w:name="page9"/>
    <w:bookmarkEnd w:id="8"/>
    <w:p>
      <w:pPr>
        <w:jc w:val="center"/>
        <w:ind w:right="20"/>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 CONSOLIDATED STATEMENTS OF OPERATIONS (In thousands of US dollars, except share data) (Unaudited)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540" w:type="dxa"/>
            <w:vAlign w:val="bottom"/>
            <w:gridSpan w:val="2"/>
          </w:tcPr>
          <w:p>
            <w:pPr>
              <w:jc w:val="right"/>
              <w:ind w:right="51"/>
              <w:spacing w:after="0"/>
              <w:rPr>
                <w:sz w:val="20"/>
                <w:szCs w:val="20"/>
                <w:color w:val="auto"/>
              </w:rPr>
            </w:pPr>
            <w:r>
              <w:rPr>
                <w:rFonts w:ascii="Arial" w:cs="Arial" w:eastAsia="Arial" w:hAnsi="Arial"/>
                <w:sz w:val="14"/>
                <w:szCs w:val="14"/>
                <w:b w:val="1"/>
                <w:bCs w:val="1"/>
                <w:color w:val="auto"/>
                <w:w w:val="99"/>
              </w:rPr>
              <w:t>Three Months Ended</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4"/>
          </w:tcPr>
          <w:p>
            <w:pPr>
              <w:jc w:val="right"/>
              <w:ind w:right="1020"/>
              <w:spacing w:after="0"/>
              <w:rPr>
                <w:sz w:val="20"/>
                <w:szCs w:val="20"/>
                <w:color w:val="auto"/>
              </w:rPr>
            </w:pPr>
            <w:r>
              <w:rPr>
                <w:rFonts w:ascii="Arial" w:cs="Arial" w:eastAsia="Arial" w:hAnsi="Arial"/>
                <w:sz w:val="14"/>
                <w:szCs w:val="14"/>
                <w:b w:val="1"/>
                <w:bCs w:val="1"/>
                <w:color w:val="auto"/>
              </w:rPr>
              <w:t>Year Ended</w:t>
            </w:r>
          </w:p>
        </w:tc>
      </w:tr>
      <w:tr>
        <w:trPr>
          <w:trHeight w:val="119"/>
        </w:trPr>
        <w:tc>
          <w:tcPr>
            <w:tcW w:w="20" w:type="dxa"/>
            <w:vAlign w:val="bottom"/>
          </w:tcPr>
          <w:p>
            <w:pPr>
              <w:spacing w:after="0"/>
              <w:rPr>
                <w:sz w:val="10"/>
                <w:szCs w:val="10"/>
                <w:color w:val="auto"/>
              </w:rPr>
            </w:pPr>
          </w:p>
        </w:tc>
        <w:tc>
          <w:tcPr>
            <w:tcW w:w="39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20" w:type="dxa"/>
            <w:vAlign w:val="bottom"/>
            <w:tcBorders>
              <w:top w:val="single" w:sz="8" w:color="auto"/>
            </w:tcBorders>
            <w:gridSpan w:val="2"/>
          </w:tcPr>
          <w:p>
            <w:pPr>
              <w:jc w:val="right"/>
              <w:ind w:right="171"/>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540" w:type="dxa"/>
            <w:vAlign w:val="bottom"/>
            <w:tcBorders>
              <w:top w:val="single" w:sz="8" w:color="auto"/>
            </w:tcBorders>
            <w:gridSpan w:val="2"/>
          </w:tcPr>
          <w:p>
            <w:pPr>
              <w:ind w:left="300"/>
              <w:spacing w:after="0" w:line="119" w:lineRule="exact"/>
              <w:rPr>
                <w:sz w:val="20"/>
                <w:szCs w:val="20"/>
                <w:color w:val="auto"/>
              </w:rPr>
            </w:pPr>
            <w:r>
              <w:rPr>
                <w:rFonts w:ascii="Arial" w:cs="Arial" w:eastAsia="Arial" w:hAnsi="Arial"/>
                <w:sz w:val="13"/>
                <w:szCs w:val="13"/>
                <w:b w:val="1"/>
                <w:bCs w:val="1"/>
                <w:color w:val="auto"/>
              </w:rPr>
              <w:t>September 30,</w:t>
            </w:r>
          </w:p>
        </w:tc>
        <w:tc>
          <w:tcPr>
            <w:tcW w:w="10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tcBorders>
              <w:top w:val="single" w:sz="8" w:color="auto"/>
            </w:tcBorders>
            <w:gridSpan w:val="2"/>
          </w:tcPr>
          <w:p>
            <w:pPr>
              <w:jc w:val="right"/>
              <w:ind w:right="272"/>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220" w:type="dxa"/>
            <w:vAlign w:val="bottom"/>
          </w:tcPr>
          <w:p>
            <w:pPr>
              <w:spacing w:after="0"/>
              <w:rPr>
                <w:sz w:val="10"/>
                <w:szCs w:val="10"/>
                <w:color w:val="auto"/>
              </w:rPr>
            </w:pPr>
          </w:p>
        </w:tc>
      </w:tr>
      <w:tr>
        <w:trPr>
          <w:trHeight w:val="185"/>
        </w:trPr>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6"/>
                <w:szCs w:val="16"/>
                <w:color w:val="auto"/>
              </w:rPr>
            </w:pPr>
          </w:p>
        </w:tc>
        <w:tc>
          <w:tcPr>
            <w:tcW w:w="1160" w:type="dxa"/>
            <w:vAlign w:val="bottom"/>
          </w:tcPr>
          <w:p>
            <w:pPr>
              <w:jc w:val="right"/>
              <w:ind w:right="571"/>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6"/>
                <w:szCs w:val="16"/>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6"/>
                <w:szCs w:val="16"/>
                <w:color w:val="auto"/>
              </w:rPr>
            </w:pPr>
          </w:p>
        </w:tc>
        <w:tc>
          <w:tcPr>
            <w:tcW w:w="820" w:type="dxa"/>
            <w:vAlign w:val="bottom"/>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199,993</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229,677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179,394</w:t>
            </w:r>
          </w:p>
        </w:tc>
        <w:tc>
          <w:tcPr>
            <w:tcW w:w="3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792,195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750,898</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146,789</w:t>
            </w:r>
          </w:p>
        </w:tc>
        <w:tc>
          <w:tcPr>
            <w:tcW w:w="380" w:type="dxa"/>
            <w:vAlign w:val="bottom"/>
          </w:tcPr>
          <w:p>
            <w:pPr>
              <w:spacing w:after="0"/>
              <w:rPr>
                <w:sz w:val="18"/>
                <w:szCs w:val="18"/>
                <w:color w:val="auto"/>
              </w:rPr>
            </w:pPr>
          </w:p>
        </w:tc>
        <w:tc>
          <w:tcPr>
            <w:tcW w:w="1160" w:type="dxa"/>
            <w:vAlign w:val="bottom"/>
          </w:tcPr>
          <w:p>
            <w:pPr>
              <w:jc w:val="right"/>
              <w:ind w:right="271"/>
              <w:spacing w:after="0"/>
              <w:rPr>
                <w:sz w:val="20"/>
                <w:szCs w:val="20"/>
                <w:color w:val="auto"/>
              </w:rPr>
            </w:pPr>
            <w:r>
              <w:rPr>
                <w:rFonts w:ascii="Arial" w:cs="Arial" w:eastAsia="Arial" w:hAnsi="Arial"/>
                <w:sz w:val="18"/>
                <w:szCs w:val="18"/>
                <w:color w:val="auto"/>
              </w:rPr>
              <w:t>168,811</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135,482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232"/>
              <w:spacing w:after="0"/>
              <w:rPr>
                <w:sz w:val="20"/>
                <w:szCs w:val="20"/>
                <w:color w:val="auto"/>
              </w:rPr>
            </w:pPr>
            <w:r>
              <w:rPr>
                <w:rFonts w:ascii="Arial" w:cs="Arial" w:eastAsia="Arial" w:hAnsi="Arial"/>
                <w:sz w:val="18"/>
                <w:szCs w:val="18"/>
                <w:color w:val="auto"/>
              </w:rPr>
              <w:t>611,584</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552,802</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53,204</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60,866</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180,611</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198,096</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Gross profit %</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26.6%</w:t>
            </w:r>
          </w:p>
        </w:tc>
        <w:tc>
          <w:tcPr>
            <w:tcW w:w="380" w:type="dxa"/>
            <w:vAlign w:val="bottom"/>
          </w:tcPr>
          <w:p>
            <w:pPr>
              <w:spacing w:after="0"/>
              <w:rPr>
                <w:sz w:val="18"/>
                <w:szCs w:val="18"/>
                <w:color w:val="auto"/>
              </w:rPr>
            </w:pPr>
          </w:p>
        </w:tc>
        <w:tc>
          <w:tcPr>
            <w:tcW w:w="1160" w:type="dxa"/>
            <w:vAlign w:val="bottom"/>
          </w:tcPr>
          <w:p>
            <w:pPr>
              <w:jc w:val="right"/>
              <w:ind w:right="111"/>
              <w:spacing w:after="0"/>
              <w:rPr>
                <w:sz w:val="20"/>
                <w:szCs w:val="20"/>
                <w:color w:val="auto"/>
              </w:rPr>
            </w:pPr>
            <w:r>
              <w:rPr>
                <w:rFonts w:ascii="Arial" w:cs="Arial" w:eastAsia="Arial" w:hAnsi="Arial"/>
                <w:sz w:val="18"/>
                <w:szCs w:val="18"/>
                <w:color w:val="auto"/>
              </w:rPr>
              <w:t>26.5%</w:t>
            </w:r>
          </w:p>
        </w:tc>
        <w:tc>
          <w:tcPr>
            <w:tcW w:w="24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24.5%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22.8%</w:t>
            </w:r>
          </w:p>
        </w:tc>
        <w:tc>
          <w:tcPr>
            <w:tcW w:w="26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26.4%</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w w:val="99"/>
              </w:rPr>
              <w:t>Selling, general and administrative expenses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19,780</w:t>
            </w:r>
          </w:p>
        </w:tc>
        <w:tc>
          <w:tcPr>
            <w:tcW w:w="380" w:type="dxa"/>
            <w:vAlign w:val="bottom"/>
          </w:tcPr>
          <w:p>
            <w:pPr>
              <w:spacing w:after="0"/>
              <w:rPr>
                <w:sz w:val="18"/>
                <w:szCs w:val="18"/>
                <w:color w:val="auto"/>
              </w:rPr>
            </w:pPr>
          </w:p>
        </w:tc>
        <w:tc>
          <w:tcPr>
            <w:tcW w:w="1160" w:type="dxa"/>
            <w:vAlign w:val="bottom"/>
          </w:tcPr>
          <w:p>
            <w:pPr>
              <w:jc w:val="right"/>
              <w:ind w:right="271"/>
              <w:spacing w:after="0"/>
              <w:rPr>
                <w:sz w:val="20"/>
                <w:szCs w:val="20"/>
                <w:color w:val="auto"/>
              </w:rPr>
            </w:pPr>
            <w:r>
              <w:rPr>
                <w:rFonts w:ascii="Arial" w:cs="Arial" w:eastAsia="Arial" w:hAnsi="Arial"/>
                <w:sz w:val="18"/>
                <w:szCs w:val="18"/>
                <w:color w:val="auto"/>
              </w:rPr>
              <w:t>16,812</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17,516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232"/>
              <w:spacing w:after="0"/>
              <w:rPr>
                <w:sz w:val="20"/>
                <w:szCs w:val="20"/>
                <w:color w:val="auto"/>
              </w:rPr>
            </w:pPr>
            <w:r>
              <w:rPr>
                <w:rFonts w:ascii="Arial" w:cs="Arial" w:eastAsia="Arial" w:hAnsi="Arial"/>
                <w:sz w:val="18"/>
                <w:szCs w:val="18"/>
                <w:color w:val="auto"/>
              </w:rPr>
              <w:t>71,637</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72,639</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 expenses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18,981</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17,368</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18,536</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75,356</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78,039</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Restructuring and other charges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4,408</w:t>
            </w:r>
          </w:p>
        </w:tc>
        <w:tc>
          <w:tcPr>
            <w:tcW w:w="380" w:type="dxa"/>
            <w:vAlign w:val="bottom"/>
          </w:tcPr>
          <w:p>
            <w:pPr>
              <w:spacing w:after="0"/>
              <w:rPr>
                <w:sz w:val="18"/>
                <w:szCs w:val="18"/>
                <w:color w:val="auto"/>
              </w:rPr>
            </w:pPr>
          </w:p>
        </w:tc>
        <w:tc>
          <w:tcPr>
            <w:tcW w:w="1160" w:type="dxa"/>
            <w:vAlign w:val="bottom"/>
          </w:tcPr>
          <w:p>
            <w:pPr>
              <w:jc w:val="right"/>
              <w:ind w:right="271"/>
              <w:spacing w:after="0"/>
              <w:rPr>
                <w:sz w:val="20"/>
                <w:szCs w:val="20"/>
                <w:color w:val="auto"/>
              </w:rPr>
            </w:pPr>
            <w:r>
              <w:rPr>
                <w:rFonts w:ascii="Arial" w:cs="Arial" w:eastAsia="Arial" w:hAnsi="Arial"/>
                <w:sz w:val="18"/>
                <w:szCs w:val="18"/>
                <w:color w:val="auto"/>
              </w:rPr>
              <w:t>763</w:t>
            </w:r>
          </w:p>
        </w:tc>
        <w:tc>
          <w:tcPr>
            <w:tcW w:w="24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232"/>
              <w:spacing w:after="0"/>
              <w:rPr>
                <w:sz w:val="20"/>
                <w:szCs w:val="20"/>
                <w:color w:val="auto"/>
              </w:rPr>
            </w:pPr>
            <w:r>
              <w:rPr>
                <w:rFonts w:ascii="Arial" w:cs="Arial" w:eastAsia="Arial" w:hAnsi="Arial"/>
                <w:sz w:val="18"/>
                <w:szCs w:val="18"/>
                <w:color w:val="auto"/>
              </w:rPr>
              <w:t>9,195</w:t>
            </w:r>
          </w:p>
        </w:tc>
        <w:tc>
          <w:tcPr>
            <w:tcW w:w="260" w:type="dxa"/>
            <w:vAlign w:val="bottom"/>
          </w:tcPr>
          <w:p>
            <w:pPr>
              <w:spacing w:after="0"/>
              <w:rPr>
                <w:sz w:val="18"/>
                <w:szCs w:val="18"/>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43,169</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rPr>
              <w:t>34,943</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156,188</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150,678</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10,035</w:t>
            </w:r>
          </w:p>
        </w:tc>
        <w:tc>
          <w:tcPr>
            <w:tcW w:w="380" w:type="dxa"/>
            <w:vAlign w:val="bottom"/>
          </w:tcPr>
          <w:p>
            <w:pPr>
              <w:spacing w:after="0"/>
              <w:rPr>
                <w:sz w:val="18"/>
                <w:szCs w:val="18"/>
                <w:color w:val="auto"/>
              </w:rPr>
            </w:pPr>
          </w:p>
        </w:tc>
        <w:tc>
          <w:tcPr>
            <w:tcW w:w="1160" w:type="dxa"/>
            <w:vAlign w:val="bottom"/>
          </w:tcPr>
          <w:p>
            <w:pPr>
              <w:jc w:val="right"/>
              <w:ind w:right="271"/>
              <w:spacing w:after="0"/>
              <w:rPr>
                <w:sz w:val="20"/>
                <w:szCs w:val="20"/>
                <w:color w:val="auto"/>
              </w:rPr>
            </w:pPr>
            <w:r>
              <w:rPr>
                <w:rFonts w:ascii="Arial" w:cs="Arial" w:eastAsia="Arial" w:hAnsi="Arial"/>
                <w:sz w:val="18"/>
                <w:szCs w:val="18"/>
                <w:color w:val="auto"/>
              </w:rPr>
              <w:t>25,923</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7,860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232"/>
              <w:spacing w:after="0"/>
              <w:rPr>
                <w:sz w:val="20"/>
                <w:szCs w:val="20"/>
                <w:color w:val="auto"/>
              </w:rPr>
            </w:pPr>
            <w:r>
              <w:rPr>
                <w:rFonts w:ascii="Arial" w:cs="Arial" w:eastAsia="Arial" w:hAnsi="Arial"/>
                <w:sz w:val="18"/>
                <w:szCs w:val="18"/>
                <w:color w:val="auto"/>
              </w:rPr>
              <w:t>24,423</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47,418</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(5,655)</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(5,656)</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(5,743)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(22,627)</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(22,282)</w:t>
            </w:r>
          </w:p>
        </w:tc>
      </w:tr>
      <w:tr>
        <w:trPr>
          <w:trHeight w:val="216"/>
        </w:trPr>
        <w:tc>
          <w:tcPr>
            <w:tcW w:w="20" w:type="dxa"/>
            <w:vAlign w:val="bottom"/>
          </w:tcPr>
          <w:p>
            <w:pPr>
              <w:spacing w:after="0"/>
              <w:rPr>
                <w:sz w:val="18"/>
                <w:szCs w:val="18"/>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Foreign currency gain (loss), 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19,820</w:t>
            </w:r>
          </w:p>
        </w:tc>
        <w:tc>
          <w:tcPr>
            <w:tcW w:w="380" w:type="dxa"/>
            <w:vAlign w:val="bottom"/>
          </w:tcPr>
          <w:p>
            <w:pPr>
              <w:spacing w:after="0"/>
              <w:rPr>
                <w:sz w:val="18"/>
                <w:szCs w:val="18"/>
                <w:color w:val="auto"/>
              </w:rPr>
            </w:pPr>
          </w:p>
        </w:tc>
        <w:tc>
          <w:tcPr>
            <w:tcW w:w="1160" w:type="dxa"/>
            <w:vAlign w:val="bottom"/>
          </w:tcPr>
          <w:p>
            <w:pPr>
              <w:jc w:val="right"/>
              <w:ind w:right="211"/>
              <w:spacing w:after="0"/>
              <w:rPr>
                <w:sz w:val="20"/>
                <w:szCs w:val="20"/>
                <w:color w:val="auto"/>
              </w:rPr>
            </w:pPr>
            <w:r>
              <w:rPr>
                <w:rFonts w:ascii="Arial" w:cs="Arial" w:eastAsia="Arial" w:hAnsi="Arial"/>
                <w:sz w:val="18"/>
                <w:szCs w:val="18"/>
                <w:color w:val="auto"/>
              </w:rPr>
              <w:t>(21,205)</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(4,316)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(21,813)</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(24,445)</w:t>
            </w:r>
          </w:p>
        </w:tc>
      </w:tr>
      <w:tr>
        <w:trPr>
          <w:trHeight w:val="202"/>
        </w:trPr>
        <w:tc>
          <w:tcPr>
            <w:tcW w:w="20" w:type="dxa"/>
            <w:vAlign w:val="bottom"/>
          </w:tcPr>
          <w:p>
            <w:pPr>
              <w:spacing w:after="0"/>
              <w:rPr>
                <w:sz w:val="17"/>
                <w:szCs w:val="17"/>
                <w:color w:val="auto"/>
              </w:rPr>
            </w:pPr>
          </w:p>
        </w:tc>
        <w:tc>
          <w:tcPr>
            <w:tcW w:w="39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Loss on early extinguishment of long-term</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9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borrowings, net</w:t>
            </w: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(206)</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(206)</w:t>
            </w:r>
          </w:p>
        </w:tc>
      </w:tr>
      <w:tr>
        <w:trPr>
          <w:trHeight w:val="216"/>
        </w:trPr>
        <w:tc>
          <w:tcPr>
            <w:tcW w:w="20" w:type="dxa"/>
            <w:vAlign w:val="bottom"/>
          </w:tcPr>
          <w:p>
            <w:pPr>
              <w:spacing w:after="0"/>
              <w:rPr>
                <w:sz w:val="18"/>
                <w:szCs w:val="18"/>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Other income, 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866</w:t>
            </w:r>
          </w:p>
        </w:tc>
        <w:tc>
          <w:tcPr>
            <w:tcW w:w="380" w:type="dxa"/>
            <w:vAlign w:val="bottom"/>
          </w:tcPr>
          <w:p>
            <w:pPr>
              <w:spacing w:after="0"/>
              <w:rPr>
                <w:sz w:val="18"/>
                <w:szCs w:val="18"/>
                <w:color w:val="auto"/>
              </w:rPr>
            </w:pPr>
          </w:p>
        </w:tc>
        <w:tc>
          <w:tcPr>
            <w:tcW w:w="1160" w:type="dxa"/>
            <w:vAlign w:val="bottom"/>
          </w:tcPr>
          <w:p>
            <w:pPr>
              <w:jc w:val="right"/>
              <w:ind w:right="271"/>
              <w:spacing w:after="0"/>
              <w:rPr>
                <w:sz w:val="20"/>
                <w:szCs w:val="20"/>
                <w:color w:val="auto"/>
              </w:rPr>
            </w:pPr>
            <w:r>
              <w:rPr>
                <w:rFonts w:ascii="Arial" w:cs="Arial" w:eastAsia="Arial" w:hAnsi="Arial"/>
                <w:sz w:val="18"/>
                <w:szCs w:val="18"/>
                <w:color w:val="auto"/>
              </w:rPr>
              <w:t>785</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232"/>
              <w:spacing w:after="0"/>
              <w:rPr>
                <w:sz w:val="20"/>
                <w:szCs w:val="20"/>
                <w:color w:val="auto"/>
              </w:rPr>
            </w:pPr>
            <w:r>
              <w:rPr>
                <w:rFonts w:ascii="Arial" w:cs="Arial" w:eastAsia="Arial" w:hAnsi="Arial"/>
                <w:sz w:val="18"/>
                <w:szCs w:val="18"/>
                <w:color w:val="auto"/>
              </w:rPr>
              <w:t>2,980</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264</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Income (loss) before income tax expense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25,066</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(153)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(1,850)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(17,079)</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1,640</w:t>
            </w:r>
          </w:p>
        </w:tc>
        <w:tc>
          <w:tcPr>
            <w:tcW w:w="380" w:type="dxa"/>
            <w:vAlign w:val="bottom"/>
          </w:tcPr>
          <w:p>
            <w:pPr>
              <w:spacing w:after="0"/>
              <w:rPr>
                <w:sz w:val="18"/>
                <w:szCs w:val="18"/>
                <w:color w:val="auto"/>
              </w:rPr>
            </w:pPr>
          </w:p>
        </w:tc>
        <w:tc>
          <w:tcPr>
            <w:tcW w:w="1160" w:type="dxa"/>
            <w:vAlign w:val="bottom"/>
          </w:tcPr>
          <w:p>
            <w:pPr>
              <w:jc w:val="right"/>
              <w:ind w:right="271"/>
              <w:spacing w:after="0"/>
              <w:rPr>
                <w:sz w:val="20"/>
                <w:szCs w:val="20"/>
                <w:color w:val="auto"/>
              </w:rPr>
            </w:pPr>
            <w:r>
              <w:rPr>
                <w:rFonts w:ascii="Arial" w:cs="Arial" w:eastAsia="Arial" w:hAnsi="Arial"/>
                <w:sz w:val="18"/>
                <w:szCs w:val="18"/>
                <w:color w:val="auto"/>
              </w:rPr>
              <w:t>1,454</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right"/>
              <w:ind w:right="232"/>
              <w:spacing w:after="0"/>
              <w:rPr>
                <w:sz w:val="20"/>
                <w:szCs w:val="20"/>
                <w:color w:val="auto"/>
              </w:rPr>
            </w:pPr>
            <w:r>
              <w:rPr>
                <w:rFonts w:ascii="Arial" w:cs="Arial" w:eastAsia="Arial" w:hAnsi="Arial"/>
                <w:sz w:val="18"/>
                <w:szCs w:val="18"/>
                <w:color w:val="auto"/>
              </w:rPr>
              <w:t>4,747</w:t>
            </w: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4,649</w:t>
            </w: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23,426</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(1,607)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(2,380)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(21,826)</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(3,900)</w:t>
            </w:r>
          </w:p>
        </w:tc>
      </w:tr>
      <w:tr>
        <w:trPr>
          <w:trHeight w:val="216"/>
        </w:trPr>
        <w:tc>
          <w:tcPr>
            <w:tcW w:w="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Earnings (loss) per common share: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Basic</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0.68</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211"/>
              <w:spacing w:after="0"/>
              <w:rPr>
                <w:sz w:val="20"/>
                <w:szCs w:val="20"/>
                <w:color w:val="auto"/>
              </w:rPr>
            </w:pPr>
            <w:r>
              <w:rPr>
                <w:rFonts w:ascii="Arial" w:cs="Arial" w:eastAsia="Arial" w:hAnsi="Arial"/>
                <w:sz w:val="18"/>
                <w:szCs w:val="18"/>
                <w:color w:val="auto"/>
              </w:rPr>
              <w:t>(0.05)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(0.64)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(0.11)</w:t>
            </w:r>
          </w:p>
        </w:tc>
      </w:tr>
      <w:tr>
        <w:trPr>
          <w:trHeight w:val="216"/>
        </w:trPr>
        <w:tc>
          <w:tcPr>
            <w:tcW w:w="20" w:type="dxa"/>
            <w:vAlign w:val="bottom"/>
          </w:tcPr>
          <w:p>
            <w:pPr>
              <w:spacing w:after="0"/>
              <w:rPr>
                <w:sz w:val="18"/>
                <w:szCs w:val="18"/>
                <w:color w:val="auto"/>
              </w:rPr>
            </w:pPr>
          </w:p>
        </w:tc>
        <w:tc>
          <w:tcPr>
            <w:tcW w:w="3920" w:type="dxa"/>
            <w:vAlign w:val="bottom"/>
          </w:tcPr>
          <w:p>
            <w:pPr>
              <w:ind w:left="340"/>
              <w:spacing w:after="0"/>
              <w:rPr>
                <w:sz w:val="20"/>
                <w:szCs w:val="20"/>
                <w:color w:val="auto"/>
              </w:rPr>
            </w:pPr>
            <w:r>
              <w:rPr>
                <w:rFonts w:ascii="Arial" w:cs="Arial" w:eastAsia="Arial" w:hAnsi="Arial"/>
                <w:sz w:val="18"/>
                <w:szCs w:val="18"/>
                <w:color w:val="auto"/>
              </w:rPr>
              <w:t>- Diluted</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0.54</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211"/>
              <w:spacing w:after="0"/>
              <w:rPr>
                <w:sz w:val="20"/>
                <w:szCs w:val="20"/>
                <w:color w:val="auto"/>
              </w:rPr>
            </w:pPr>
            <w:r>
              <w:rPr>
                <w:rFonts w:ascii="Arial" w:cs="Arial" w:eastAsia="Arial" w:hAnsi="Arial"/>
                <w:sz w:val="18"/>
                <w:szCs w:val="18"/>
                <w:color w:val="auto"/>
              </w:rPr>
              <w:t>(0.05)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(0.07)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(0.64)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(0.11)</w:t>
            </w: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shares—Basic</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86"/>
              </w:rPr>
              <w:t>34,542,415</w:t>
            </w:r>
          </w:p>
        </w:tc>
        <w:tc>
          <w:tcPr>
            <w:tcW w:w="3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71"/>
              <w:spacing w:after="0"/>
              <w:rPr>
                <w:sz w:val="20"/>
                <w:szCs w:val="20"/>
                <w:color w:val="auto"/>
              </w:rPr>
            </w:pPr>
            <w:r>
              <w:rPr>
                <w:rFonts w:ascii="Arial" w:cs="Arial" w:eastAsia="Arial" w:hAnsi="Arial"/>
                <w:sz w:val="18"/>
                <w:szCs w:val="18"/>
                <w:color w:val="auto"/>
                <w:w w:val="86"/>
              </w:rPr>
              <w:t>34,357,745</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34,627,292</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88"/>
              </w:rPr>
              <w:t>34,321,888</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34,469,921</w:t>
            </w:r>
          </w:p>
        </w:tc>
        <w:tc>
          <w:tcPr>
            <w:tcW w:w="2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Weighted average number of shares—Diluted</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w w:val="86"/>
              </w:rPr>
              <w:t>46,078,768</w:t>
            </w:r>
          </w:p>
        </w:tc>
        <w:tc>
          <w:tcPr>
            <w:tcW w:w="380" w:type="dxa"/>
            <w:vAlign w:val="bottom"/>
          </w:tcPr>
          <w:p>
            <w:pPr>
              <w:spacing w:after="0"/>
              <w:rPr>
                <w:sz w:val="20"/>
                <w:szCs w:val="20"/>
                <w:color w:val="auto"/>
              </w:rPr>
            </w:pPr>
          </w:p>
        </w:tc>
        <w:tc>
          <w:tcPr>
            <w:tcW w:w="1160" w:type="dxa"/>
            <w:vAlign w:val="bottom"/>
          </w:tcPr>
          <w:p>
            <w:pPr>
              <w:jc w:val="right"/>
              <w:ind w:right="271"/>
              <w:spacing w:after="0"/>
              <w:rPr>
                <w:sz w:val="20"/>
                <w:szCs w:val="20"/>
                <w:color w:val="auto"/>
              </w:rPr>
            </w:pPr>
            <w:r>
              <w:rPr>
                <w:rFonts w:ascii="Arial" w:cs="Arial" w:eastAsia="Arial" w:hAnsi="Arial"/>
                <w:sz w:val="18"/>
                <w:szCs w:val="18"/>
                <w:color w:val="auto"/>
                <w:w w:val="86"/>
              </w:rPr>
              <w:t>34,357,745</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34,627,292</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jc w:val="right"/>
              <w:ind w:right="232"/>
              <w:spacing w:after="0"/>
              <w:rPr>
                <w:sz w:val="20"/>
                <w:szCs w:val="20"/>
                <w:color w:val="auto"/>
              </w:rPr>
            </w:pPr>
            <w:r>
              <w:rPr>
                <w:rFonts w:ascii="Arial" w:cs="Arial" w:eastAsia="Arial" w:hAnsi="Arial"/>
                <w:sz w:val="18"/>
                <w:szCs w:val="18"/>
                <w:color w:val="auto"/>
                <w:w w:val="88"/>
              </w:rPr>
              <w:t>34,321,888</w:t>
            </w: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34,469,921</w:t>
            </w:r>
          </w:p>
        </w:tc>
        <w:tc>
          <w:tcPr>
            <w:tcW w:w="22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9" w:name="page10"/>
    <w:bookmarkEnd w:id="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RECONCILIATION OF NET INCOME TO ADJUSTED EBITDA AND ADJUSTED NET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US dollars, except share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w w:val="98"/>
              </w:rPr>
              <w:t>Three Months Ended</w:t>
            </w: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8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Year Ended</w:t>
            </w:r>
          </w:p>
        </w:tc>
      </w:tr>
      <w:tr>
        <w:trPr>
          <w:trHeight w:val="119"/>
        </w:trPr>
        <w:tc>
          <w:tcPr>
            <w:tcW w:w="20" w:type="dxa"/>
            <w:vAlign w:val="bottom"/>
          </w:tcPr>
          <w:p>
            <w:pPr>
              <w:spacing w:after="0"/>
              <w:rPr>
                <w:sz w:val="10"/>
                <w:szCs w:val="10"/>
                <w:color w:val="auto"/>
              </w:rPr>
            </w:pPr>
          </w:p>
        </w:tc>
        <w:tc>
          <w:tcPr>
            <w:tcW w:w="40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60" w:type="dxa"/>
            <w:vAlign w:val="bottom"/>
            <w:tcBorders>
              <w:top w:val="single" w:sz="8" w:color="auto"/>
            </w:tcBorders>
            <w:gridSpan w:val="2"/>
          </w:tcPr>
          <w:p>
            <w:pPr>
              <w:jc w:val="right"/>
              <w:ind w:right="91"/>
              <w:spacing w:after="0" w:line="119" w:lineRule="exact"/>
              <w:rPr>
                <w:sz w:val="20"/>
                <w:szCs w:val="20"/>
                <w:color w:val="auto"/>
              </w:rPr>
            </w:pPr>
            <w:r>
              <w:rPr>
                <w:rFonts w:ascii="Arial" w:cs="Arial" w:eastAsia="Arial" w:hAnsi="Arial"/>
                <w:sz w:val="13"/>
                <w:szCs w:val="13"/>
                <w:b w:val="1"/>
                <w:bCs w:val="1"/>
                <w:color w:val="auto"/>
              </w:rPr>
              <w:t>December 31,</w:t>
            </w:r>
          </w:p>
        </w:tc>
        <w:tc>
          <w:tcPr>
            <w:tcW w:w="1500" w:type="dxa"/>
            <w:vAlign w:val="bottom"/>
            <w:tcBorders>
              <w:top w:val="single" w:sz="8" w:color="auto"/>
            </w:tcBorders>
            <w:gridSpan w:val="2"/>
          </w:tcPr>
          <w:p>
            <w:pPr>
              <w:ind w:left="300"/>
              <w:spacing w:after="0" w:line="119" w:lineRule="exact"/>
              <w:rPr>
                <w:sz w:val="20"/>
                <w:szCs w:val="20"/>
                <w:color w:val="auto"/>
              </w:rPr>
            </w:pPr>
            <w:r>
              <w:rPr>
                <w:rFonts w:ascii="Arial" w:cs="Arial" w:eastAsia="Arial" w:hAnsi="Arial"/>
                <w:sz w:val="13"/>
                <w:szCs w:val="13"/>
                <w:b w:val="1"/>
                <w:bCs w:val="1"/>
                <w:color w:val="auto"/>
              </w:rPr>
              <w:t>September 30,</w:t>
            </w:r>
          </w:p>
        </w:tc>
        <w:tc>
          <w:tcPr>
            <w:tcW w:w="10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tcBorders>
              <w:top w:val="single" w:sz="8" w:color="auto"/>
            </w:tcBorders>
            <w:gridSpan w:val="2"/>
          </w:tcPr>
          <w:p>
            <w:pPr>
              <w:jc w:val="right"/>
              <w:ind w:right="191"/>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1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0"/>
                <w:szCs w:val="10"/>
                <w:color w:val="auto"/>
              </w:rPr>
            </w:pPr>
          </w:p>
        </w:tc>
      </w:tr>
      <w:tr>
        <w:trPr>
          <w:trHeight w:val="185"/>
        </w:trPr>
        <w:tc>
          <w:tcPr>
            <w:tcW w:w="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right"/>
              <w:ind w:right="371"/>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6"/>
                <w:szCs w:val="16"/>
                <w:color w:val="auto"/>
              </w:rPr>
            </w:pPr>
          </w:p>
        </w:tc>
        <w:tc>
          <w:tcPr>
            <w:tcW w:w="1120" w:type="dxa"/>
            <w:vAlign w:val="bottom"/>
          </w:tcPr>
          <w:p>
            <w:pPr>
              <w:jc w:val="right"/>
              <w:ind w:right="53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6"/>
                <w:szCs w:val="16"/>
                <w:color w:val="auto"/>
              </w:rPr>
            </w:pPr>
          </w:p>
        </w:tc>
        <w:tc>
          <w:tcPr>
            <w:tcW w:w="820" w:type="dxa"/>
            <w:vAlign w:val="bottom"/>
          </w:tcPr>
          <w:p>
            <w:pPr>
              <w:jc w:val="right"/>
              <w:ind w:right="211"/>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6"/>
                <w:szCs w:val="16"/>
                <w:color w:val="auto"/>
              </w:rPr>
            </w:pPr>
          </w:p>
        </w:tc>
        <w:tc>
          <w:tcPr>
            <w:tcW w:w="820" w:type="dxa"/>
            <w:vAlign w:val="bottom"/>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23,426</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(1,607)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(21,826)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(3,900)</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Adjustments: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 net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4,788</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4,982</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19,921</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Income tax expense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1,640</w:t>
            </w:r>
          </w:p>
        </w:tc>
        <w:tc>
          <w:tcPr>
            <w:tcW w:w="380" w:type="dxa"/>
            <w:vAlign w:val="bottom"/>
          </w:tcPr>
          <w:p>
            <w:pPr>
              <w:spacing w:after="0"/>
              <w:rPr>
                <w:sz w:val="18"/>
                <w:szCs w:val="18"/>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1,454</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4,747</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4,649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8,068</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8,156</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32,729</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EBITDA</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37,922</w:t>
            </w:r>
          </w:p>
        </w:tc>
        <w:tc>
          <w:tcPr>
            <w:tcW w:w="380" w:type="dxa"/>
            <w:vAlign w:val="bottom"/>
          </w:tcPr>
          <w:p>
            <w:pPr>
              <w:spacing w:after="0"/>
              <w:rPr>
                <w:sz w:val="18"/>
                <w:szCs w:val="18"/>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12,985</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11,495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35,571</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53,214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charges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4,408</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763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9,195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Equity-based compensation expense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5,032</w:t>
            </w:r>
          </w:p>
        </w:tc>
        <w:tc>
          <w:tcPr>
            <w:tcW w:w="380" w:type="dxa"/>
            <w:vAlign w:val="bottom"/>
          </w:tcPr>
          <w:p>
            <w:pPr>
              <w:spacing w:after="0"/>
              <w:rPr>
                <w:sz w:val="18"/>
                <w:szCs w:val="18"/>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479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6,952</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4,409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loss (gain), net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(19,820)</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21,205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21,813</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Derivative valuation loss, net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149</w:t>
            </w:r>
          </w:p>
        </w:tc>
        <w:tc>
          <w:tcPr>
            <w:tcW w:w="380" w:type="dxa"/>
            <w:vAlign w:val="bottom"/>
          </w:tcPr>
          <w:p>
            <w:pPr>
              <w:spacing w:after="0"/>
              <w:rPr>
                <w:sz w:val="18"/>
                <w:szCs w:val="18"/>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318</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2,369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Restatement related gain</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(765)</w:t>
            </w:r>
          </w:p>
        </w:tc>
      </w:tr>
      <w:tr>
        <w:trPr>
          <w:trHeight w:val="202"/>
        </w:trPr>
        <w:tc>
          <w:tcPr>
            <w:tcW w:w="20" w:type="dxa"/>
            <w:vAlign w:val="bottom"/>
          </w:tcPr>
          <w:p>
            <w:pPr>
              <w:spacing w:after="0"/>
              <w:rPr>
                <w:sz w:val="17"/>
                <w:szCs w:val="17"/>
                <w:color w:val="auto"/>
              </w:rPr>
            </w:pPr>
          </w:p>
        </w:tc>
        <w:tc>
          <w:tcPr>
            <w:tcW w:w="4040" w:type="dxa"/>
            <w:vAlign w:val="bottom"/>
          </w:tcPr>
          <w:p>
            <w:pPr>
              <w:ind w:left="340"/>
              <w:spacing w:after="0" w:line="201" w:lineRule="exact"/>
              <w:rPr>
                <w:sz w:val="20"/>
                <w:szCs w:val="20"/>
                <w:color w:val="auto"/>
              </w:rPr>
            </w:pPr>
            <w:r>
              <w:rPr>
                <w:rFonts w:ascii="Arial" w:cs="Arial" w:eastAsia="Arial" w:hAnsi="Arial"/>
                <w:sz w:val="18"/>
                <w:szCs w:val="18"/>
                <w:color w:val="auto"/>
              </w:rPr>
              <w:t>Loss on early extinguishment of long-term</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040" w:type="dxa"/>
            <w:vAlign w:val="bottom"/>
          </w:tcPr>
          <w:p>
            <w:pPr>
              <w:ind w:left="520"/>
              <w:spacing w:after="0"/>
              <w:rPr>
                <w:sz w:val="20"/>
                <w:szCs w:val="20"/>
                <w:color w:val="auto"/>
              </w:rPr>
            </w:pPr>
            <w:r>
              <w:rPr>
                <w:rFonts w:ascii="Arial" w:cs="Arial" w:eastAsia="Arial" w:hAnsi="Arial"/>
                <w:sz w:val="18"/>
                <w:szCs w:val="18"/>
                <w:color w:val="auto"/>
              </w:rPr>
              <w:t>borrowings, net</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12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585</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Adjusted EBITDA</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27,691</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35,465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17,391</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74,476</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84,262</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23,426</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71"/>
              <w:spacing w:after="0"/>
              <w:rPr>
                <w:sz w:val="20"/>
                <w:szCs w:val="20"/>
                <w:color w:val="auto"/>
              </w:rPr>
            </w:pPr>
            <w:r>
              <w:rPr>
                <w:rFonts w:ascii="Arial" w:cs="Arial" w:eastAsia="Arial" w:hAnsi="Arial"/>
                <w:sz w:val="18"/>
                <w:szCs w:val="18"/>
                <w:color w:val="auto"/>
              </w:rPr>
              <w:t>(1,607)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(21,826)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(3,900)</w:t>
            </w: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Adjustments: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Restructuring and other charges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4,408</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763</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9,195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Equity-based compensation expense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5,032</w:t>
            </w:r>
          </w:p>
        </w:tc>
        <w:tc>
          <w:tcPr>
            <w:tcW w:w="380" w:type="dxa"/>
            <w:vAlign w:val="bottom"/>
          </w:tcPr>
          <w:p>
            <w:pPr>
              <w:spacing w:after="0"/>
              <w:rPr>
                <w:sz w:val="18"/>
                <w:szCs w:val="18"/>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479</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1,320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6,952</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4,409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loss (gain), net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(19,820)</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21,205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21,813</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Derivative valuation loss, net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149</w:t>
            </w:r>
          </w:p>
        </w:tc>
        <w:tc>
          <w:tcPr>
            <w:tcW w:w="380" w:type="dxa"/>
            <w:vAlign w:val="bottom"/>
          </w:tcPr>
          <w:p>
            <w:pPr>
              <w:spacing w:after="0"/>
              <w:rPr>
                <w:sz w:val="18"/>
                <w:szCs w:val="18"/>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318</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2,369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Restatement related gain</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51"/>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(765)</w:t>
            </w:r>
          </w:p>
        </w:tc>
      </w:tr>
      <w:tr>
        <w:trPr>
          <w:trHeight w:val="202"/>
        </w:trPr>
        <w:tc>
          <w:tcPr>
            <w:tcW w:w="20" w:type="dxa"/>
            <w:vAlign w:val="bottom"/>
          </w:tcPr>
          <w:p>
            <w:pPr>
              <w:spacing w:after="0"/>
              <w:rPr>
                <w:sz w:val="17"/>
                <w:szCs w:val="17"/>
                <w:color w:val="auto"/>
              </w:rPr>
            </w:pPr>
          </w:p>
        </w:tc>
        <w:tc>
          <w:tcPr>
            <w:tcW w:w="4040" w:type="dxa"/>
            <w:vAlign w:val="bottom"/>
          </w:tcPr>
          <w:p>
            <w:pPr>
              <w:ind w:left="340"/>
              <w:spacing w:after="0" w:line="201" w:lineRule="exact"/>
              <w:rPr>
                <w:sz w:val="20"/>
                <w:szCs w:val="20"/>
                <w:color w:val="auto"/>
              </w:rPr>
            </w:pPr>
            <w:r>
              <w:rPr>
                <w:rFonts w:ascii="Arial" w:cs="Arial" w:eastAsia="Arial" w:hAnsi="Arial"/>
                <w:sz w:val="18"/>
                <w:szCs w:val="18"/>
                <w:color w:val="auto"/>
              </w:rPr>
              <w:t>Loss on early extinguishment of long-term</w:t>
            </w: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040" w:type="dxa"/>
            <w:vAlign w:val="bottom"/>
          </w:tcPr>
          <w:p>
            <w:pPr>
              <w:ind w:left="520"/>
              <w:spacing w:after="0"/>
              <w:rPr>
                <w:sz w:val="20"/>
                <w:szCs w:val="20"/>
                <w:color w:val="auto"/>
              </w:rPr>
            </w:pPr>
            <w:r>
              <w:rPr>
                <w:rFonts w:ascii="Arial" w:cs="Arial" w:eastAsia="Arial" w:hAnsi="Arial"/>
                <w:sz w:val="18"/>
                <w:szCs w:val="18"/>
                <w:color w:val="auto"/>
              </w:rPr>
              <w:t>borrowings, net</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120" w:type="dxa"/>
            <w:vAlign w:val="bottom"/>
          </w:tcPr>
          <w:p>
            <w:pPr>
              <w:jc w:val="right"/>
              <w:ind w:right="31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311"/>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585</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Adjusted Net Income</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13,195</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20,873</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3,516</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17,079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27,148</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Adjusted Net Income per common share: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ind w:left="340"/>
              <w:spacing w:after="0"/>
              <w:rPr>
                <w:sz w:val="20"/>
                <w:szCs w:val="20"/>
                <w:color w:val="auto"/>
              </w:rPr>
            </w:pPr>
            <w:r>
              <w:rPr>
                <w:rFonts w:ascii="Arial" w:cs="Arial" w:eastAsia="Arial" w:hAnsi="Arial"/>
                <w:sz w:val="18"/>
                <w:szCs w:val="18"/>
                <w:color w:val="auto"/>
              </w:rPr>
              <w:t>- Basic</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0.38</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231"/>
              <w:spacing w:after="0"/>
              <w:rPr>
                <w:sz w:val="20"/>
                <w:szCs w:val="20"/>
                <w:color w:val="auto"/>
              </w:rPr>
            </w:pPr>
            <w:r>
              <w:rPr>
                <w:rFonts w:ascii="Arial" w:cs="Arial" w:eastAsia="Arial" w:hAnsi="Arial"/>
                <w:sz w:val="18"/>
                <w:szCs w:val="18"/>
                <w:color w:val="auto"/>
              </w:rPr>
              <w:t>0.61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0.10</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51"/>
              <w:spacing w:after="0"/>
              <w:rPr>
                <w:sz w:val="20"/>
                <w:szCs w:val="20"/>
                <w:color w:val="auto"/>
              </w:rPr>
            </w:pPr>
            <w:r>
              <w:rPr>
                <w:rFonts w:ascii="Arial" w:cs="Arial" w:eastAsia="Arial" w:hAnsi="Arial"/>
                <w:sz w:val="18"/>
                <w:szCs w:val="18"/>
                <w:color w:val="auto"/>
              </w:rPr>
              <w:t>0.50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0.79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 Diluted</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0.32</w:t>
            </w:r>
          </w:p>
        </w:tc>
        <w:tc>
          <w:tcPr>
            <w:tcW w:w="380" w:type="dxa"/>
            <w:vAlign w:val="bottom"/>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rPr>
              <w:t>0.49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0.48</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Weighted average number of shares – Basic</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w w:val="86"/>
              </w:rPr>
              <w:t>34,542,415</w:t>
            </w:r>
          </w:p>
        </w:tc>
        <w:tc>
          <w:tcPr>
            <w:tcW w:w="380" w:type="dxa"/>
            <w:vAlign w:val="bottom"/>
          </w:tcPr>
          <w:p>
            <w:pPr>
              <w:spacing w:after="0"/>
              <w:rPr>
                <w:sz w:val="18"/>
                <w:szCs w:val="18"/>
                <w:color w:val="auto"/>
              </w:rPr>
            </w:pPr>
          </w:p>
        </w:tc>
        <w:tc>
          <w:tcPr>
            <w:tcW w:w="1120" w:type="dxa"/>
            <w:vAlign w:val="bottom"/>
          </w:tcPr>
          <w:p>
            <w:pPr>
              <w:jc w:val="right"/>
              <w:ind w:right="231"/>
              <w:spacing w:after="0"/>
              <w:rPr>
                <w:sz w:val="20"/>
                <w:szCs w:val="20"/>
                <w:color w:val="auto"/>
              </w:rPr>
            </w:pPr>
            <w:r>
              <w:rPr>
                <w:rFonts w:ascii="Arial" w:cs="Arial" w:eastAsia="Arial" w:hAnsi="Arial"/>
                <w:sz w:val="18"/>
                <w:szCs w:val="18"/>
                <w:color w:val="auto"/>
                <w:w w:val="86"/>
              </w:rPr>
              <w:t>34,357,745</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34,627,292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ind w:right="151"/>
              <w:spacing w:after="0"/>
              <w:rPr>
                <w:sz w:val="20"/>
                <w:szCs w:val="20"/>
                <w:color w:val="auto"/>
              </w:rPr>
            </w:pPr>
            <w:r>
              <w:rPr>
                <w:rFonts w:ascii="Arial" w:cs="Arial" w:eastAsia="Arial" w:hAnsi="Arial"/>
                <w:sz w:val="18"/>
                <w:szCs w:val="18"/>
                <w:color w:val="auto"/>
                <w:w w:val="88"/>
              </w:rPr>
              <w:t>34,321,888</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34,469,921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number of shares – Diluted</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w w:val="86"/>
              </w:rPr>
              <w:t>46,078,768</w:t>
            </w:r>
          </w:p>
        </w:tc>
        <w:tc>
          <w:tcPr>
            <w:tcW w:w="3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231"/>
              <w:spacing w:after="0"/>
              <w:rPr>
                <w:sz w:val="20"/>
                <w:szCs w:val="20"/>
                <w:color w:val="auto"/>
              </w:rPr>
            </w:pPr>
            <w:r>
              <w:rPr>
                <w:rFonts w:ascii="Arial" w:cs="Arial" w:eastAsia="Arial" w:hAnsi="Arial"/>
                <w:sz w:val="18"/>
                <w:szCs w:val="18"/>
                <w:color w:val="auto"/>
                <w:w w:val="86"/>
              </w:rPr>
              <w:t>45,516,245</w:t>
            </w: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35,128,341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w w:val="88"/>
              </w:rPr>
              <w:t>35,405,077</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45,941,853</w:t>
            </w:r>
          </w:p>
        </w:tc>
        <w:tc>
          <w:tcPr>
            <w:tcW w:w="12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present Adjusted EBITDA and Adjusted Net Income as supplemental measures of our performance. We define Adjusted EBITDA for the periods indicated as EBITDA (as defined below), adjusted to exclude (i) Restructuring and other charges, (ii) Equity-based compensation expense, (iii) Foreign currency loss (gain), net, (iv) Derivative valuation loss, net, (v) Restatement related gain, (vi) Loss on early extinguishment of long-term borrowings, net and (vii) Others. EBITDA for the periods indicated is defined as net income (loss) before interest expense, net, income tax expense and depreciation and amortization. We prepare Adjusted Net Income by adjusting net income (loss) to eliminate the impact of a number of non-cash expenses and other items that may be either one time or recurring that we do not consider to be indicative of our core ongoing operating performance. We believe that Adjusted Net Income is particularly useful because it reflects the impact of our asset base and capital structure on our operating performance. We define Adjusted Net Income for the periods as net income, adjusted to exclude (i) Restructuring and other charges, (ii) Equity-based compensation expense, (iii) Foreign currency loss (gain), net, (iv) Derivative valuation loss, net, (v) Restatement related gain, (vi) Loss on early extinguishment of long-term borrowings, net and (vii) Others. Other charges within the adjustment line item of the Restructuring and other charges included in the above table represent professional and other fees incurred in connection with our strategic evaluation. Others adjustment in the table above primarily represents legal expense related to the indemnification of a former employee.</w:t>
      </w:r>
    </w:p>
    <w:p>
      <w:pPr>
        <w:sectPr>
          <w:pgSz w:w="11900" w:h="16838" w:orient="portrait"/>
          <w:cols w:equalWidth="0" w:num="1">
            <w:col w:w="11040"/>
          </w:cols>
          <w:pgMar w:left="440" w:top="270" w:right="419" w:bottom="1440" w:gutter="0" w:footer="0" w:header="0"/>
        </w:sectPr>
      </w:pPr>
    </w:p>
    <w:bookmarkStart w:id="10" w:name="page11"/>
    <w:bookmarkEnd w:id="10"/>
    <w:p>
      <w:pPr>
        <w:jc w:val="center"/>
        <w:ind w:right="20"/>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 CONSOLIDATED BALANCE SHEETS (In thousands of US dollars, except share data) (Unaudited)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26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86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8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151,657</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132,438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95,641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80,003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Unbilled accounts receivable,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38,181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73,267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71,611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receivables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12,250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11,133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Hedge collateral</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9,382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9,867</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379,365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352,745</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182,574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202,171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3,953</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Long-term prepaid expenses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8,729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595,328</w:t>
            </w:r>
          </w:p>
        </w:tc>
        <w:tc>
          <w:tcPr>
            <w:tcW w:w="2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583,196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60,879</w:t>
            </w:r>
          </w:p>
        </w:tc>
        <w:tc>
          <w:tcPr>
            <w:tcW w:w="240" w:type="dxa"/>
            <w:vAlign w:val="bottom"/>
          </w:tcPr>
          <w:p>
            <w:pPr>
              <w:spacing w:after="0"/>
              <w:rPr>
                <w:sz w:val="18"/>
                <w:szCs w:val="18"/>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55,631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accounts payable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55,076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46,250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Operating lease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2,036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9,133</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133,833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132,659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304,743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303,577</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Non-current operating lease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9,446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Accrued severance benefits,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146,728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146,031</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15,559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18,239</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610,309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600,506</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620" w:type="dxa"/>
            <w:vAlign w:val="bottom"/>
          </w:tcPr>
          <w:p>
            <w:pPr>
              <w:ind w:left="340"/>
              <w:spacing w:after="0" w:line="201" w:lineRule="exact"/>
              <w:rPr>
                <w:sz w:val="20"/>
                <w:szCs w:val="20"/>
                <w:color w:val="auto"/>
              </w:rPr>
            </w:pPr>
            <w:r>
              <w:rPr>
                <w:rFonts w:ascii="Arial" w:cs="Arial" w:eastAsia="Arial" w:hAnsi="Arial"/>
                <w:sz w:val="18"/>
                <w:szCs w:val="18"/>
                <w:color w:val="auto"/>
                <w:w w:val="96"/>
              </w:rPr>
              <w:t>Common stock, $0.01 par value, 150,000,000 shares authorized, 43,851,991 shares issued and 34,800,312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520"/>
              <w:spacing w:after="0"/>
              <w:rPr>
                <w:sz w:val="20"/>
                <w:szCs w:val="20"/>
                <w:color w:val="auto"/>
              </w:rPr>
            </w:pPr>
            <w:r>
              <w:rPr>
                <w:rFonts w:ascii="Arial" w:cs="Arial" w:eastAsia="Arial" w:hAnsi="Arial"/>
                <w:sz w:val="18"/>
                <w:szCs w:val="18"/>
                <w:color w:val="auto"/>
                <w:w w:val="90"/>
              </w:rPr>
              <w:t>outstanding at December 31, 2019 and 43,054,458 shares issued and 34,441,232 outstanding at December 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8640" w:type="dxa"/>
            <w:vAlign w:val="bottom"/>
            <w:gridSpan w:val="2"/>
          </w:tcPr>
          <w:p>
            <w:pPr>
              <w:ind w:left="540"/>
              <w:spacing w:after="0"/>
              <w:rPr>
                <w:sz w:val="20"/>
                <w:szCs w:val="20"/>
                <w:color w:val="auto"/>
              </w:rPr>
            </w:pPr>
            <w:r>
              <w:rPr>
                <w:rFonts w:ascii="Arial" w:cs="Arial" w:eastAsia="Arial" w:hAnsi="Arial"/>
                <w:sz w:val="18"/>
                <w:szCs w:val="18"/>
                <w:color w:val="auto"/>
              </w:rPr>
              <w:t>2018</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439</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142,600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(58,131)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(36,305)</w:t>
            </w:r>
          </w:p>
        </w:tc>
      </w:tr>
      <w:tr>
        <w:trPr>
          <w:trHeight w:val="202"/>
        </w:trPr>
        <w:tc>
          <w:tcPr>
            <w:tcW w:w="20" w:type="dxa"/>
            <w:vAlign w:val="bottom"/>
          </w:tcPr>
          <w:p>
            <w:pPr>
              <w:spacing w:after="0"/>
              <w:rPr>
                <w:sz w:val="17"/>
                <w:szCs w:val="17"/>
                <w:color w:val="auto"/>
              </w:rPr>
            </w:pPr>
          </w:p>
        </w:tc>
        <w:tc>
          <w:tcPr>
            <w:tcW w:w="862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rPr>
              <w:t>Treasury stock, 9,051,679 shares at December 31, 2019 and 8,613,226 shares at December 31, 2018,</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6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respectively</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(107,033)</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(103,926)</w:t>
            </w:r>
          </w:p>
        </w:tc>
      </w:tr>
      <w:tr>
        <w:trPr>
          <w:trHeight w:val="216"/>
        </w:trPr>
        <w:tc>
          <w:tcPr>
            <w:tcW w:w="20" w:type="dxa"/>
            <w:vAlign w:val="bottom"/>
          </w:tcPr>
          <w:p>
            <w:pPr>
              <w:spacing w:after="0"/>
              <w:rPr>
                <w:sz w:val="18"/>
                <w:szCs w:val="18"/>
                <w:color w:val="auto"/>
              </w:rPr>
            </w:pPr>
          </w:p>
        </w:tc>
        <w:tc>
          <w:tcPr>
            <w:tcW w:w="8620" w:type="dxa"/>
            <w:vAlign w:val="bottom"/>
          </w:tcPr>
          <w:p>
            <w:pPr>
              <w:ind w:left="3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(2,660)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(20,110)</w:t>
            </w: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stockholders’ deficit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(17,310)</w:t>
            </w:r>
          </w:p>
        </w:tc>
      </w:tr>
      <w:tr>
        <w:trPr>
          <w:trHeight w:val="230"/>
        </w:trPr>
        <w:tc>
          <w:tcPr>
            <w:tcW w:w="20" w:type="dxa"/>
            <w:vAlign w:val="bottom"/>
          </w:tcPr>
          <w:p>
            <w:pPr>
              <w:spacing w:after="0"/>
              <w:rPr>
                <w:sz w:val="20"/>
                <w:szCs w:val="20"/>
                <w:color w:val="auto"/>
              </w:rPr>
            </w:pPr>
          </w:p>
        </w:tc>
        <w:tc>
          <w:tcPr>
            <w:tcW w:w="8620" w:type="dxa"/>
            <w:vAlign w:val="bottom"/>
          </w:tcPr>
          <w:p>
            <w:pPr>
              <w:ind w:left="70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595,328</w:t>
            </w:r>
          </w:p>
        </w:tc>
        <w:tc>
          <w:tcPr>
            <w:tcW w:w="240" w:type="dxa"/>
            <w:vAlign w:val="bottom"/>
          </w:tcPr>
          <w:p>
            <w:pPr>
              <w:spacing w:after="0"/>
              <w:rPr>
                <w:sz w:val="20"/>
                <w:szCs w:val="20"/>
                <w:color w:val="auto"/>
              </w:rPr>
            </w:pPr>
          </w:p>
        </w:tc>
        <w:tc>
          <w:tcPr>
            <w:tcW w:w="3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583,196</w:t>
            </w:r>
          </w:p>
        </w:tc>
        <w:tc>
          <w:tcPr>
            <w:tcW w:w="120" w:type="dxa"/>
            <w:vAlign w:val="bottom"/>
          </w:tcPr>
          <w:p>
            <w:pPr>
              <w:spacing w:after="0"/>
              <w:rPr>
                <w:sz w:val="20"/>
                <w:szCs w:val="20"/>
                <w:color w:val="auto"/>
              </w:rPr>
            </w:pPr>
          </w:p>
        </w:tc>
      </w:tr>
    </w:tbl>
    <w:p>
      <w:pPr>
        <w:sectPr>
          <w:pgSz w:w="11900" w:h="16838" w:orient="portrait"/>
          <w:cols w:equalWidth="0" w:num="1">
            <w:col w:w="11040"/>
          </w:cols>
          <w:pgMar w:left="440" w:top="270" w:right="41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MAGNACHIP SEMICONDUCTOR CORPORATION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of US dollars)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760" w:type="dxa"/>
            <w:vAlign w:val="bottom"/>
            <w:gridSpan w:val="4"/>
          </w:tcPr>
          <w:p>
            <w:pPr>
              <w:ind w:left="660"/>
              <w:spacing w:after="0"/>
              <w:rPr>
                <w:sz w:val="20"/>
                <w:szCs w:val="20"/>
                <w:color w:val="auto"/>
              </w:rPr>
            </w:pPr>
            <w:r>
              <w:rPr>
                <w:rFonts w:ascii="Arial" w:cs="Arial" w:eastAsia="Arial" w:hAnsi="Arial"/>
                <w:sz w:val="14"/>
                <w:szCs w:val="14"/>
                <w:b w:val="1"/>
                <w:bCs w:val="1"/>
                <w:color w:val="auto"/>
              </w:rPr>
              <w:t>Three Months</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4"/>
            <w:vMerge w:val="restart"/>
          </w:tcPr>
          <w:p>
            <w:pPr>
              <w:ind w:left="520"/>
              <w:spacing w:after="0"/>
              <w:rPr>
                <w:sz w:val="20"/>
                <w:szCs w:val="20"/>
                <w:color w:val="auto"/>
              </w:rPr>
            </w:pPr>
            <w:r>
              <w:rPr>
                <w:rFonts w:ascii="Arial" w:cs="Arial" w:eastAsia="Arial" w:hAnsi="Arial"/>
                <w:sz w:val="14"/>
                <w:szCs w:val="14"/>
                <w:b w:val="1"/>
                <w:bCs w:val="1"/>
                <w:color w:val="auto"/>
                <w:w w:val="96"/>
              </w:rPr>
              <w:t>Year Ended</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Ended</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8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31,</w:t>
            </w:r>
          </w:p>
        </w:tc>
        <w:tc>
          <w:tcPr>
            <w:tcW w:w="1020" w:type="dxa"/>
            <w:vAlign w:val="bottom"/>
            <w:tcBorders>
              <w:top w:val="single" w:sz="8" w:color="auto"/>
            </w:tcBorders>
            <w:gridSpan w:val="3"/>
          </w:tcPr>
          <w:p>
            <w:pPr>
              <w:ind w:left="180"/>
              <w:spacing w:after="0" w:line="119" w:lineRule="exact"/>
              <w:rPr>
                <w:sz w:val="20"/>
                <w:szCs w:val="20"/>
                <w:color w:val="auto"/>
              </w:rPr>
            </w:pPr>
            <w:r>
              <w:rPr>
                <w:rFonts w:ascii="Arial" w:cs="Arial" w:eastAsia="Arial" w:hAnsi="Arial"/>
                <w:sz w:val="13"/>
                <w:szCs w:val="13"/>
                <w:b w:val="1"/>
                <w:bCs w:val="1"/>
                <w:color w:val="auto"/>
                <w:w w:val="96"/>
              </w:rPr>
              <w:t>December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8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Net income (loss)</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23,426</w:t>
            </w:r>
          </w:p>
        </w:tc>
        <w:tc>
          <w:tcPr>
            <w:tcW w:w="220" w:type="dxa"/>
            <w:vAlign w:val="bottom"/>
          </w:tcPr>
          <w:p>
            <w:pPr>
              <w:spacing w:after="0"/>
              <w:rPr>
                <w:sz w:val="18"/>
                <w:szCs w:val="18"/>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(21,826)</w:t>
            </w: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8,068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32,729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32,048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severance benefits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Amortization of debt issuance costs and original issue discount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(gain) on foreign currency, net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(25,820)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Restructuring gain and other</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3,128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3,598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Loss on early extinguishment of long-term borrowings, net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12,988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(19,824)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Unbilled accounts receivable, net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5,066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19,274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(4,210)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Other receivables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(1,386)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(6,200)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1,260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(20,210)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7,375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(8,389)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accounts payable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(8,518)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1,448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5,279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(4,578)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(4,768)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(4,460)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non-current liabilities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Payment of severance benefits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(3,093)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(9,288)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700"/>
              <w:spacing w:after="0"/>
              <w:rPr>
                <w:sz w:val="20"/>
                <w:szCs w:val="20"/>
                <w:color w:val="auto"/>
              </w:rPr>
            </w:pPr>
            <w:r>
              <w:rPr>
                <w:rFonts w:ascii="Arial" w:cs="Arial" w:eastAsia="Arial" w:hAnsi="Arial"/>
                <w:sz w:val="18"/>
                <w:szCs w:val="18"/>
                <w:color w:val="auto"/>
              </w:rPr>
              <w:t>Net cash provided by operating activities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20,478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50,497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39,236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Proceeds from settlement of hedge collateral</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958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13,583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hedge collateral</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(17,833)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Proceeds from disposal of property, plant and equipment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1,685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property, plant and equipment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(6,262)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(22,955)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Payment for property related to water treatment facility arrangement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for intellectual property registration</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(1,103)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Collection of guarantee deposits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of guarantee deposits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(1,349)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Other</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(6,332)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(28,897)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 of long-term borrowings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1,822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2,860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Acquisition of treasury stock</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Proceeds from property related to water treatment facility arrangement</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4,283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Repayment of financing related to water treatment facility arrangement</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Repayment of principal portion of lease liabilities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(233)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cash provided by (used in) financing activities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4,658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(579)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increase in cash and cash equivalents</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b w:val="1"/>
                <w:bCs w:val="1"/>
                <w:color w:val="auto"/>
              </w:rPr>
              <w:t>Cash and cash equivalents</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Beginning of the period</w:t>
            </w: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131,341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128,575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ind w:left="340"/>
              <w:spacing w:after="0"/>
              <w:rPr>
                <w:sz w:val="20"/>
                <w:szCs w:val="20"/>
                <w:color w:val="auto"/>
              </w:rPr>
            </w:pPr>
            <w:r>
              <w:rPr>
                <w:rFonts w:ascii="Arial" w:cs="Arial" w:eastAsia="Arial" w:hAnsi="Arial"/>
                <w:sz w:val="18"/>
                <w:szCs w:val="18"/>
                <w:color w:val="auto"/>
              </w:rPr>
              <w:t>End of the period</w:t>
            </w:r>
          </w:p>
        </w:tc>
        <w:tc>
          <w:tcPr>
            <w:tcW w:w="8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151,657</w:t>
            </w:r>
          </w:p>
        </w:tc>
        <w:tc>
          <w:tcPr>
            <w:tcW w:w="220" w:type="dxa"/>
            <w:vAlign w:val="bottom"/>
          </w:tcPr>
          <w:p>
            <w:pPr>
              <w:spacing w:after="0"/>
              <w:rPr>
                <w:sz w:val="20"/>
                <w:szCs w:val="20"/>
                <w:color w:val="auto"/>
              </w:rPr>
            </w:pPr>
          </w:p>
        </w:tc>
        <w:tc>
          <w:tcPr>
            <w:tcW w:w="3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151,657</w:t>
            </w:r>
          </w:p>
        </w:tc>
        <w:tc>
          <w:tcPr>
            <w:tcW w:w="220" w:type="dxa"/>
            <w:vAlign w:val="bottom"/>
          </w:tcPr>
          <w:p>
            <w:pPr>
              <w:spacing w:after="0"/>
              <w:rPr>
                <w:sz w:val="20"/>
                <w:szCs w:val="20"/>
                <w:color w:val="auto"/>
              </w:rPr>
            </w:pPr>
          </w:p>
        </w:tc>
        <w:tc>
          <w:tcPr>
            <w:tcW w:w="38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132,438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040"/>
      </w:cols>
      <w:pgMar w:left="440" w:top="27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2020-02-19T16:18:05Z</dcterms:created>
  <dcterms:modified xsi:type="dcterms:W3CDTF">2020-02-19T16:18:05Z</dcterms:modified>
</cp:coreProperties>
</file>