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shd w:fill="FFFFFF" w:val="clear"/>
        </w:rPr>
      </w:pPr>
      <w:bookmarkStart w:id="0" w:name="d820102d10q.htm"/>
      <w:bookmarkStart w:id="1" w:name="ksd820102d10q"/>
      <w:bookmarkEnd w:id="0"/>
      <w:bookmarkEnd w:id="1"/>
      <w:r>
        <w:rPr>
          <w:bdr w:val="single" w:sz="2" w:space="1" w:color="000000"/>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before="8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FORM </w:t>
      </w:r>
    </w:p>
    <w:p>
      <w:pPr>
        <w:pStyle w:val="TextBody"/>
        <w:bidi w:val="0"/>
        <w:spacing w:before="240" w:after="0"/>
        <w:jc w:val="center"/>
        <w:rPr>
          <w:rFonts w:ascii="Times New Roman" w:hAnsi="Times New Roman"/>
          <w:b/>
          <w:spacing w:val="0"/>
          <w:sz w:val="36"/>
          <w:shd w:fill="FFFFFF" w:val="clear"/>
        </w:rPr>
      </w:pPr>
      <w:r>
        <w:rPr>
          <w:rFonts w:ascii="Times New Roman" w:hAnsi="Times New Roman"/>
          <w:b/>
          <w:spacing w:val="0"/>
          <w:sz w:val="36"/>
          <w:shd w:fill="FFFFFF" w:val="clear"/>
        </w:rPr>
        <w:t>10-Q</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For the quarterly period ended June 30, 2024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or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For the transition period from </w:t>
      </w:r>
    </w:p>
    <w:p>
      <w:pPr>
        <w:pStyle w:val="TextBody"/>
        <w:bidi w:val="0"/>
        <w:spacing w:before="240" w:after="0"/>
        <w:jc w:val="center"/>
        <w:rPr>
          <w:strike w:val="false"/>
          <w:dstrike w:val="false"/>
          <w:spacing w:val="0"/>
          <w:u w:val="single"/>
          <w:effect w:val="none"/>
          <w:shd w:fill="FFFFFF" w:val="clear"/>
        </w:rPr>
      </w:pPr>
      <w:r>
        <w:rPr>
          <w:strike w:val="false"/>
          <w:dstrike w:val="false"/>
          <w:spacing w:val="0"/>
          <w:u w:val="single"/>
          <w:effect w:val="none"/>
          <w:shd w:fill="FFFFFF" w:val="clear"/>
        </w:rPr>
        <w:t> </w:t>
      </w:r>
    </w:p>
    <w:p>
      <w:pPr>
        <w:pStyle w:val="TextBody"/>
        <w:bidi w:val="0"/>
        <w:spacing w:before="240" w:after="0"/>
        <w:jc w:val="center"/>
        <w:rPr>
          <w:strike w:val="false"/>
          <w:dstrike w:val="false"/>
          <w:spacing w:val="0"/>
          <w:u w:val="single"/>
          <w:effect w:val="none"/>
          <w:shd w:fill="FFFFFF" w:val="clear"/>
        </w:rPr>
      </w:pPr>
      <w:r>
        <w:rPr>
          <w:strike w:val="false"/>
          <w:dstrike w:val="false"/>
          <w:spacing w:val="0"/>
          <w:u w:val="single"/>
          <w:effect w:val="none"/>
          <w:shd w:fill="FFFFFF" w:val="clear"/>
        </w:rPr>
        <w:t> </w:t>
      </w:r>
    </w:p>
    <w:p>
      <w:pPr>
        <w:pStyle w:val="TextBody"/>
        <w:bidi w:val="0"/>
        <w:spacing w:before="240" w:after="0"/>
        <w:jc w:val="center"/>
        <w:rPr>
          <w:strike w:val="false"/>
          <w:dstrike w:val="false"/>
          <w:spacing w:val="0"/>
          <w:u w:val="single"/>
          <w:effect w:val="none"/>
          <w:shd w:fill="FFFFFF" w:val="clear"/>
        </w:rPr>
      </w:pPr>
      <w:r>
        <w:rPr>
          <w:strike w:val="false"/>
          <w:dstrike w:val="false"/>
          <w:spacing w:val="0"/>
          <w:u w:val="single"/>
          <w:effect w:val="none"/>
          <w:shd w:fill="FFFFFF" w:val="clear"/>
        </w:rPr>
        <w:t> </w:t>
      </w:r>
    </w:p>
    <w:p>
      <w:pPr>
        <w:pStyle w:val="TextBody"/>
        <w:bidi w:val="0"/>
        <w:spacing w:before="240" w:after="0"/>
        <w:jc w:val="center"/>
        <w:rPr>
          <w:strike w:val="false"/>
          <w:dstrike w:val="false"/>
          <w:spacing w:val="0"/>
          <w:u w:val="single"/>
          <w:effect w:val="none"/>
          <w:shd w:fill="FFFFFF" w:val="clear"/>
        </w:rPr>
      </w:pPr>
      <w:r>
        <w:rPr>
          <w:strike w:val="false"/>
          <w:dstrike w:val="false"/>
          <w:spacing w:val="0"/>
          <w:u w:val="single"/>
          <w:effect w:val="none"/>
          <w:shd w:fill="FFFFFF" w:val="clear"/>
        </w:rPr>
        <w:t>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to </w:t>
      </w:r>
    </w:p>
    <w:p>
      <w:pPr>
        <w:pStyle w:val="TextBody"/>
        <w:bidi w:val="0"/>
        <w:spacing w:before="240" w:after="0"/>
        <w:jc w:val="center"/>
        <w:rPr>
          <w:strike w:val="false"/>
          <w:dstrike w:val="false"/>
          <w:spacing w:val="0"/>
          <w:u w:val="single"/>
          <w:effect w:val="none"/>
          <w:shd w:fill="FFFFFF" w:val="clear"/>
        </w:rPr>
      </w:pPr>
      <w:r>
        <w:rPr>
          <w:strike w:val="false"/>
          <w:dstrike w:val="false"/>
          <w:spacing w:val="0"/>
          <w:u w:val="single"/>
          <w:effect w:val="none"/>
          <w:shd w:fill="FFFFFF" w:val="clear"/>
        </w:rPr>
        <w:t> </w:t>
      </w:r>
    </w:p>
    <w:p>
      <w:pPr>
        <w:pStyle w:val="TextBody"/>
        <w:bidi w:val="0"/>
        <w:spacing w:before="240" w:after="0"/>
        <w:jc w:val="center"/>
        <w:rPr>
          <w:strike w:val="false"/>
          <w:dstrike w:val="false"/>
          <w:spacing w:val="0"/>
          <w:u w:val="single"/>
          <w:effect w:val="none"/>
          <w:shd w:fill="FFFFFF" w:val="clear"/>
        </w:rPr>
      </w:pPr>
      <w:r>
        <w:rPr>
          <w:strike w:val="false"/>
          <w:dstrike w:val="false"/>
          <w:spacing w:val="0"/>
          <w:u w:val="single"/>
          <w:effect w:val="none"/>
          <w:shd w:fill="FFFFFF" w:val="clear"/>
        </w:rPr>
        <w:t> </w:t>
      </w:r>
    </w:p>
    <w:p>
      <w:pPr>
        <w:pStyle w:val="TextBody"/>
        <w:bidi w:val="0"/>
        <w:spacing w:before="240" w:after="0"/>
        <w:jc w:val="center"/>
        <w:rPr>
          <w:strike w:val="false"/>
          <w:dstrike w:val="false"/>
          <w:spacing w:val="0"/>
          <w:u w:val="single"/>
          <w:effect w:val="none"/>
          <w:shd w:fill="FFFFFF" w:val="clear"/>
        </w:rPr>
      </w:pPr>
      <w:r>
        <w:rPr>
          <w:strike w:val="false"/>
          <w:dstrike w:val="false"/>
          <w:spacing w:val="0"/>
          <w:u w:val="single"/>
          <w:effect w:val="none"/>
          <w:shd w:fill="FFFFFF" w:val="clear"/>
        </w:rPr>
        <w:t> </w:t>
      </w:r>
    </w:p>
    <w:p>
      <w:pPr>
        <w:pStyle w:val="TextBody"/>
        <w:bidi w:val="0"/>
        <w:spacing w:before="240" w:after="0"/>
        <w:jc w:val="center"/>
        <w:rPr>
          <w:strike w:val="false"/>
          <w:dstrike w:val="false"/>
          <w:spacing w:val="0"/>
          <w:u w:val="single"/>
          <w:effect w:val="none"/>
          <w:shd w:fill="FFFFFF" w:val="clear"/>
        </w:rPr>
      </w:pPr>
      <w:r>
        <w:rPr>
          <w:strike w:val="false"/>
          <w:dstrike w:val="false"/>
          <w:spacing w:val="0"/>
          <w:u w:val="single"/>
          <w:effect w:val="none"/>
          <w:shd w:fill="FFFFFF" w:val="clear"/>
        </w:rPr>
        <w:t>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Commission File Number: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001-34791</w:t>
      </w:r>
    </w:p>
    <w:p>
      <w:pPr>
        <w:pStyle w:val="TextBody"/>
        <w:bidi w:val="0"/>
        <w:spacing w:before="240" w:after="0"/>
        <w:jc w:val="center"/>
        <w:rPr>
          <w:rFonts w:ascii="Times New Roman" w:hAnsi="Times New Roman"/>
          <w:sz w:val="20"/>
        </w:rPr>
      </w:pPr>
      <w:r>
        <w:rPr>
          <w:rFonts w:ascii="Times New Roman" w:hAnsi="Times New Roman"/>
          <w:sz w:val="20"/>
        </w:rPr>
      </w:r>
    </w:p>
    <w:p>
      <w:pPr>
        <w:pStyle w:val="TextBody"/>
        <w:bidi w:val="0"/>
        <w:spacing w:before="0" w:after="0"/>
        <w:jc w:val="left"/>
        <w:rPr>
          <w:sz w:val="24"/>
        </w:rPr>
      </w:pPr>
      <w:r>
        <w:rPr>
          <w:sz w:val="24"/>
        </w:rPr>
      </w:r>
    </w:p>
    <w:p>
      <w:pPr>
        <w:pStyle w:val="TextBody"/>
        <w:bidi w:val="0"/>
        <w:spacing w:lineRule="atLeast" w:line="142" w:before="0" w:after="40"/>
        <w:ind w:left="0" w:right="0" w:hanging="0"/>
        <w:jc w:val="center"/>
        <w:rPr/>
      </w:pPr>
      <w:r>
        <w:rPr/>
      </w:r>
    </w:p>
    <w:p>
      <w:pPr>
        <w:pStyle w:val="TextBody"/>
        <w:bidi w:val="0"/>
        <w:spacing w:before="0" w:after="0"/>
        <w:jc w:val="left"/>
        <w:rPr>
          <w:sz w:val="24"/>
        </w:rPr>
      </w:pPr>
      <w:r>
        <w:rPr>
          <w:sz w:val="24"/>
        </w:rPr>
      </w:r>
    </w:p>
    <w:p>
      <w:pPr>
        <w:pStyle w:val="TextBody"/>
        <w:bidi w:val="0"/>
        <w:spacing w:before="0" w:after="0"/>
        <w:jc w:val="center"/>
        <w:rPr>
          <w:shd w:fill="FFFFFF" w:val="clear"/>
        </w:rPr>
      </w:pPr>
      <w:r>
        <w:rPr>
          <w:shd w:fill="FFFFFF" w:val="clear"/>
        </w:rPr>
        <w:drawing>
          <wp:inline distT="0" distB="0" distL="0" distR="0">
            <wp:extent cx="34290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29000" cy="742950"/>
                    </a:xfrm>
                    <a:prstGeom prst="rect">
                      <a:avLst/>
                    </a:prstGeom>
                  </pic:spPr>
                </pic:pic>
              </a:graphicData>
            </a:graphic>
          </wp:inline>
        </w:drawing>
      </w:r>
    </w:p>
    <w:p>
      <w:pPr>
        <w:pStyle w:val="TextBody"/>
        <w:bidi w:val="0"/>
        <w:spacing w:before="0" w:after="0"/>
        <w:jc w:val="center"/>
        <w:rPr>
          <w:rFonts w:ascii="Times New Roman" w:hAnsi="Times New Roman"/>
          <w:b/>
          <w:sz w:val="48"/>
          <w:shd w:fill="FFFFFF" w:val="clear"/>
        </w:rPr>
      </w:pPr>
      <w:r>
        <w:rPr>
          <w:rFonts w:ascii="Times New Roman" w:hAnsi="Times New Roman"/>
          <w:b/>
          <w:sz w:val="48"/>
          <w:shd w:fill="FFFFFF" w:val="clear"/>
        </w:rPr>
        <w:t>Magnachip Semiconductor Corporation</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(Exact name of registrant as specified in its charter)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3715" w:type="dxa"/>
        <w:jc w:val="left"/>
        <w:tblInd w:w="0" w:type="dxa"/>
        <w:tblLayout w:type="fixed"/>
        <w:tblCellMar>
          <w:top w:w="0" w:type="dxa"/>
          <w:left w:w="0" w:type="dxa"/>
          <w:bottom w:w="0" w:type="dxa"/>
          <w:right w:w="0" w:type="dxa"/>
        </w:tblCellMar>
      </w:tblPr>
      <w:tblGrid>
        <w:gridCol w:w="22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83-0406195</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c/o Magnachip Semiconductor, Ltd.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15F, 76 Jikji-daero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436beon-gil</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Heungdeok-gu</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Cheongju-si,</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Chungcheongbuk-do,</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Republic of Korea 28581 </w:t>
      </w:r>
    </w:p>
    <w:p>
      <w:pPr>
        <w:pStyle w:val="TextBody"/>
        <w:bidi w:val="0"/>
        <w:spacing w:before="0" w:after="0"/>
        <w:jc w:val="center"/>
        <w:rPr>
          <w:rFonts w:ascii="Times New Roman" w:hAnsi="Times New Roman"/>
          <w:b/>
          <w:sz w:val="16"/>
          <w:shd w:fill="FFFFFF" w:val="clear"/>
        </w:rPr>
      </w:pPr>
      <w:r>
        <w:rPr>
          <w:rFonts w:ascii="Times New Roman" w:hAnsi="Times New Roman"/>
          <w:b/>
          <w:sz w:val="16"/>
          <w:shd w:fill="FFFFFF" w:val="clear"/>
        </w:rPr>
        <w:t xml:space="preserve">(Address of principal executive offices) (Zip Code)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Registrant’s telephone number, including area code: +82 (2) 6903-3000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Securities registered pursuant to Section 12(b) of the Act: </w:t>
      </w:r>
    </w:p>
    <w:p>
      <w:pPr>
        <w:pStyle w:val="TextBody"/>
        <w:bidi w:val="0"/>
        <w:spacing w:before="0" w:after="0"/>
        <w:jc w:val="left"/>
        <w:rPr>
          <w:shd w:fill="FFFFFF" w:val="clear"/>
        </w:rPr>
      </w:pPr>
      <w:r>
        <w:rPr>
          <w:shd w:fill="FFFFFF" w:val="clear"/>
        </w:rPr>
        <w:t> </w:t>
      </w:r>
    </w:p>
    <w:tbl>
      <w:tblPr>
        <w:tblW w:w="7965" w:type="dxa"/>
        <w:jc w:val="left"/>
        <w:tblInd w:w="0" w:type="dxa"/>
        <w:tblLayout w:type="fixed"/>
        <w:tblCellMar>
          <w:top w:w="0" w:type="dxa"/>
          <w:left w:w="0" w:type="dxa"/>
          <w:bottom w:w="0" w:type="dxa"/>
          <w:right w:w="0" w:type="dxa"/>
        </w:tblCellMar>
      </w:tblPr>
      <w:tblGrid>
        <w:gridCol w:w="4310"/>
        <w:gridCol w:w="60"/>
        <w:gridCol w:w="740"/>
        <w:gridCol w:w="60"/>
        <w:gridCol w:w="2795"/>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10" w:type="dxa"/>
            <w:tcBorders/>
            <w:vAlign w:val="center"/>
          </w:tcPr>
          <w:p>
            <w:pPr>
              <w:pStyle w:val="TableContents"/>
              <w:bidi w:val="0"/>
              <w:spacing w:before="0" w:after="0"/>
              <w:jc w:val="center"/>
              <w:rPr>
                <w:b/>
                <w:spacing w:val="0"/>
              </w:rPr>
            </w:pPr>
            <w:r>
              <w:rPr>
                <w:b/>
                <w:spacing w:val="0"/>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MX</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center"/>
              <w:rPr>
                <w:b/>
                <w:spacing w:val="0"/>
              </w:rPr>
            </w:pPr>
            <w:r>
              <w:rPr>
                <w:b/>
                <w:spacing w:val="0"/>
              </w:rPr>
              <w:t>New York Stock Exchange</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Indicate by</w:t>
      </w:r>
    </w:p>
    <w:p>
      <w:pPr>
        <w:pStyle w:val="TextBody"/>
        <w:bidi w:val="0"/>
        <w:spacing w:before="240" w:after="0"/>
        <w:jc w:val="left"/>
        <w:rPr>
          <w:spacing w:val="0"/>
          <w:shd w:fill="FFFFFF" w:val="clear"/>
        </w:rPr>
      </w:pPr>
      <w:r>
        <w:rPr>
          <w:spacing w:val="0"/>
          <w:shd w:fill="FFFFFF" w:val="clear"/>
        </w:rPr>
        <w:t> </w:t>
      </w:r>
      <w:r>
        <w:rPr>
          <w:rFonts w:ascii="Times New Roman" w:hAnsi="Times New Roman"/>
          <w:spacing w:val="0"/>
          <w:sz w:val="20"/>
          <w:shd w:fill="FFFFFF" w:val="clear"/>
        </w:rPr>
        <w:t>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Yes</w:t>
      </w:r>
    </w:p>
    <w:p>
      <w:pPr>
        <w:pStyle w:val="TextBody"/>
        <w:bidi w:val="0"/>
        <w:spacing w:before="240" w:after="0"/>
        <w:jc w:val="left"/>
        <w:rPr>
          <w:spacing w:val="0"/>
          <w:shd w:fill="FFFFFF" w:val="clear"/>
        </w:rPr>
      </w:pPr>
      <w:r>
        <w:rPr>
          <w:spacing w:val="0"/>
          <w:shd w:fill="FFFFFF" w:val="clear"/>
        </w:rPr>
        <w:t> ☐ </w:t>
      </w:r>
      <w:r>
        <w:rPr>
          <w:rFonts w:ascii="Times New Roman" w:hAnsi="Times New Roman"/>
          <w:spacing w:val="0"/>
          <w:sz w:val="20"/>
          <w:shd w:fill="FFFFFF" w:val="clear"/>
        </w:rPr>
        <w:t>No</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S-T</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(§232.405 of this chapter) during the preceding 12 months (or for such shorter period that the registrant was required to submit such files).</w:t>
      </w:r>
    </w:p>
    <w:p>
      <w:pPr>
        <w:pStyle w:val="TextBody"/>
        <w:bidi w:val="0"/>
        <w:spacing w:before="240" w:after="0"/>
        <w:jc w:val="left"/>
        <w:rPr>
          <w:spacing w:val="0"/>
          <w:shd w:fill="FFFFFF" w:val="clear"/>
        </w:rPr>
      </w:pPr>
      <w:r>
        <w:rPr>
          <w:spacing w:val="0"/>
          <w:shd w:fill="FFFFFF" w:val="clear"/>
        </w:rPr>
        <w:t>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Yes</w:t>
      </w:r>
    </w:p>
    <w:p>
      <w:pPr>
        <w:pStyle w:val="TextBody"/>
        <w:bidi w:val="0"/>
        <w:spacing w:before="240" w:after="0"/>
        <w:jc w:val="left"/>
        <w:rPr>
          <w:spacing w:val="0"/>
          <w:shd w:fill="FFFFFF" w:val="clear"/>
        </w:rPr>
      </w:pPr>
      <w:r>
        <w:rPr>
          <w:spacing w:val="0"/>
          <w:shd w:fill="FFFFFF" w:val="clear"/>
        </w:rPr>
        <w:t> ☐ </w:t>
      </w:r>
      <w:r>
        <w:rPr>
          <w:rFonts w:ascii="Times New Roman" w:hAnsi="Times New Roman"/>
          <w:spacing w:val="0"/>
          <w:sz w:val="20"/>
          <w:shd w:fill="FFFFFF" w:val="clear"/>
        </w:rPr>
        <w:t>No</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non-accelerated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Exchange Act. </w:t>
      </w:r>
    </w:p>
    <w:p>
      <w:pPr>
        <w:pStyle w:val="TextBody"/>
        <w:bidi w:val="0"/>
        <w:spacing w:before="0" w:after="0"/>
        <w:jc w:val="left"/>
        <w:rPr>
          <w:spacing w:val="0"/>
          <w:shd w:fill="FFFFFF" w:val="clear"/>
        </w:rPr>
      </w:pPr>
      <w:r>
        <w:rPr>
          <w:spacing w:val="0"/>
          <w:shd w:fill="FFFFFF" w:val="clea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Exchange Act). ☐ Yes ☒ No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July 31, 2024, the registrant had 37,457,198 shares of common stock outstanding. </w:t>
      </w:r>
    </w:p>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8290"/>
        <w:gridCol w:w="120"/>
        <w:gridCol w:w="175"/>
        <w:gridCol w:w="760"/>
        <w:gridCol w:w="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 No.</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x820102_1">
              <w:r>
                <w:rPr>
                  <w:rStyle w:val="InternetLink"/>
                  <w:rFonts w:ascii="Times New Roman" w:hAnsi="Times New Roman"/>
                  <w:sz w:val="20"/>
                </w:rPr>
                <w:t xml:space="preserve">PART I FINANCIAL INFORMATION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820102_2">
              <w:r>
                <w:rPr>
                  <w:rStyle w:val="InternetLink"/>
                  <w:rFonts w:ascii="Times New Roman" w:hAnsi="Times New Roman"/>
                  <w:sz w:val="20"/>
                </w:rPr>
                <w:t>Interim Consolidated Financial Statements (Unaudited)</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820102_3">
              <w:r>
                <w:rPr>
                  <w:rStyle w:val="InternetLink"/>
                  <w:rFonts w:ascii="Times New Roman" w:hAnsi="Times New Roman"/>
                  <w:sz w:val="20"/>
                </w:rPr>
                <w:t>Magnachip Semiconductor Corporation and Subsidiaries Consolidated Balance Sheets as of June 30, 2024 and December 31, 2023</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820102_4">
              <w:r>
                <w:rPr>
                  <w:rStyle w:val="InternetLink"/>
                  <w:rFonts w:ascii="Times New Roman" w:hAnsi="Times New Roman"/>
                  <w:sz w:val="20"/>
                </w:rPr>
                <w:t>Magnachip Semiconductor Corporation and Subsidiaries Consolidated Statements of Operations for the Three and Six Months Ended June 30, 2024 and 2023</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820102_5">
              <w:r>
                <w:rPr>
                  <w:rStyle w:val="InternetLink"/>
                  <w:rFonts w:ascii="Times New Roman" w:hAnsi="Times New Roman"/>
                  <w:sz w:val="20"/>
                </w:rPr>
                <w:t>Magnachip Semiconductor Corporation and Subsidiaries Consolidated Statements of Comprehensive Loss for the Three and Six Months Ended June 30, 2024 and 2023</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820102_6">
              <w:r>
                <w:rPr>
                  <w:rStyle w:val="InternetLink"/>
                  <w:rFonts w:ascii="Times New Roman" w:hAnsi="Times New Roman"/>
                  <w:sz w:val="20"/>
                </w:rPr>
                <w:t>Magnachip Semiconductor Corporation and Subsidiaries Consolidated Statements of Changes in Stockholders’ Equity for the Three and Six Months Ended June 30, 2024 and 2023</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820102_7">
              <w:r>
                <w:rPr>
                  <w:rStyle w:val="InternetLink"/>
                  <w:rFonts w:ascii="Times New Roman" w:hAnsi="Times New Roman"/>
                  <w:sz w:val="20"/>
                </w:rPr>
                <w:t>Magnachip Semiconductor Corporation and Subsidiaries Consolidated Statements of Cash Flows for the Six Months Ended June 30, 2024 and 2023</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820102_8">
              <w:r>
                <w:rPr>
                  <w:rStyle w:val="InternetLink"/>
                  <w:rFonts w:ascii="Times New Roman" w:hAnsi="Times New Roman"/>
                  <w:sz w:val="20"/>
                </w:rPr>
                <w:t>Magnachip Semiconductor Corporation and Subsidiaries Notes to Consolidated Financial Statements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820102_9">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820102_10">
              <w:r>
                <w:rPr>
                  <w:rStyle w:val="InternetLink"/>
                  <w:rFonts w:ascii="Times New Roman" w:hAnsi="Times New Roman"/>
                  <w:sz w:val="20"/>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820102_11">
              <w:r>
                <w:rPr>
                  <w:rStyle w:val="InternetLink"/>
                  <w:rFonts w:ascii="Times New Roman" w:hAnsi="Times New Roman"/>
                  <w:sz w:val="20"/>
                </w:rPr>
                <w:t>Controls and Procedures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x820102_12">
              <w:r>
                <w:rPr>
                  <w:rStyle w:val="InternetLink"/>
                  <w:rFonts w:ascii="Times New Roman" w:hAnsi="Times New Roman"/>
                  <w:sz w:val="20"/>
                </w:rPr>
                <w:t xml:space="preserve">PART II OTHER INFORMATION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820102_13">
              <w:r>
                <w:rPr>
                  <w:rStyle w:val="InternetLink"/>
                </w:rPr>
                <w:t>Legal Proceedings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820102_14">
              <w:r>
                <w:rPr>
                  <w:rStyle w:val="InternetLink"/>
                </w:rPr>
                <w:t>Risk Factors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820102_15">
              <w:r>
                <w:rPr>
                  <w:rStyle w:val="InternetLink"/>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820102_16">
              <w:r>
                <w:rPr>
                  <w:rStyle w:val="InternetLink"/>
                </w:rPr>
                <w:t>Defaults Upon Senior Securities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820102_17">
              <w:r>
                <w:rPr>
                  <w:rStyle w:val="InternetLink"/>
                </w:rPr>
                <w:t>Mine Safety Disclosures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820102_18">
              <w:r>
                <w:rPr>
                  <w:rStyle w:val="InternetLink"/>
                </w:rPr>
                <w:t>Other Information</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hyperlink w:anchor="tx820102_19">
              <w:r>
                <w:rPr>
                  <w:rStyle w:val="InternetLink"/>
                </w:rPr>
                <w:t>Exhibits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x820102_20">
              <w:r>
                <w:rPr>
                  <w:rStyle w:val="InternetLink"/>
                  <w:rFonts w:ascii="Times New Roman" w:hAnsi="Times New Roman"/>
                  <w:sz w:val="20"/>
                </w:rPr>
                <w:t xml:space="preserve">SIGNATURES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PART I—FINANCIAL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spacing w:val="0"/>
          <w:shd w:fill="FFFFFF" w:val="clear"/>
        </w:rPr>
      </w:pPr>
      <w:r>
        <w:rPr>
          <w:spacing w:val="0"/>
          <w:shd w:fill="FFFFFF" w:val="clear"/>
        </w:rPr>
        <w:t> </w:t>
      </w:r>
    </w:p>
    <w:tbl>
      <w:tblPr>
        <w:tblW w:w="5455" w:type="dxa"/>
        <w:jc w:val="left"/>
        <w:tblInd w:w="0" w:type="dxa"/>
        <w:tblLayout w:type="fixed"/>
        <w:tblCellMar>
          <w:top w:w="0" w:type="dxa"/>
          <w:left w:w="0" w:type="dxa"/>
          <w:bottom w:w="0" w:type="dxa"/>
          <w:right w:w="0" w:type="dxa"/>
        </w:tblCellMar>
      </w:tblPr>
      <w:tblGrid>
        <w:gridCol w:w="725"/>
        <w:gridCol w:w="4730"/>
      </w:tblGrid>
      <w:tr>
        <w:trPr/>
        <w:tc>
          <w:tcPr>
            <w:tcW w:w="725" w:type="dxa"/>
            <w:tcBorders/>
            <w:vAlign w:val="center"/>
          </w:tcPr>
          <w:p>
            <w:pPr>
              <w:pStyle w:val="TableContents"/>
              <w:bidi w:val="0"/>
              <w:spacing w:before="0" w:after="0"/>
              <w:jc w:val="left"/>
              <w:rPr>
                <w:b/>
                <w:spacing w:val="0"/>
              </w:rPr>
            </w:pPr>
            <w:bookmarkStart w:id="3" w:name="tx820102_2"/>
            <w:bookmarkEnd w:id="3"/>
            <w:r>
              <w:rPr>
                <w:b/>
                <w:spacing w:val="0"/>
              </w:rPr>
              <w:t>Item 1.</w:t>
            </w:r>
          </w:p>
        </w:tc>
        <w:tc>
          <w:tcPr>
            <w:tcW w:w="47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Interim Consolidated Financial Statements (Unaudited)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80" w:after="0"/>
        <w:ind w:left="0" w:right="0" w:hanging="0"/>
        <w:jc w:val="center"/>
        <w:rPr>
          <w:rFonts w:ascii="Times New Roman" w:hAnsi="Times New Roman"/>
          <w:b/>
          <w:spacing w:val="0"/>
          <w:sz w:val="20"/>
        </w:rPr>
      </w:pPr>
      <w:r>
        <w:rPr>
          <w:rFonts w:ascii="Times New Roman" w:hAnsi="Times New Roman"/>
          <w:b/>
          <w:spacing w:val="0"/>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CONSOLIDATED BALANCE SHEETS (Unaudited)</w:t>
      </w:r>
    </w:p>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5095"/>
        <w:gridCol w:w="120"/>
        <w:gridCol w:w="260"/>
        <w:gridCol w:w="1631"/>
        <w:gridCol w:w="288"/>
        <w:gridCol w:w="111"/>
        <w:gridCol w:w="346"/>
        <w:gridCol w:w="2181"/>
        <w:gridCol w:w="173"/>
      </w:tblGrid>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891"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288"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2527"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3" w:type="dxa"/>
            <w:tcBorders/>
            <w:vAlign w:val="center"/>
          </w:tcPr>
          <w:p>
            <w:pPr>
              <w:pStyle w:val="TableContents"/>
              <w:bidi w:val="0"/>
              <w:spacing w:before="0" w:after="0"/>
              <w:jc w:val="left"/>
              <w:rPr/>
            </w:pPr>
            <w:r>
              <w:rPr/>
              <w:t> </w:t>
            </w:r>
          </w:p>
        </w:tc>
      </w:tr>
      <w:tr>
        <w:trPr/>
        <w:tc>
          <w:tcPr>
            <w:tcW w:w="509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4817" w:type="dxa"/>
            <w:gridSpan w:val="6"/>
            <w:tcBorders/>
            <w:vAlign w:val="center"/>
          </w:tcPr>
          <w:p>
            <w:pPr>
              <w:pStyle w:val="TableContents"/>
              <w:bidi w:val="0"/>
              <w:spacing w:before="0" w:after="0"/>
              <w:jc w:val="center"/>
              <w:rPr>
                <w:b/>
                <w:spacing w:val="0"/>
              </w:rPr>
            </w:pPr>
            <w:r>
              <w:rPr>
                <w:b/>
                <w:spacing w:val="0"/>
              </w:rPr>
              <w:t>(In thousands of U.S. dollars, except share data)</w:t>
            </w:r>
          </w:p>
        </w:tc>
        <w:tc>
          <w:tcPr>
            <w:tcW w:w="173" w:type="dxa"/>
            <w:tcBorders/>
            <w:vAlign w:val="center"/>
          </w:tcPr>
          <w:p>
            <w:pPr>
              <w:pStyle w:val="TableContents"/>
              <w:bidi w:val="0"/>
              <w:spacing w:before="0" w:after="0"/>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218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631" w:type="dxa"/>
            <w:tcBorders/>
            <w:shd w:fill="CCEEFF" w:val="clear"/>
            <w:vAlign w:val="center"/>
          </w:tcPr>
          <w:p>
            <w:pPr>
              <w:pStyle w:val="TableContents"/>
              <w:bidi w:val="0"/>
              <w:spacing w:before="0" w:after="283"/>
              <w:jc w:val="right"/>
              <w:rPr/>
            </w:pPr>
            <w:r>
              <w:rPr/>
              <w:t>132,467</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2181" w:type="dxa"/>
            <w:tcBorders/>
            <w:shd w:fill="CCEEFF" w:val="clear"/>
            <w:vAlign w:val="center"/>
          </w:tcPr>
          <w:p>
            <w:pPr>
              <w:pStyle w:val="TableContents"/>
              <w:bidi w:val="0"/>
              <w:spacing w:before="0" w:after="283"/>
              <w:jc w:val="right"/>
              <w:rPr/>
            </w:pPr>
            <w:r>
              <w:rPr/>
              <w:t>158,092</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financial instruments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30,000</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31,175</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32,641</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34,783</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32,733</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3,977</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4,295</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8,548</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7,390</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Hedge collateral (Note 6)</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1,600</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1,000</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 (Note 16)</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11,653</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9,283</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254,203</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245,434</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88,330</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100,122</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4,181</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4,639</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1,320</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1,537</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prepaid expenses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8,085</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5,736</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44,578</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50,836</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11,998</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12,187</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283"/>
              <w:jc w:val="right"/>
              <w:rPr/>
            </w:pPr>
            <w:r>
              <w:rPr/>
              <w:t>412,695</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w:t>
            </w:r>
          </w:p>
        </w:tc>
        <w:tc>
          <w:tcPr>
            <w:tcW w:w="2181" w:type="dxa"/>
            <w:tcBorders/>
            <w:vAlign w:val="center"/>
          </w:tcPr>
          <w:p>
            <w:pPr>
              <w:pStyle w:val="TableContents"/>
              <w:bidi w:val="0"/>
              <w:spacing w:before="0" w:after="283"/>
              <w:jc w:val="right"/>
              <w:rPr/>
            </w:pPr>
            <w:r>
              <w:rPr/>
              <w:t>420,491</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double" w:sz="6" w:space="1" w:color="000000"/>
              </w:rPr>
            </w:pPr>
            <w:r>
              <w:rPr>
                <w:bdr w:val="double" w:sz="6" w:space="1" w:color="000000"/>
              </w:rPr>
              <w:t> </w:t>
            </w:r>
          </w:p>
        </w:tc>
        <w:tc>
          <w:tcPr>
            <w:tcW w:w="1631" w:type="dxa"/>
            <w:tcBorders/>
            <w:vAlign w:val="center"/>
          </w:tcPr>
          <w:p>
            <w:pPr>
              <w:pStyle w:val="TableContents"/>
              <w:bidi w:val="0"/>
              <w:spacing w:before="0" w:after="0"/>
              <w:jc w:val="left"/>
              <w:rPr>
                <w:bdr w:val="double" w:sz="6" w:space="1" w:color="000000"/>
              </w:rPr>
            </w:pPr>
            <w:r>
              <w:rPr>
                <w:bdr w:val="double" w:sz="6"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double" w:sz="6" w:space="1" w:color="000000"/>
              </w:rPr>
            </w:pPr>
            <w:r>
              <w:rPr>
                <w:bdr w:val="double" w:sz="6" w:space="1" w:color="000000"/>
              </w:rPr>
              <w:t> </w:t>
            </w:r>
          </w:p>
        </w:tc>
        <w:tc>
          <w:tcPr>
            <w:tcW w:w="2181"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218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631" w:type="dxa"/>
            <w:tcBorders/>
            <w:shd w:fill="CCEEFF" w:val="clear"/>
            <w:vAlign w:val="center"/>
          </w:tcPr>
          <w:p>
            <w:pPr>
              <w:pStyle w:val="TableContents"/>
              <w:bidi w:val="0"/>
              <w:spacing w:before="0" w:after="283"/>
              <w:jc w:val="right"/>
              <w:rPr/>
            </w:pPr>
            <w:r>
              <w:rPr/>
              <w:t>25,575</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2181" w:type="dxa"/>
            <w:tcBorders/>
            <w:shd w:fill="CCEEFF" w:val="clear"/>
            <w:vAlign w:val="center"/>
          </w:tcPr>
          <w:p>
            <w:pPr>
              <w:pStyle w:val="TableContents"/>
              <w:bidi w:val="0"/>
              <w:spacing w:before="0" w:after="283"/>
              <w:jc w:val="right"/>
              <w:rPr/>
            </w:pPr>
            <w:r>
              <w:rPr/>
              <w:t>24,443</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8,383</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5,292</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9,199</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10,457</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1,422</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1,496</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1,805</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1,914</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4,168</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3,286</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50,552</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46,888</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borrowing</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28,794</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15,759</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16,020</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2,514</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2,897</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9,228</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10,088</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106,847</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75,893</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16)</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218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$0.01 par value, 150,000,000 shares authorized, 57,015,569 shares issued and 37,799,482 outstanding at June 30, 2024 and 56,971,394 shares issued and 38,852,742 outstanding at December 31, 2023</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569</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569</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275,329</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273,256</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270,470</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298,884</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19,216,087 shares at June 30, 2024 and 18,118,652 shares at December 31, 2023, respectively</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(219,949</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(213,454</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(20,571</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(14,657</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305,848</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344,598</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single" w:sz="2" w:space="1" w:color="000000"/>
              </w:rPr>
            </w:pPr>
            <w:r>
              <w:rPr>
                <w:bdr w:val="single" w:sz="2" w:space="1" w:color="000000"/>
              </w:rPr>
              <w:t> </w:t>
            </w:r>
          </w:p>
        </w:tc>
        <w:tc>
          <w:tcPr>
            <w:tcW w:w="1631" w:type="dxa"/>
            <w:tcBorders/>
            <w:vAlign w:val="center"/>
          </w:tcPr>
          <w:p>
            <w:pPr>
              <w:pStyle w:val="TableContents"/>
              <w:bidi w:val="0"/>
              <w:spacing w:before="0" w:after="0"/>
              <w:jc w:val="left"/>
              <w:rPr>
                <w:bdr w:val="single" w:sz="2" w:space="1" w:color="000000"/>
              </w:rPr>
            </w:pPr>
            <w:r>
              <w:rPr>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single" w:sz="2" w:space="1" w:color="000000"/>
              </w:rPr>
            </w:pPr>
            <w:r>
              <w:rPr>
                <w:bdr w:val="single" w:sz="2" w:space="1" w:color="000000"/>
              </w:rPr>
              <w:t> </w:t>
            </w:r>
          </w:p>
        </w:tc>
        <w:tc>
          <w:tcPr>
            <w:tcW w:w="218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631" w:type="dxa"/>
            <w:tcBorders/>
            <w:shd w:fill="CCEEFF" w:val="clear"/>
            <w:vAlign w:val="center"/>
          </w:tcPr>
          <w:p>
            <w:pPr>
              <w:pStyle w:val="TableContents"/>
              <w:bidi w:val="0"/>
              <w:spacing w:before="0" w:after="283"/>
              <w:jc w:val="right"/>
              <w:rPr/>
            </w:pPr>
            <w:r>
              <w:rPr/>
              <w:t>412,695</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2181" w:type="dxa"/>
            <w:tcBorders/>
            <w:shd w:fill="CCEEFF" w:val="clear"/>
            <w:vAlign w:val="center"/>
          </w:tcPr>
          <w:p>
            <w:pPr>
              <w:pStyle w:val="TableContents"/>
              <w:bidi w:val="0"/>
              <w:spacing w:before="0" w:after="283"/>
              <w:jc w:val="right"/>
              <w:rPr/>
            </w:pPr>
            <w:r>
              <w:rPr/>
              <w:t>420,491</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dr w:val="double" w:sz="6" w:space="1" w:color="000000"/>
              </w:rPr>
            </w:pPr>
            <w:r>
              <w:rPr>
                <w:bdr w:val="double" w:sz="6" w:space="1" w:color="000000"/>
              </w:rPr>
              <w:t> </w:t>
            </w:r>
          </w:p>
        </w:tc>
        <w:tc>
          <w:tcPr>
            <w:tcW w:w="1631" w:type="dxa"/>
            <w:tcBorders/>
            <w:vAlign w:val="center"/>
          </w:tcPr>
          <w:p>
            <w:pPr>
              <w:pStyle w:val="TableContents"/>
              <w:bidi w:val="0"/>
              <w:spacing w:before="0" w:after="0"/>
              <w:jc w:val="left"/>
              <w:rPr>
                <w:bdr w:val="double" w:sz="6" w:space="1" w:color="000000"/>
              </w:rPr>
            </w:pPr>
            <w:r>
              <w:rPr>
                <w:bdr w:val="double" w:sz="6"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bdr w:val="double" w:sz="6" w:space="1" w:color="000000"/>
              </w:rPr>
            </w:pPr>
            <w:r>
              <w:rPr>
                <w:bdr w:val="double" w:sz="6" w:space="1" w:color="000000"/>
              </w:rPr>
              <w:t> </w:t>
            </w:r>
          </w:p>
        </w:tc>
        <w:tc>
          <w:tcPr>
            <w:tcW w:w="2181"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OPERATIONS (Unaudited)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left"/>
        <w:rPr>
          <w:spacing w:val="0"/>
          <w:shd w:fill="FFFFFF" w:val="clear"/>
        </w:rPr>
      </w:pPr>
      <w:r>
        <w:rPr>
          <w:spacing w:val="0"/>
          <w:shd w:fill="FFFFFF" w:val="clear"/>
        </w:rPr>
        <w:t> </w:t>
      </w:r>
    </w:p>
    <w:tbl>
      <w:tblPr>
        <w:tblW w:w="9950" w:type="dxa"/>
        <w:jc w:val="left"/>
        <w:tblInd w:w="0" w:type="dxa"/>
        <w:tblLayout w:type="fixed"/>
        <w:tblCellMar>
          <w:top w:w="0" w:type="dxa"/>
          <w:left w:w="0" w:type="dxa"/>
          <w:bottom w:w="0" w:type="dxa"/>
          <w:right w:w="0" w:type="dxa"/>
        </w:tblCellMar>
      </w:tblPr>
      <w:tblGrid>
        <w:gridCol w:w="4055"/>
        <w:gridCol w:w="120"/>
        <w:gridCol w:w="140"/>
        <w:gridCol w:w="1100"/>
        <w:gridCol w:w="155"/>
        <w:gridCol w:w="60"/>
        <w:gridCol w:w="140"/>
        <w:gridCol w:w="1100"/>
        <w:gridCol w:w="155"/>
        <w:gridCol w:w="60"/>
        <w:gridCol w:w="140"/>
        <w:gridCol w:w="1100"/>
        <w:gridCol w:w="155"/>
        <w:gridCol w:w="60"/>
        <w:gridCol w:w="140"/>
        <w:gridCol w:w="1100"/>
        <w:gridCol w:w="170"/>
      </w:tblGrid>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695" w:type="dxa"/>
            <w:gridSpan w:val="6"/>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695" w:type="dxa"/>
            <w:gridSpan w:val="6"/>
            <w:tcBorders/>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0"/>
              <w:jc w:val="left"/>
              <w:rPr>
                <w:spacing w:val="0"/>
              </w:rPr>
            </w:pPr>
            <w:r>
              <w:rPr>
                <w:spacing w:val="0"/>
              </w:rPr>
              <w:t> </w:t>
            </w:r>
          </w:p>
        </w:tc>
      </w:tr>
      <w:tr>
        <w:trPr/>
        <w:tc>
          <w:tcPr>
            <w:tcW w:w="40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40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605" w:type="dxa"/>
            <w:gridSpan w:val="14"/>
            <w:tcBorders/>
            <w:vAlign w:val="center"/>
          </w:tcPr>
          <w:p>
            <w:pPr>
              <w:pStyle w:val="TableContents"/>
              <w:bidi w:val="0"/>
              <w:spacing w:before="0" w:after="0"/>
              <w:jc w:val="center"/>
              <w:rPr>
                <w:b/>
                <w:spacing w:val="0"/>
              </w:rPr>
            </w:pPr>
            <w:r>
              <w:rPr>
                <w:b/>
                <w:spacing w:val="0"/>
              </w:rPr>
              <w:t>(In thousands of U.S. dollars, except share data)</w:t>
            </w:r>
          </w:p>
        </w:tc>
        <w:tc>
          <w:tcPr>
            <w:tcW w:w="170" w:type="dxa"/>
            <w:tcBorders/>
            <w:vAlign w:val="center"/>
          </w:tcPr>
          <w:p>
            <w:pPr>
              <w:pStyle w:val="TableContents"/>
              <w:bidi w:val="0"/>
              <w:spacing w:before="0" w:after="0"/>
              <w:jc w:val="left"/>
              <w:rPr>
                <w:spacing w:val="0"/>
              </w:rPr>
            </w:pPr>
            <w:r>
              <w:rPr>
                <w:spacing w:val="0"/>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465" w:type="dxa"/>
            <w:gridSpan w:val="13"/>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50,835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51,375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96,376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102,889</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15,095</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53,171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60,979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102,238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117,984</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39,113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37,867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75,001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75,179</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17,173</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41,570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47,441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81,669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92,352</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13,538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20,569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25,632</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22,998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24,302</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12,691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23,854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24,553</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9,251</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24,425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24,194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46,852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58,106</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(26,283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(32,474</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5,534</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(456</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(8,558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(2,193</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(14,599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(31,040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(29,621</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(4,204</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(12,997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(3,947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(28,414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(25,417</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loss per common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(0.60</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loss per common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(0.60</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38,174,920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41,741,310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38,359,851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42,561,514</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38,174,920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41,741,310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38,359,851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42,561,514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COMPREHENSIVE LOSS (Unaudited)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5485"/>
        <w:gridCol w:w="120"/>
        <w:gridCol w:w="164"/>
        <w:gridCol w:w="885"/>
        <w:gridCol w:w="181"/>
        <w:gridCol w:w="70"/>
        <w:gridCol w:w="164"/>
        <w:gridCol w:w="746"/>
        <w:gridCol w:w="155"/>
        <w:gridCol w:w="60"/>
        <w:gridCol w:w="140"/>
        <w:gridCol w:w="755"/>
        <w:gridCol w:w="155"/>
        <w:gridCol w:w="60"/>
        <w:gridCol w:w="140"/>
        <w:gridCol w:w="755"/>
        <w:gridCol w:w="170"/>
      </w:tblGrid>
      <w:tr>
        <w:trPr/>
        <w:tc>
          <w:tcPr>
            <w:tcW w:w="5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8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05" w:type="dxa"/>
            <w:gridSpan w:val="6"/>
            <w:tcBorders/>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0"/>
              <w:jc w:val="left"/>
              <w:rPr/>
            </w:pPr>
            <w:r>
              <w:rPr/>
              <w:t> </w:t>
            </w:r>
          </w:p>
        </w:tc>
      </w:tr>
      <w:tr>
        <w:trPr/>
        <w:tc>
          <w:tcPr>
            <w:tcW w:w="548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9"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81" w:type="dxa"/>
            <w:tcBorders/>
            <w:vAlign w:val="center"/>
          </w:tcPr>
          <w:p>
            <w:pPr>
              <w:pStyle w:val="TableContents"/>
              <w:bidi w:val="0"/>
              <w:spacing w:before="0" w:after="0"/>
              <w:jc w:val="left"/>
              <w:rPr/>
            </w:pPr>
            <w:r>
              <w:rPr/>
              <w:t> </w:t>
            </w:r>
          </w:p>
        </w:tc>
        <w:tc>
          <w:tcPr>
            <w:tcW w:w="70" w:type="dxa"/>
            <w:tcBorders/>
            <w:vAlign w:val="center"/>
          </w:tcPr>
          <w:p>
            <w:pPr>
              <w:pStyle w:val="TableContents"/>
              <w:bidi w:val="0"/>
              <w:spacing w:before="0" w:after="0"/>
              <w:jc w:val="left"/>
              <w:rPr/>
            </w:pPr>
            <w:r>
              <w:rPr/>
              <w:t> </w:t>
            </w:r>
          </w:p>
        </w:tc>
        <w:tc>
          <w:tcPr>
            <w:tcW w:w="91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pPr>
            <w:r>
              <w:rPr/>
              <w:t> </w:t>
            </w:r>
          </w:p>
        </w:tc>
      </w:tr>
      <w:tr>
        <w:trPr/>
        <w:tc>
          <w:tcPr>
            <w:tcW w:w="548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4430" w:type="dxa"/>
            <w:gridSpan w:val="14"/>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0"/>
              <w:jc w:val="left"/>
              <w:rPr/>
            </w:pPr>
            <w:r>
              <w:rPr/>
              <w:t> </w:t>
            </w:r>
          </w:p>
        </w:tc>
      </w:tr>
      <w:tr>
        <w:trPr/>
        <w:tc>
          <w:tcPr>
            <w:tcW w:w="54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5" w:type="dxa"/>
            <w:tcBorders/>
            <w:shd w:fill="CCEEFF" w:val="clear"/>
            <w:vAlign w:val="center"/>
          </w:tcPr>
          <w:p>
            <w:pPr>
              <w:pStyle w:val="TableContents"/>
              <w:bidi w:val="0"/>
              <w:spacing w:before="0" w:after="283"/>
              <w:jc w:val="right"/>
              <w:rPr/>
            </w:pPr>
            <w:r>
              <w:rPr/>
              <w:t>(12,997</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283"/>
              <w:jc w:val="right"/>
              <w:rPr/>
            </w:pPr>
            <w:r>
              <w:rPr/>
              <w:t>(3,947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(28,414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(25,417</w:t>
            </w:r>
          </w:p>
        </w:tc>
        <w:tc>
          <w:tcPr>
            <w:tcW w:w="170" w:type="dxa"/>
            <w:tcBorders/>
            <w:shd w:fill="CCEEFF" w:val="clear"/>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85" w:type="dxa"/>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7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(1,591</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(2,285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(4,193</w:t>
            </w:r>
          </w:p>
        </w:tc>
        <w:tc>
          <w:tcPr>
            <w:tcW w:w="170" w:type="dxa"/>
            <w:tcBorders/>
            <w:shd w:fill="CCEEFF" w:val="clear"/>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valuation of derivatives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(807</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(375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(1,510</w:t>
            </w:r>
          </w:p>
        </w:tc>
        <w:tc>
          <w:tcPr>
            <w:tcW w:w="170" w:type="dxa"/>
            <w:tcBorders/>
            <w:shd w:fill="CCEEFF" w:val="clear"/>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Reclassification adjustment for loss on derivatives included in net loss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527</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1,243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1,846</w:t>
            </w:r>
          </w:p>
        </w:tc>
        <w:tc>
          <w:tcPr>
            <w:tcW w:w="170" w:type="dxa"/>
            <w:tcBorders/>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85" w:type="dxa"/>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7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comprehensive loss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(1,871</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(1,417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(3,857</w:t>
            </w:r>
          </w:p>
        </w:tc>
        <w:tc>
          <w:tcPr>
            <w:tcW w:w="170" w:type="dxa"/>
            <w:tcBorders/>
            <w:shd w:fill="CCEEFF" w:val="clear"/>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885" w:type="dxa"/>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single" w:sz="2" w:space="1" w:color="000000"/>
              </w:rPr>
            </w:pPr>
            <w:r>
              <w:rPr>
                <w:bdr w:val="single" w:sz="2" w:space="1" w:color="000000"/>
              </w:rPr>
              <w:t> </w:t>
            </w:r>
          </w:p>
        </w:tc>
        <w:tc>
          <w:tcPr>
            <w:tcW w:w="74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885" w:type="dxa"/>
            <w:tcBorders/>
            <w:vAlign w:val="center"/>
          </w:tcPr>
          <w:p>
            <w:pPr>
              <w:pStyle w:val="TableContents"/>
              <w:bidi w:val="0"/>
              <w:spacing w:before="0" w:after="283"/>
              <w:jc w:val="right"/>
              <w:rPr/>
            </w:pPr>
            <w:r>
              <w:rPr/>
              <w:t>(14,868</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746" w:type="dxa"/>
            <w:tcBorders/>
            <w:vAlign w:val="center"/>
          </w:tcPr>
          <w:p>
            <w:pPr>
              <w:pStyle w:val="TableContents"/>
              <w:bidi w:val="0"/>
              <w:spacing w:before="0" w:after="283"/>
              <w:jc w:val="right"/>
              <w:rPr/>
            </w:pPr>
            <w:r>
              <w:rPr/>
              <w:t>(5,364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(34,328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(29,274</w:t>
            </w:r>
          </w:p>
        </w:tc>
        <w:tc>
          <w:tcPr>
            <w:tcW w:w="170" w:type="dxa"/>
            <w:tcBorders/>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double" w:sz="6" w:space="1" w:color="000000"/>
              </w:rPr>
            </w:pPr>
            <w:r>
              <w:rPr>
                <w:bdr w:val="double" w:sz="6" w:space="1" w:color="000000"/>
              </w:rPr>
              <w:t> </w:t>
            </w:r>
          </w:p>
        </w:tc>
        <w:tc>
          <w:tcPr>
            <w:tcW w:w="885" w:type="dxa"/>
            <w:tcBorders/>
            <w:vAlign w:val="center"/>
          </w:tcPr>
          <w:p>
            <w:pPr>
              <w:pStyle w:val="TableContents"/>
              <w:bidi w:val="0"/>
              <w:spacing w:before="0" w:after="0"/>
              <w:jc w:val="left"/>
              <w:rPr>
                <w:bdr w:val="double" w:sz="6" w:space="1" w:color="000000"/>
              </w:rPr>
            </w:pPr>
            <w:r>
              <w:rPr>
                <w:bdr w:val="double" w:sz="6"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bdr w:val="double" w:sz="6" w:space="1" w:color="000000"/>
              </w:rPr>
            </w:pPr>
            <w:r>
              <w:rPr>
                <w:bdr w:val="double" w:sz="6" w:space="1" w:color="000000"/>
              </w:rPr>
              <w:t> </w:t>
            </w:r>
          </w:p>
        </w:tc>
        <w:tc>
          <w:tcPr>
            <w:tcW w:w="74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CHANGES IN STOCKHOLDERS’ EQUITY (Unaudited)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left"/>
        <w:rPr>
          <w:spacing w:val="0"/>
          <w:shd w:fill="FFFFFF" w:val="clear"/>
        </w:rPr>
      </w:pPr>
      <w:r>
        <w:rPr>
          <w:spacing w:val="0"/>
          <w:shd w:fill="FFFFFF" w:val="clear"/>
        </w:rPr>
        <w:t> </w:t>
      </w:r>
    </w:p>
    <w:tbl>
      <w:tblPr>
        <w:tblW w:w="12635" w:type="dxa"/>
        <w:jc w:val="left"/>
        <w:tblInd w:w="0" w:type="dxa"/>
        <w:tblLayout w:type="fixed"/>
        <w:tblCellMar>
          <w:top w:w="0" w:type="dxa"/>
          <w:left w:w="0" w:type="dxa"/>
          <w:bottom w:w="0" w:type="dxa"/>
          <w:right w:w="0" w:type="dxa"/>
        </w:tblCellMar>
      </w:tblPr>
      <w:tblGrid>
        <w:gridCol w:w="3455"/>
        <w:gridCol w:w="120"/>
        <w:gridCol w:w="60"/>
        <w:gridCol w:w="1100"/>
        <w:gridCol w:w="155"/>
        <w:gridCol w:w="60"/>
        <w:gridCol w:w="231"/>
        <w:gridCol w:w="629"/>
        <w:gridCol w:w="60"/>
        <w:gridCol w:w="120"/>
        <w:gridCol w:w="163"/>
        <w:gridCol w:w="937"/>
        <w:gridCol w:w="155"/>
        <w:gridCol w:w="60"/>
        <w:gridCol w:w="141"/>
        <w:gridCol w:w="809"/>
        <w:gridCol w:w="155"/>
        <w:gridCol w:w="60"/>
        <w:gridCol w:w="140"/>
        <w:gridCol w:w="875"/>
        <w:gridCol w:w="155"/>
        <w:gridCol w:w="60"/>
        <w:gridCol w:w="251"/>
        <w:gridCol w:w="1359"/>
        <w:gridCol w:w="155"/>
        <w:gridCol w:w="60"/>
        <w:gridCol w:w="140"/>
        <w:gridCol w:w="800"/>
        <w:gridCol w:w="17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35"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pPr>
            <w:r>
              <w:rPr/>
              <w:t> </w:t>
            </w:r>
          </w:p>
        </w:tc>
        <w:tc>
          <w:tcPr>
            <w:tcW w:w="120" w:type="dxa"/>
            <w:vMerge w:val="restart"/>
            <w:tcBorders/>
            <w:vAlign w:val="center"/>
          </w:tcPr>
          <w:p>
            <w:pPr>
              <w:pStyle w:val="TableContents"/>
              <w:bidi w:val="0"/>
              <w:spacing w:before="0" w:after="0"/>
              <w:jc w:val="left"/>
              <w:rPr/>
            </w:pPr>
            <w:r>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0"/>
              <w:jc w:val="left"/>
              <w:rPr/>
            </w:pPr>
            <w:r>
              <w:rPr/>
              <w:t> </w:t>
            </w:r>
          </w:p>
        </w:tc>
        <w:tc>
          <w:tcPr>
            <w:tcW w:w="950" w:type="dxa"/>
            <w:gridSpan w:val="2"/>
            <w:vMerge w:val="restart"/>
            <w:tcBorders/>
            <w:vAlign w:val="center"/>
          </w:tcPr>
          <w:p>
            <w:pPr>
              <w:pStyle w:val="TableContents"/>
              <w:bidi w:val="0"/>
              <w:spacing w:before="0" w:after="0"/>
              <w:jc w:val="center"/>
              <w:rPr>
                <w:b/>
                <w:spacing w:val="0"/>
              </w:rPr>
            </w:pPr>
            <w:r>
              <w:rPr>
                <w:b/>
                <w:spacing w:val="0"/>
              </w:rPr>
              <w:t>Retained</w:t>
              <w:br/>
              <w:t>Earnings</w:t>
            </w:r>
          </w:p>
        </w:tc>
        <w:tc>
          <w:tcPr>
            <w:tcW w:w="155" w:type="dxa"/>
            <w:vMerge w:val="restart"/>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0"/>
              <w:jc w:val="left"/>
              <w:rPr/>
            </w:pPr>
            <w:r>
              <w:rPr/>
              <w:t> </w:t>
            </w:r>
          </w:p>
        </w:tc>
        <w:tc>
          <w:tcPr>
            <w:tcW w:w="1015" w:type="dxa"/>
            <w:gridSpan w:val="2"/>
            <w:vMerge w:val="restart"/>
            <w:tcBorders/>
            <w:vAlign w:val="center"/>
          </w:tcPr>
          <w:p>
            <w:pPr>
              <w:pStyle w:val="TableContents"/>
              <w:bidi w:val="0"/>
              <w:spacing w:before="0" w:after="0"/>
              <w:jc w:val="center"/>
              <w:rPr>
                <w:b/>
                <w:spacing w:val="0"/>
              </w:rPr>
            </w:pPr>
            <w:r>
              <w:rPr>
                <w:b/>
                <w:spacing w:val="0"/>
              </w:rPr>
              <w:t>Treasury</w:t>
              <w:br/>
              <w:t>Stock</w:t>
            </w:r>
          </w:p>
        </w:tc>
        <w:tc>
          <w:tcPr>
            <w:tcW w:w="155" w:type="dxa"/>
            <w:vMerge w:val="restart"/>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0"/>
              <w:jc w:val="left"/>
              <w:rPr/>
            </w:pPr>
            <w:r>
              <w:rPr/>
              <w:t> </w:t>
            </w:r>
          </w:p>
        </w:tc>
        <w:tc>
          <w:tcPr>
            <w:tcW w:w="161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155" w:type="dxa"/>
            <w:vMerge w:val="restart"/>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0"/>
              <w:jc w:val="left"/>
              <w:rPr/>
            </w:pPr>
            <w:r>
              <w:rPr/>
              <w:t> </w:t>
            </w:r>
          </w:p>
        </w:tc>
        <w:tc>
          <w:tcPr>
            <w:tcW w:w="940" w:type="dxa"/>
            <w:gridSpan w:val="2"/>
            <w:vMerge w:val="restart"/>
            <w:tcBorders/>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0"/>
              <w:jc w:val="left"/>
              <w:rPr/>
            </w:pPr>
            <w:r>
              <w:rPr/>
              <w:t> </w:t>
            </w:r>
          </w:p>
        </w:tc>
      </w:tr>
      <w:tr>
        <w:trPr/>
        <w:tc>
          <w:tcPr>
            <w:tcW w:w="345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 of U.S. dollars, except share data)</w:t>
            </w:r>
          </w:p>
        </w:tc>
        <w:tc>
          <w:tcPr>
            <w:tcW w:w="12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June 30,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March 31,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38,263,642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274,156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283,467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(217,607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(18,700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321,885</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1,216</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6,996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(471,156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(2,342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(1,871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(1,871</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(12,997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(12,997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37,799,482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275,329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270,470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(219,949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(20,571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305,848</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June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March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42,589,315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267,187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314,036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(173,441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(14,993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393,353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2,092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(2,468,017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(25,807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(25,807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(3,947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(3,947</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40,133,898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269,297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310,089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(199,248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(16,410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364,292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2635" w:type="dxa"/>
        <w:jc w:val="left"/>
        <w:tblInd w:w="0" w:type="dxa"/>
        <w:tblLayout w:type="fixed"/>
        <w:tblCellMar>
          <w:top w:w="0" w:type="dxa"/>
          <w:left w:w="0" w:type="dxa"/>
          <w:bottom w:w="0" w:type="dxa"/>
          <w:right w:w="0" w:type="dxa"/>
        </w:tblCellMar>
      </w:tblPr>
      <w:tblGrid>
        <w:gridCol w:w="3455"/>
        <w:gridCol w:w="120"/>
        <w:gridCol w:w="60"/>
        <w:gridCol w:w="1100"/>
        <w:gridCol w:w="155"/>
        <w:gridCol w:w="60"/>
        <w:gridCol w:w="231"/>
        <w:gridCol w:w="629"/>
        <w:gridCol w:w="60"/>
        <w:gridCol w:w="120"/>
        <w:gridCol w:w="163"/>
        <w:gridCol w:w="937"/>
        <w:gridCol w:w="155"/>
        <w:gridCol w:w="60"/>
        <w:gridCol w:w="141"/>
        <w:gridCol w:w="809"/>
        <w:gridCol w:w="155"/>
        <w:gridCol w:w="60"/>
        <w:gridCol w:w="140"/>
        <w:gridCol w:w="875"/>
        <w:gridCol w:w="155"/>
        <w:gridCol w:w="60"/>
        <w:gridCol w:w="251"/>
        <w:gridCol w:w="1359"/>
        <w:gridCol w:w="155"/>
        <w:gridCol w:w="60"/>
        <w:gridCol w:w="140"/>
        <w:gridCol w:w="800"/>
        <w:gridCol w:w="17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35"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pPr>
            <w:r>
              <w:rPr/>
              <w:t> </w:t>
            </w:r>
          </w:p>
        </w:tc>
        <w:tc>
          <w:tcPr>
            <w:tcW w:w="120" w:type="dxa"/>
            <w:vMerge w:val="restart"/>
            <w:tcBorders/>
            <w:vAlign w:val="center"/>
          </w:tcPr>
          <w:p>
            <w:pPr>
              <w:pStyle w:val="TableContents"/>
              <w:bidi w:val="0"/>
              <w:spacing w:before="0" w:after="0"/>
              <w:jc w:val="left"/>
              <w:rPr/>
            </w:pPr>
            <w:r>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0"/>
              <w:jc w:val="left"/>
              <w:rPr/>
            </w:pPr>
            <w:r>
              <w:rPr/>
              <w:t> </w:t>
            </w:r>
          </w:p>
        </w:tc>
        <w:tc>
          <w:tcPr>
            <w:tcW w:w="950" w:type="dxa"/>
            <w:gridSpan w:val="2"/>
            <w:vMerge w:val="restart"/>
            <w:tcBorders/>
            <w:vAlign w:val="center"/>
          </w:tcPr>
          <w:p>
            <w:pPr>
              <w:pStyle w:val="TableContents"/>
              <w:bidi w:val="0"/>
              <w:spacing w:before="0" w:after="0"/>
              <w:jc w:val="center"/>
              <w:rPr>
                <w:b/>
                <w:spacing w:val="0"/>
              </w:rPr>
            </w:pPr>
            <w:r>
              <w:rPr>
                <w:b/>
                <w:spacing w:val="0"/>
              </w:rPr>
              <w:t>Retained</w:t>
              <w:br/>
              <w:t>Earnings</w:t>
            </w:r>
          </w:p>
        </w:tc>
        <w:tc>
          <w:tcPr>
            <w:tcW w:w="155" w:type="dxa"/>
            <w:vMerge w:val="restart"/>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0"/>
              <w:jc w:val="left"/>
              <w:rPr/>
            </w:pPr>
            <w:r>
              <w:rPr/>
              <w:t> </w:t>
            </w:r>
          </w:p>
        </w:tc>
        <w:tc>
          <w:tcPr>
            <w:tcW w:w="1015" w:type="dxa"/>
            <w:gridSpan w:val="2"/>
            <w:vMerge w:val="restart"/>
            <w:tcBorders/>
            <w:vAlign w:val="center"/>
          </w:tcPr>
          <w:p>
            <w:pPr>
              <w:pStyle w:val="TableContents"/>
              <w:bidi w:val="0"/>
              <w:spacing w:before="0" w:after="0"/>
              <w:jc w:val="center"/>
              <w:rPr>
                <w:b/>
                <w:spacing w:val="0"/>
              </w:rPr>
            </w:pPr>
            <w:r>
              <w:rPr>
                <w:b/>
                <w:spacing w:val="0"/>
              </w:rPr>
              <w:t>Treasury</w:t>
              <w:br/>
              <w:t>Stock</w:t>
            </w:r>
          </w:p>
        </w:tc>
        <w:tc>
          <w:tcPr>
            <w:tcW w:w="155" w:type="dxa"/>
            <w:vMerge w:val="restart"/>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0"/>
              <w:jc w:val="left"/>
              <w:rPr/>
            </w:pPr>
            <w:r>
              <w:rPr/>
              <w:t> </w:t>
            </w:r>
          </w:p>
        </w:tc>
        <w:tc>
          <w:tcPr>
            <w:tcW w:w="161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155" w:type="dxa"/>
            <w:vMerge w:val="restart"/>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0"/>
              <w:jc w:val="left"/>
              <w:rPr/>
            </w:pPr>
            <w:r>
              <w:rPr/>
              <w:t> </w:t>
            </w:r>
          </w:p>
        </w:tc>
        <w:tc>
          <w:tcPr>
            <w:tcW w:w="940" w:type="dxa"/>
            <w:gridSpan w:val="2"/>
            <w:vMerge w:val="restart"/>
            <w:tcBorders/>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0"/>
              <w:jc w:val="left"/>
              <w:rPr/>
            </w:pPr>
            <w:r>
              <w:rPr/>
              <w:t> </w:t>
            </w:r>
          </w:p>
        </w:tc>
      </w:tr>
      <w:tr>
        <w:trPr/>
        <w:tc>
          <w:tcPr>
            <w:tcW w:w="345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 of U.S. dollars, except share data)</w:t>
            </w:r>
          </w:p>
        </w:tc>
        <w:tc>
          <w:tcPr>
            <w:tcW w:w="12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Six Months Ended June 30,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38,852,742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273,256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298,884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(213,454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(14,657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344,598</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2,116</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44,175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(1,097,435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(6,495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(6,495</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(5,914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(5,914</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(28,414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(28,414</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37,799,482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275,329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270,470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(219,949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(20,571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305,848</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Six Months Ended June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43,824,575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266,058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335,506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(161,422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(12,553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428,153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3,212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3,212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13,333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(3,708,010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(37,826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(37,826</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(3,857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(3,857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(25,417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(25,417</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40,133,898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269,297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310,089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(199,248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(16,410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364,292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CASH FLOWS (Unaudited)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left"/>
        <w:rPr>
          <w:spacing w:val="0"/>
          <w:shd w:fill="FFFFFF" w:val="clear"/>
        </w:rPr>
      </w:pPr>
      <w:r>
        <w:rPr>
          <w:spacing w:val="0"/>
          <w:shd w:fill="FFFFFF" w:val="clear"/>
        </w:rPr>
        <w:t> </w:t>
      </w:r>
    </w:p>
    <w:tbl>
      <w:tblPr>
        <w:tblW w:w="9161" w:type="dxa"/>
        <w:jc w:val="left"/>
        <w:tblInd w:w="0" w:type="dxa"/>
        <w:tblLayout w:type="fixed"/>
        <w:tblCellMar>
          <w:top w:w="0" w:type="dxa"/>
          <w:left w:w="0" w:type="dxa"/>
          <w:bottom w:w="0" w:type="dxa"/>
          <w:right w:w="0" w:type="dxa"/>
        </w:tblCellMar>
      </w:tblPr>
      <w:tblGrid>
        <w:gridCol w:w="5885"/>
        <w:gridCol w:w="120"/>
        <w:gridCol w:w="198"/>
        <w:gridCol w:w="1141"/>
        <w:gridCol w:w="220"/>
        <w:gridCol w:w="85"/>
        <w:gridCol w:w="198"/>
        <w:gridCol w:w="1144"/>
        <w:gridCol w:w="170"/>
      </w:tblGrid>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986" w:type="dxa"/>
            <w:gridSpan w:val="6"/>
            <w:tcBorders/>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0"/>
              <w:jc w:val="left"/>
              <w:rPr/>
            </w:pPr>
            <w:r>
              <w:rPr/>
              <w:t> </w:t>
            </w:r>
          </w:p>
        </w:tc>
      </w:tr>
      <w:tr>
        <w:trPr/>
        <w:tc>
          <w:tcPr>
            <w:tcW w:w="588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39"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220" w:type="dxa"/>
            <w:tcBorders/>
            <w:vAlign w:val="center"/>
          </w:tcPr>
          <w:p>
            <w:pPr>
              <w:pStyle w:val="TableContents"/>
              <w:bidi w:val="0"/>
              <w:spacing w:before="0" w:after="0"/>
              <w:jc w:val="left"/>
              <w:rPr/>
            </w:pPr>
            <w:r>
              <w:rPr/>
              <w:t> </w:t>
            </w:r>
          </w:p>
        </w:tc>
        <w:tc>
          <w:tcPr>
            <w:tcW w:w="85" w:type="dxa"/>
            <w:tcBorders/>
            <w:vAlign w:val="center"/>
          </w:tcPr>
          <w:p>
            <w:pPr>
              <w:pStyle w:val="TableContents"/>
              <w:bidi w:val="0"/>
              <w:spacing w:before="0" w:after="0"/>
              <w:jc w:val="left"/>
              <w:rPr/>
            </w:pPr>
            <w:r>
              <w:rPr/>
              <w:t> </w:t>
            </w:r>
          </w:p>
        </w:tc>
        <w:tc>
          <w:tcPr>
            <w:tcW w:w="1342"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pPr>
            <w:r>
              <w:rPr/>
              <w:t> </w:t>
            </w:r>
          </w:p>
        </w:tc>
      </w:tr>
      <w:tr>
        <w:trPr/>
        <w:tc>
          <w:tcPr>
            <w:tcW w:w="588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986" w:type="dxa"/>
            <w:gridSpan w:val="6"/>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0"/>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(28,414</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(25,417</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8,115</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8,502</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severance benefits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2,970</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4,091</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foreign currency, net</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16,848</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9,117</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inventory reserves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(1,024</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1,121</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2,116</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3,212</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3,158</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426</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423</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(235</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(342</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(3,449</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4,911</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601</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4,407</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896</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395</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1,944</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2,880</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(6,676</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(6,488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(427</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1,104</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(17</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(2,972</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453</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(471</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(246</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(214</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severance benefits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(1,362</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(5,728</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(761</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(487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1" w:type="dxa"/>
            <w:tcBorders/>
            <w:vAlign w:val="center"/>
          </w:tcPr>
          <w:p>
            <w:pPr>
              <w:pStyle w:val="TableContents"/>
              <w:bidi w:val="0"/>
              <w:spacing w:before="0" w:after="0"/>
              <w:jc w:val="left"/>
              <w:rPr>
                <w:bdr w:val="single" w:sz="2" w:space="1" w:color="000000"/>
              </w:rPr>
            </w:pPr>
            <w:r>
              <w:rPr>
                <w:bdr w:val="single" w:sz="2" w:space="1" w:color="000000"/>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(5,084</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(1,929</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settlement of hedge collateral</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3,335</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hedge collateral</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(612</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(2,586</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plant and equipment</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(1,566</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(1,518</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for intellectual property registration</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(178</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(163</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Collection of guarantee deposits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1,138</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1,445</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guarantee deposits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(1,910</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(6,907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 in short-term financial instruments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(30,000</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0</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1" w:type="dxa"/>
            <w:tcBorders/>
            <w:vAlign w:val="center"/>
          </w:tcPr>
          <w:p>
            <w:pPr>
              <w:pStyle w:val="TableContents"/>
              <w:bidi w:val="0"/>
              <w:spacing w:before="0" w:after="0"/>
              <w:jc w:val="left"/>
              <w:rPr>
                <w:bdr w:val="single" w:sz="2" w:space="1" w:color="000000"/>
              </w:rPr>
            </w:pPr>
            <w:r>
              <w:rPr>
                <w:bdr w:val="single" w:sz="2" w:space="1" w:color="000000"/>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(33,128</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(6,394</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long-term borrowing</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30,059</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(6,859</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(36,840</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financing related to water treatment facility arrangement</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(238</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(248</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principal portion of finance lease liabilities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(69</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(46</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1" w:type="dxa"/>
            <w:tcBorders/>
            <w:vAlign w:val="center"/>
          </w:tcPr>
          <w:p>
            <w:pPr>
              <w:pStyle w:val="TableContents"/>
              <w:bidi w:val="0"/>
              <w:spacing w:before="0" w:after="0"/>
              <w:jc w:val="left"/>
              <w:rPr>
                <w:bdr w:val="single" w:sz="2" w:space="1" w:color="000000"/>
              </w:rPr>
            </w:pPr>
            <w:r>
              <w:rPr>
                <w:bdr w:val="single" w:sz="2" w:space="1" w:color="000000"/>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22,893</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(37,107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rates on cash and cash equivalents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(10,306</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right"/>
              <w:rPr/>
            </w:pPr>
            <w:r>
              <w:rPr/>
              <w:t>(7,093</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1" w:type="dxa"/>
            <w:tcBorders/>
            <w:vAlign w:val="center"/>
          </w:tcPr>
          <w:p>
            <w:pPr>
              <w:pStyle w:val="TableContents"/>
              <w:bidi w:val="0"/>
              <w:spacing w:before="0" w:after="0"/>
              <w:jc w:val="left"/>
              <w:rPr>
                <w:bdr w:val="single" w:sz="2" w:space="1" w:color="000000"/>
              </w:rPr>
            </w:pPr>
            <w:r>
              <w:rPr>
                <w:bdr w:val="single" w:sz="2" w:space="1" w:color="000000"/>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(25,625</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(52,523</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158,092</w:t>
            </w:r>
          </w:p>
        </w:tc>
        <w:tc>
          <w:tcPr>
            <w:tcW w:w="2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225,477</w:t>
            </w:r>
          </w:p>
        </w:tc>
        <w:tc>
          <w:tcPr>
            <w:tcW w:w="17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1" w:type="dxa"/>
            <w:tcBorders/>
            <w:vAlign w:val="center"/>
          </w:tcPr>
          <w:p>
            <w:pPr>
              <w:pStyle w:val="TableContents"/>
              <w:bidi w:val="0"/>
              <w:spacing w:before="0" w:after="0"/>
              <w:jc w:val="left"/>
              <w:rPr>
                <w:bdr w:val="single" w:sz="2" w:space="1" w:color="000000"/>
              </w:rPr>
            </w:pPr>
            <w:r>
              <w:rPr>
                <w:bdr w:val="single" w:sz="2" w:space="1" w:color="000000"/>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single" w:sz="2" w:space="1" w:color="000000"/>
              </w:rPr>
            </w:pPr>
            <w:r>
              <w:rPr>
                <w:bdr w:val="single" w:sz="2" w:space="1" w:color="000000"/>
              </w:rPr>
              <w:t> </w:t>
            </w:r>
          </w:p>
        </w:tc>
        <w:tc>
          <w:tcPr>
            <w:tcW w:w="1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132,467</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172,954</w:t>
            </w:r>
          </w:p>
        </w:tc>
        <w:tc>
          <w:tcPr>
            <w:tcW w:w="17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double" w:sz="6" w:space="1" w:color="000000"/>
              </w:rPr>
            </w:pPr>
            <w:r>
              <w:rPr>
                <w:bdr w:val="double" w:sz="6" w:space="1" w:color="000000"/>
              </w:rPr>
              <w:t> </w:t>
            </w:r>
          </w:p>
        </w:tc>
        <w:tc>
          <w:tcPr>
            <w:tcW w:w="1141" w:type="dxa"/>
            <w:tcBorders/>
            <w:vAlign w:val="center"/>
          </w:tcPr>
          <w:p>
            <w:pPr>
              <w:pStyle w:val="TableContents"/>
              <w:bidi w:val="0"/>
              <w:spacing w:before="0" w:after="0"/>
              <w:jc w:val="left"/>
              <w:rPr>
                <w:bdr w:val="double" w:sz="6" w:space="1" w:color="000000"/>
              </w:rPr>
            </w:pPr>
            <w:r>
              <w:rPr>
                <w:bdr w:val="double" w:sz="6" w:space="1" w:color="000000"/>
              </w:rPr>
              <w:t> </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bdr w:val="double" w:sz="6" w:space="1" w:color="000000"/>
              </w:rPr>
            </w:pPr>
            <w:r>
              <w:rPr>
                <w:bdr w:val="double" w:sz="6" w:space="1" w:color="000000"/>
              </w:rPr>
              <w:t> </w:t>
            </w:r>
          </w:p>
        </w:tc>
        <w:tc>
          <w:tcPr>
            <w:tcW w:w="114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(refunded) for income taxes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(716</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3,599</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additions in other accounts payable</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1,467</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477</w:t>
            </w:r>
          </w:p>
        </w:tc>
        <w:tc>
          <w:tcPr>
            <w:tcW w:w="17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14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Unsettled common stock repurchases</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119</w:t>
            </w:r>
          </w:p>
        </w:tc>
        <w:tc>
          <w:tcPr>
            <w:tcW w:w="2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144" w:type="dxa"/>
            <w:tcBorders/>
            <w:vAlign w:val="center"/>
          </w:tcPr>
          <w:p>
            <w:pPr>
              <w:pStyle w:val="TableContents"/>
              <w:bidi w:val="0"/>
              <w:spacing w:before="0" w:after="283"/>
              <w:jc w:val="right"/>
              <w:rPr/>
            </w:pPr>
            <w:r>
              <w:rPr/>
              <w:t>1,379</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 xml:space="preserve">1. Business, Basis of Presentation and Significant Accounting Policies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Business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Magnachip Semiconductor Corporation (together with its subsidiaries, the “Company”) is a designer and manufacturer of analog and mixed-signal semiconductor platform solutions for communication, Internet of Things (“IoT”), consumer, computing, industrial and automotive applications.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Company’s standard products business consists of two business lines: one is the Mixed-Signal Solutions (“MSS”) business line, which comprises the display integrated circuit (“IC”) and power IC businesses that are fabless, and the other is the Power Analog Solutions (“PAS”) business line, which comprises the power discrete business which is an integrated device manufacturing (“IDM”) business.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Display IC products provide panel display solutions to major suppliers of large and small rigid and flexible panel displays, and a wide range of applications, including smartphones, televisions, automotive and IT applications, such as monitors, notebook PCs and tablet PCs, as well as AR/VRs. Power IC products provide power IC solutions to major television suppliers and large panel display suppliers.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PAS business line produces power management semiconductor products, including power discrete solutions for power management in communication, consumer, computing, servers, automotive and industrial applications.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September 1, 2020, the Company completed the sale of the Company’s Foundry Services Group business and its fabrication facility located in Cheongju, Korea, known as “Fab 4”, to SK keyfoundry Inc., a Korean company (“SK keyfoundry”). Following the consummation of the sale, the Company provided SK keyfoundry with transitional foundry services associated with its fabrication facility located in Gumi, Korea, known as “Fab 3”, at an agreed upon cost plus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mark-up</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“Transitional Fab 3 Foundry Services”). The contractual obligation to provide the Transitional Fab 3 Foundry Services ended on August 31, 2023, and the Company is winding down these foundry services and planning to convert portions of the idle capacity to PAS standard products beginning around the second half of 2024. Because these foundry services during the wind-down period are still being provided to SK keyfoundry by the Company using Fab 3 based on mutually agreed terms and conditions, the Company will continue to report its revenue from these foundry services and related cost of sales within the Transitional Fab 3 Foundry Services line in its consolidated statement of operations until such wind-down is completed.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May 30, 2023, the Company announced a plan to regroup the business lines in its standard products business, originally grouped as Display Solutions and Power Solutions business lines, into MSS and PAS business lines to better align its product strategies (the “Reorganization”). On January 10, 2024, the Company transferred the MSS business line into a newly formed Korean limited liability company named “Magnachip Mixed-Signal, Ltd.” Currently, the MSS business line is primarily operated by Magnachip Mixed-Signal, Ltd., and the PAS business line is primarily operated by Magnachip Semiconductor, Ltd., Magnachip’s already existing Korean operating company. Both companies are indirect wholly owned subsidiaries of the Company.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Basis of Presentation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The results of operations for the three and six months ended June 30, 2024 are not necessarily indicative of the results to be expected for a full year or for any other periods.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December 31, 2023 balance sheet data was derived from the Company’s audited financial statements, but does not include all disclosures required by U.S. GAAP. The interim consolidated financial statements should be read in conjunction with the Company’s Annual Report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fiscal year ended December 31, 2023.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There have been no material changes to the Company’s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significant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accounting policies as of and for the six months ended June 30, 2024 as compared to the significant accounting policies described in the Company’s Annual Report on Form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for the fiscal year ended December 31, 2023.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Recent Accounting Pronouncements Not Yet Adopted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November 2023, the Financial Accounting Standards Board (“FASB”) issued Accounting Standards Update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 2023-07,</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Segment Reporting (Topic 280): Improvements to Reportable Segment Disclosures”, which will require an entity to provide more detailed information about its reportable segment expenses that are included within management’s measurement of profit and loss and will require certain annual disclosures to be provided on an interim basis. The amendments in this ASU are effective for the Company in 2024 for annual reporting and in 2025 for interim reporting, with early adoption permitted beginning in 2024, and is required to be applied using the full retrospective method of transition. The Company is currently evaluating the impact of this accounting standard update on the Company’s segment disclosures.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December 2023, the FASB issued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 2023-09,</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xml:space="preserve">Income Taxes (Topic 740): Improvements to Income Tax Disclosures”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(“ASU 2023-09”),</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which intends to enhance the transparency and decision usefulness of income tax disclosures. It requires public business entities to disclose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is effective for annual periods beginning after December 15, 2024, though early adoption is permitted. The Company is currently evaluating the impact of this accounting standard update on its consolidated financial statements and related disclosures.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2. Inventories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Inventories as of June 30, 2024 and December 31, 2023 consist of the following (in thousands): </w:t>
      </w:r>
    </w:p>
    <w:p>
      <w:pPr>
        <w:pStyle w:val="TextBody"/>
        <w:bidi w:val="0"/>
        <w:spacing w:before="0" w:after="0"/>
        <w:ind w:left="0" w:right="0" w:hanging="0"/>
        <w:jc w:val="left"/>
        <w:rPr>
          <w:spacing w:val="0"/>
          <w:shd w:fill="FFFFFF" w:val="clear"/>
        </w:rPr>
      </w:pPr>
      <w:r>
        <w:rPr>
          <w:spacing w:val="0"/>
          <w:shd w:fill="FFFFFF" w:val="clear"/>
        </w:rPr>
        <w:t> </w:t>
      </w:r>
    </w:p>
    <w:tbl>
      <w:tblPr>
        <w:tblW w:w="4943" w:type="dxa"/>
        <w:jc w:val="left"/>
        <w:tblInd w:w="0" w:type="dxa"/>
        <w:tblLayout w:type="fixed"/>
        <w:tblCellMar>
          <w:top w:w="0" w:type="dxa"/>
          <w:left w:w="0" w:type="dxa"/>
          <w:bottom w:w="0" w:type="dxa"/>
          <w:right w:w="0" w:type="dxa"/>
        </w:tblCellMar>
      </w:tblPr>
      <w:tblGrid>
        <w:gridCol w:w="2090"/>
        <w:gridCol w:w="120"/>
        <w:gridCol w:w="149"/>
        <w:gridCol w:w="725"/>
        <w:gridCol w:w="155"/>
        <w:gridCol w:w="120"/>
        <w:gridCol w:w="220"/>
        <w:gridCol w:w="1194"/>
        <w:gridCol w:w="17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74"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7,513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8,432</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Semi-finished goods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work-in-process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30,911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29,339</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4,480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5,543</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in-transit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420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18</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inventory reserve</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(8,541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(10,599</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34,783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32,733</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inventory reserve for the three and six months ended June 30, 2024 and 2023 are as follows (in thousands): </w:t>
      </w:r>
    </w:p>
    <w:p>
      <w:pPr>
        <w:pStyle w:val="TextBody"/>
        <w:bidi w:val="0"/>
        <w:spacing w:before="0" w:after="0"/>
        <w:jc w:val="left"/>
        <w:rPr>
          <w:spacing w:val="0"/>
          <w:shd w:fill="FFFFFF" w:val="clear"/>
        </w:rPr>
      </w:pPr>
      <w:r>
        <w:rPr>
          <w:spacing w:val="0"/>
          <w:shd w:fill="FFFFFF" w:val="clear"/>
        </w:rPr>
        <w:t> </w:t>
      </w:r>
    </w:p>
    <w:tbl>
      <w:tblPr>
        <w:tblW w:w="9855" w:type="dxa"/>
        <w:jc w:val="left"/>
        <w:tblInd w:w="0" w:type="dxa"/>
        <w:tblLayout w:type="fixed"/>
        <w:tblCellMar>
          <w:top w:w="0" w:type="dxa"/>
          <w:left w:w="0" w:type="dxa"/>
          <w:bottom w:w="0" w:type="dxa"/>
          <w:right w:w="0" w:type="dxa"/>
        </w:tblCellMar>
      </w:tblPr>
      <w:tblGrid>
        <w:gridCol w:w="3440"/>
        <w:gridCol w:w="120"/>
        <w:gridCol w:w="266"/>
        <w:gridCol w:w="1209"/>
        <w:gridCol w:w="155"/>
        <w:gridCol w:w="120"/>
        <w:gridCol w:w="183"/>
        <w:gridCol w:w="992"/>
        <w:gridCol w:w="155"/>
        <w:gridCol w:w="120"/>
        <w:gridCol w:w="230"/>
        <w:gridCol w:w="1245"/>
        <w:gridCol w:w="155"/>
        <w:gridCol w:w="120"/>
        <w:gridCol w:w="183"/>
        <w:gridCol w:w="992"/>
        <w:gridCol w:w="17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Three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75" w:type="dxa"/>
            <w:gridSpan w:val="2"/>
            <w:tcBorders/>
            <w:vAlign w:val="center"/>
          </w:tcPr>
          <w:p>
            <w:pPr>
              <w:pStyle w:val="TableContents"/>
              <w:bidi w:val="0"/>
              <w:spacing w:before="0" w:after="0"/>
              <w:jc w:val="center"/>
              <w:rPr>
                <w:b/>
                <w:spacing w:val="0"/>
              </w:rPr>
            </w:pPr>
            <w:r>
              <w:rPr>
                <w:b/>
                <w:spacing w:val="0"/>
              </w:rPr>
              <w:t>Six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Three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75" w:type="dxa"/>
            <w:gridSpan w:val="2"/>
            <w:tcBorders/>
            <w:vAlign w:val="center"/>
          </w:tcPr>
          <w:p>
            <w:pPr>
              <w:pStyle w:val="TableContents"/>
              <w:bidi w:val="0"/>
              <w:spacing w:before="0" w:after="0"/>
              <w:jc w:val="center"/>
              <w:rPr>
                <w:b/>
                <w:spacing w:val="0"/>
              </w:rPr>
            </w:pPr>
            <w:r>
              <w:rPr>
                <w:b/>
                <w:spacing w:val="0"/>
              </w:rPr>
              <w:t>Six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170" w:type="dxa"/>
            <w:tcBorders/>
            <w:vAlign w:val="center"/>
          </w:tcPr>
          <w:p>
            <w:pPr>
              <w:pStyle w:val="TableContents"/>
              <w:bidi w:val="0"/>
              <w:spacing w:before="0" w:after="0"/>
              <w:jc w:val="left"/>
              <w:rPr/>
            </w:pPr>
            <w:r>
              <w:rPr/>
              <w:t> </w:t>
            </w:r>
          </w:p>
        </w:tc>
      </w:tr>
      <w:tr>
        <w:trPr/>
        <w:tc>
          <w:tcPr>
            <w:tcW w:w="344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925" w:type="dxa"/>
            <w:gridSpan w:val="6"/>
            <w:tcBorders/>
            <w:vAlign w:val="center"/>
          </w:tcPr>
          <w:p>
            <w:pPr>
              <w:pStyle w:val="TableContents"/>
              <w:bidi w:val="0"/>
              <w:spacing w:before="0" w:after="0"/>
              <w:jc w:val="center"/>
              <w:rPr>
                <w:b/>
                <w:spacing w:val="0"/>
              </w:rPr>
            </w:pPr>
            <w:r>
              <w:rPr>
                <w:b/>
                <w:spacing w:val="0"/>
              </w:rPr>
              <w:t>June 30, 2024</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925" w:type="dxa"/>
            <w:gridSpan w:val="6"/>
            <w:tcBorders/>
            <w:vAlign w:val="center"/>
          </w:tcPr>
          <w:p>
            <w:pPr>
              <w:pStyle w:val="TableContents"/>
              <w:bidi w:val="0"/>
              <w:spacing w:before="0" w:after="0"/>
              <w:jc w:val="center"/>
              <w:rPr>
                <w:b/>
                <w:spacing w:val="0"/>
              </w:rPr>
            </w:pPr>
            <w:r>
              <w:rPr>
                <w:b/>
                <w:spacing w:val="0"/>
              </w:rPr>
              <w:t>June 30, 2023</w:t>
            </w:r>
          </w:p>
        </w:tc>
        <w:tc>
          <w:tcPr>
            <w:tcW w:w="170" w:type="dxa"/>
            <w:tcBorders/>
            <w:vAlign w:val="center"/>
          </w:tcPr>
          <w:p>
            <w:pPr>
              <w:pStyle w:val="TableContents"/>
              <w:bidi w:val="0"/>
              <w:spacing w:before="0" w:after="0"/>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(8,947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(10,599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(14,941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(14,677</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reserve</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reserve charged to costs of sales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(1,411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(2,961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(2,023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(4,607</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 of previously reserved inventory</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1,466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4,127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2,047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3,523</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single" w:sz="2" w:space="1" w:color="000000"/>
              </w:rPr>
            </w:pPr>
            <w:r>
              <w:rPr>
                <w:bdr w:val="single" w:sz="2" w:space="1" w:color="000000"/>
              </w:rPr>
              <w:t> </w:t>
            </w:r>
          </w:p>
        </w:tc>
        <w:tc>
          <w:tcPr>
            <w:tcW w:w="99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single" w:sz="2" w:space="1" w:color="000000"/>
              </w:rPr>
            </w:pPr>
            <w:r>
              <w:rPr>
                <w:bdr w:val="single" w:sz="2" w:space="1" w:color="000000"/>
              </w:rPr>
              <w:t> </w:t>
            </w:r>
          </w:p>
        </w:tc>
        <w:tc>
          <w:tcPr>
            <w:tcW w:w="99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1,166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(1,084</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Write off</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327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482</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534</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single" w:sz="2" w:space="1" w:color="000000"/>
              </w:rPr>
            </w:pPr>
            <w:r>
              <w:rPr>
                <w:bdr w:val="single" w:sz="2" w:space="1" w:color="000000"/>
              </w:rPr>
              <w:t> </w:t>
            </w:r>
          </w:p>
        </w:tc>
        <w:tc>
          <w:tcPr>
            <w:tcW w:w="1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single" w:sz="2" w:space="1" w:color="000000"/>
              </w:rPr>
            </w:pPr>
            <w:r>
              <w:rPr>
                <w:bdr w:val="single" w:sz="2" w:space="1" w:color="000000"/>
              </w:rPr>
              <w:t> </w:t>
            </w:r>
          </w:p>
        </w:tc>
        <w:tc>
          <w:tcPr>
            <w:tcW w:w="99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single" w:sz="2" w:space="1" w:color="000000"/>
              </w:rPr>
            </w:pPr>
            <w:r>
              <w:rPr>
                <w:bdr w:val="single" w:sz="2" w:space="1" w:color="000000"/>
              </w:rPr>
              <w:t> </w:t>
            </w:r>
          </w:p>
        </w:tc>
        <w:tc>
          <w:tcPr>
            <w:tcW w:w="99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209" w:type="dxa"/>
            <w:tcBorders/>
            <w:vAlign w:val="center"/>
          </w:tcPr>
          <w:p>
            <w:pPr>
              <w:pStyle w:val="TableContents"/>
              <w:bidi w:val="0"/>
              <w:spacing w:before="0" w:after="283"/>
              <w:jc w:val="right"/>
              <w:rPr/>
            </w:pPr>
            <w:r>
              <w:rPr/>
              <w:t>(8,541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992" w:type="dxa"/>
            <w:tcBorders/>
            <w:vAlign w:val="center"/>
          </w:tcPr>
          <w:p>
            <w:pPr>
              <w:pStyle w:val="TableContents"/>
              <w:bidi w:val="0"/>
              <w:spacing w:before="0" w:after="283"/>
              <w:jc w:val="right"/>
              <w:rPr/>
            </w:pPr>
            <w:r>
              <w:rPr/>
              <w:t>(8,541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45" w:type="dxa"/>
            <w:tcBorders/>
            <w:vAlign w:val="center"/>
          </w:tcPr>
          <w:p>
            <w:pPr>
              <w:pStyle w:val="TableContents"/>
              <w:bidi w:val="0"/>
              <w:spacing w:before="0" w:after="283"/>
              <w:jc w:val="right"/>
              <w:rPr/>
            </w:pPr>
            <w:r>
              <w:rPr/>
              <w:t>(14,745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992" w:type="dxa"/>
            <w:tcBorders/>
            <w:vAlign w:val="center"/>
          </w:tcPr>
          <w:p>
            <w:pPr>
              <w:pStyle w:val="TableContents"/>
              <w:bidi w:val="0"/>
              <w:spacing w:before="0" w:after="283"/>
              <w:jc w:val="right"/>
              <w:rPr/>
            </w:pPr>
            <w:r>
              <w:rPr/>
              <w:t>(14,745</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bdr w:val="double" w:sz="6" w:space="1" w:color="000000"/>
              </w:rPr>
            </w:pPr>
            <w:r>
              <w:rPr>
                <w:bdr w:val="double" w:sz="6" w:space="1" w:color="000000"/>
              </w:rPr>
              <w:t> </w:t>
            </w:r>
          </w:p>
        </w:tc>
        <w:tc>
          <w:tcPr>
            <w:tcW w:w="1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double" w:sz="6" w:space="1" w:color="000000"/>
              </w:rPr>
            </w:pPr>
            <w:r>
              <w:rPr>
                <w:bdr w:val="double" w:sz="6" w:space="1" w:color="000000"/>
              </w:rPr>
              <w:t> </w:t>
            </w:r>
          </w:p>
        </w:tc>
        <w:tc>
          <w:tcPr>
            <w:tcW w:w="99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double" w:sz="6" w:space="1" w:color="000000"/>
              </w:rPr>
            </w:pPr>
            <w:r>
              <w:rPr>
                <w:bdr w:val="double" w:sz="6" w:space="1" w:color="000000"/>
              </w:rPr>
              <w:t> </w:t>
            </w:r>
          </w:p>
        </w:tc>
        <w:tc>
          <w:tcPr>
            <w:tcW w:w="99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work-in-process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raw materials. Write off of this reserve is recognized only when the related inventory has been disposed or scrapped.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3. Property, Plant and Equipment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plant and equipment as of June 30, 2024 and December 31, 2023 are comprised of the following (in thousands): </w:t>
      </w:r>
    </w:p>
    <w:p>
      <w:pPr>
        <w:pStyle w:val="TextBody"/>
        <w:bidi w:val="0"/>
        <w:spacing w:before="0" w:after="0"/>
        <w:jc w:val="left"/>
        <w:rPr>
          <w:spacing w:val="0"/>
          <w:shd w:fill="FFFFFF" w:val="clear"/>
        </w:rPr>
      </w:pPr>
      <w:r>
        <w:rPr>
          <w:spacing w:val="0"/>
          <w:shd w:fill="FFFFFF" w:val="clear"/>
        </w:rPr>
        <w:t> </w:t>
      </w:r>
    </w:p>
    <w:tbl>
      <w:tblPr>
        <w:tblW w:w="5834" w:type="dxa"/>
        <w:jc w:val="left"/>
        <w:tblInd w:w="0" w:type="dxa"/>
        <w:tblLayout w:type="fixed"/>
        <w:tblCellMar>
          <w:top w:w="0" w:type="dxa"/>
          <w:left w:w="0" w:type="dxa"/>
          <w:bottom w:w="0" w:type="dxa"/>
          <w:right w:w="0" w:type="dxa"/>
        </w:tblCellMar>
      </w:tblPr>
      <w:tblGrid>
        <w:gridCol w:w="2840"/>
        <w:gridCol w:w="120"/>
        <w:gridCol w:w="140"/>
        <w:gridCol w:w="875"/>
        <w:gridCol w:w="155"/>
        <w:gridCol w:w="120"/>
        <w:gridCol w:w="194"/>
        <w:gridCol w:w="1220"/>
        <w:gridCol w:w="170"/>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Buildings and related structures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22,770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24,532</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130,492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139,710</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902</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34,717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35,471</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188,547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200,615</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(114,184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(115,889</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12,811</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2,585</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88,330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100,122</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Aggregate depreciation expenses totaled $7,827 thousand and $8,183 thousand for the six months ended June 30, 2024 and 2023,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Kun-Pledge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(Mortgage) Agreement (the “Pledge Agreement”) with KDB pursuant to which MSK pledged its real property and buildings located in Gumi, Korea in favor of KDB. See “Note 9. Long-Term Borrowing” to these consolidated financial statements below for more information regarding the Loan Agreement.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4. Intangible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Intangible assets as of June 30, 2024 and December 31, 2023 are comprised of the following (in thousands): </w:t>
      </w:r>
    </w:p>
    <w:p>
      <w:pPr>
        <w:pStyle w:val="TextBody"/>
        <w:bidi w:val="0"/>
        <w:spacing w:before="0" w:after="0"/>
        <w:ind w:left="0" w:right="0" w:hanging="0"/>
        <w:jc w:val="left"/>
        <w:rPr>
          <w:spacing w:val="0"/>
          <w:shd w:fill="FFFFFF" w:val="clear"/>
        </w:rPr>
      </w:pPr>
      <w:r>
        <w:rPr>
          <w:spacing w:val="0"/>
          <w:shd w:fill="FFFFFF" w:val="clear"/>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160"/>
        <w:gridCol w:w="64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425" w:type="dxa"/>
            <w:gridSpan w:val="10"/>
            <w:tcBorders/>
            <w:vAlign w:val="center"/>
          </w:tcPr>
          <w:p>
            <w:pPr>
              <w:pStyle w:val="TableContents"/>
              <w:bidi w:val="0"/>
              <w:spacing w:before="0" w:after="0"/>
              <w:jc w:val="center"/>
              <w:rPr>
                <w:b/>
                <w:spacing w:val="0"/>
              </w:rPr>
            </w:pPr>
            <w:r>
              <w:rPr>
                <w:b/>
                <w:spacing w:val="0"/>
              </w:rPr>
              <w:t>June 30, 2024</w:t>
            </w:r>
          </w:p>
        </w:tc>
        <w:tc>
          <w:tcPr>
            <w:tcW w:w="75" w:type="dxa"/>
            <w:tcBorders/>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Gross</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Net</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0"/>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8,651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(7,331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1,320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8,651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(7,331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1,320</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160"/>
        <w:gridCol w:w="64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425" w:type="dxa"/>
            <w:gridSpan w:val="10"/>
            <w:tcBorders/>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Gross</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Net</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0"/>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9,150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(7,613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1,537</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9,150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(7,613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1,537</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Aggregate amortization expenses for intangible assets totaled $288 thousand and $319 thousand for the six months ended June 30, 2024 and 2023,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5. Accrued Expenses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Accrued expenses as of June 30, 2024 and December 31, 2023 are comprised of the following (in thousands): </w:t>
      </w:r>
    </w:p>
    <w:p>
      <w:pPr>
        <w:pStyle w:val="TextBody"/>
        <w:bidi w:val="0"/>
        <w:spacing w:before="0" w:after="0"/>
        <w:jc w:val="left"/>
        <w:rPr>
          <w:shd w:fill="FFFFFF" w:val="clear"/>
        </w:rPr>
      </w:pPr>
      <w:r>
        <w:rPr>
          <w:shd w:fill="FFFFFF" w:val="clear"/>
        </w:rPr>
        <w:t> </w:t>
      </w:r>
    </w:p>
    <w:tbl>
      <w:tblPr>
        <w:tblW w:w="7874" w:type="dxa"/>
        <w:jc w:val="left"/>
        <w:tblInd w:w="0" w:type="dxa"/>
        <w:tblLayout w:type="fixed"/>
        <w:tblCellMar>
          <w:top w:w="0" w:type="dxa"/>
          <w:left w:w="0" w:type="dxa"/>
          <w:bottom w:w="0" w:type="dxa"/>
          <w:right w:w="0" w:type="dxa"/>
        </w:tblCellMar>
      </w:tblPr>
      <w:tblGrid>
        <w:gridCol w:w="5210"/>
        <w:gridCol w:w="120"/>
        <w:gridCol w:w="175"/>
        <w:gridCol w:w="700"/>
        <w:gridCol w:w="60"/>
        <w:gridCol w:w="120"/>
        <w:gridCol w:w="241"/>
        <w:gridCol w:w="1173"/>
        <w:gridCol w:w="75"/>
      </w:tblGrid>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7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4"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Payroll, benefits and related taxes, excluding severance benefits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6,060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5,947</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Withholding tax attributable to intercompany interest income</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713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1,671</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Outside service fees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1,288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1,953</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1,138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886</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7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173"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9,199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10,457</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7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173"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6. Derivative Financial Instruments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Korean subsidiary, Magnachip Semiconductor, Ltd., from time to time has entered into zero cost collar contracts to hedge the risk of changes in the functional-currency-equivalent cash flows attributable to currency rate changes on U.S. dollar denominated revenues.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Details of the zero cost collar contracts as of June 30, 2024 are as follows (in thousands): </w:t>
      </w:r>
    </w:p>
    <w:p>
      <w:pPr>
        <w:pStyle w:val="TextBody"/>
        <w:bidi w:val="0"/>
        <w:spacing w:before="0" w:after="0"/>
        <w:ind w:left="0" w:right="0" w:hanging="0"/>
        <w:jc w:val="left"/>
        <w:rPr>
          <w:spacing w:val="0"/>
          <w:shd w:fill="FFFFFF" w:val="clear"/>
        </w:rPr>
      </w:pPr>
      <w:r>
        <w:rPr>
          <w:spacing w:val="0"/>
          <w:shd w:fill="FFFFFF" w:val="clear"/>
        </w:rPr>
        <w:t> </w:t>
      </w:r>
    </w:p>
    <w:tbl>
      <w:tblPr>
        <w:tblW w:w="6840" w:type="dxa"/>
        <w:jc w:val="left"/>
        <w:tblInd w:w="0" w:type="dxa"/>
        <w:tblLayout w:type="fixed"/>
        <w:tblCellMar>
          <w:top w:w="0" w:type="dxa"/>
          <w:left w:w="0" w:type="dxa"/>
          <w:bottom w:w="0" w:type="dxa"/>
          <w:right w:w="0" w:type="dxa"/>
        </w:tblCellMar>
      </w:tblPr>
      <w:tblGrid>
        <w:gridCol w:w="1445"/>
        <w:gridCol w:w="120"/>
        <w:gridCol w:w="390"/>
        <w:gridCol w:w="1895"/>
        <w:gridCol w:w="60"/>
        <w:gridCol w:w="120"/>
        <w:gridCol w:w="2810"/>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Date of transaction</w:t>
            </w:r>
          </w:p>
        </w:tc>
        <w:tc>
          <w:tcPr>
            <w:tcW w:w="120" w:type="dxa"/>
            <w:tcBorders/>
            <w:vAlign w:val="center"/>
          </w:tcPr>
          <w:p>
            <w:pPr>
              <w:pStyle w:val="TableContents"/>
              <w:bidi w:val="0"/>
              <w:spacing w:before="0" w:after="0"/>
              <w:jc w:val="left"/>
              <w:rPr>
                <w:spacing w:val="0"/>
              </w:rPr>
            </w:pPr>
            <w:r>
              <w:rPr>
                <w:spacing w:val="0"/>
              </w:rPr>
              <w:t>  </w:t>
            </w:r>
          </w:p>
        </w:tc>
        <w:tc>
          <w:tcPr>
            <w:tcW w:w="2285" w:type="dxa"/>
            <w:gridSpan w:val="2"/>
            <w:tcBorders/>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81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Month of settlement</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August 09, 2023</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10" w:type="dxa"/>
            <w:tcBorders/>
            <w:shd w:fill="CCEEFF" w:val="clear"/>
            <w:vAlign w:val="center"/>
          </w:tcPr>
          <w:p>
            <w:pPr>
              <w:pStyle w:val="TableContents"/>
              <w:bidi w:val="0"/>
              <w:spacing w:before="0" w:after="283"/>
              <w:jc w:val="left"/>
              <w:rPr/>
            </w:pPr>
            <w:r>
              <w:rPr/>
              <w:t>July 2024 to September 2024</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05, 2024</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18,000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October 2024 to March 2025</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Details of the zero cost collar contracts as of December 31, 2023 are as follows (in thousands): </w:t>
      </w:r>
    </w:p>
    <w:p>
      <w:pPr>
        <w:pStyle w:val="TextBody"/>
        <w:bidi w:val="0"/>
        <w:spacing w:before="0" w:after="0"/>
        <w:jc w:val="left"/>
        <w:rPr>
          <w:spacing w:val="0"/>
          <w:shd w:fill="FFFFFF" w:val="clear"/>
        </w:rPr>
      </w:pPr>
      <w:r>
        <w:rPr>
          <w:spacing w:val="0"/>
          <w:shd w:fill="FFFFFF" w:val="clear"/>
        </w:rPr>
        <w:t> </w:t>
      </w:r>
    </w:p>
    <w:tbl>
      <w:tblPr>
        <w:tblW w:w="7185" w:type="dxa"/>
        <w:jc w:val="left"/>
        <w:tblInd w:w="0" w:type="dxa"/>
        <w:tblLayout w:type="fixed"/>
        <w:tblCellMar>
          <w:top w:w="0" w:type="dxa"/>
          <w:left w:w="0" w:type="dxa"/>
          <w:bottom w:w="0" w:type="dxa"/>
          <w:right w:w="0" w:type="dxa"/>
        </w:tblCellMar>
      </w:tblPr>
      <w:tblGrid>
        <w:gridCol w:w="1445"/>
        <w:gridCol w:w="120"/>
        <w:gridCol w:w="390"/>
        <w:gridCol w:w="1895"/>
        <w:gridCol w:w="60"/>
        <w:gridCol w:w="120"/>
        <w:gridCol w:w="315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Date of transaction</w:t>
            </w:r>
          </w:p>
        </w:tc>
        <w:tc>
          <w:tcPr>
            <w:tcW w:w="120" w:type="dxa"/>
            <w:tcBorders/>
            <w:vAlign w:val="center"/>
          </w:tcPr>
          <w:p>
            <w:pPr>
              <w:pStyle w:val="TableContents"/>
              <w:bidi w:val="0"/>
              <w:spacing w:before="0" w:after="0"/>
              <w:jc w:val="left"/>
              <w:rPr>
                <w:spacing w:val="0"/>
              </w:rPr>
            </w:pPr>
            <w:r>
              <w:rPr>
                <w:spacing w:val="0"/>
              </w:rPr>
              <w:t>  </w:t>
            </w:r>
          </w:p>
        </w:tc>
        <w:tc>
          <w:tcPr>
            <w:tcW w:w="2285" w:type="dxa"/>
            <w:gridSpan w:val="2"/>
            <w:tcBorders/>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155"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Month of settlement</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03, 2023</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18,000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left"/>
              <w:rPr/>
            </w:pPr>
            <w:r>
              <w:rPr/>
              <w:t>January 2024 to June 2024</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09, 2023</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27,000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January 2024 to September 2024</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fair values of the Company’s outstanding zero cost collar contracts recorded as assets and liabilities as of June 30, 2024 and December 31, 2023 are as follows (in thousands): </w:t>
      </w:r>
    </w:p>
    <w:p>
      <w:pPr>
        <w:pStyle w:val="TextBody"/>
        <w:bidi w:val="0"/>
        <w:spacing w:before="0" w:after="0"/>
        <w:jc w:val="left"/>
        <w:rPr>
          <w:spacing w:val="0"/>
          <w:shd w:fill="FFFFFF" w:val="clear"/>
        </w:rPr>
      </w:pPr>
      <w:r>
        <w:rPr>
          <w:spacing w:val="0"/>
          <w:shd w:fill="FFFFFF" w:val="clear"/>
        </w:rPr>
        <w:t> </w:t>
      </w:r>
    </w:p>
    <w:tbl>
      <w:tblPr>
        <w:tblW w:w="8508" w:type="dxa"/>
        <w:jc w:val="left"/>
        <w:tblInd w:w="0" w:type="dxa"/>
        <w:tblLayout w:type="fixed"/>
        <w:tblCellMar>
          <w:top w:w="0" w:type="dxa"/>
          <w:left w:w="0" w:type="dxa"/>
          <w:bottom w:w="0" w:type="dxa"/>
          <w:right w:w="0" w:type="dxa"/>
        </w:tblCellMar>
      </w:tblPr>
      <w:tblGrid>
        <w:gridCol w:w="3425"/>
        <w:gridCol w:w="120"/>
        <w:gridCol w:w="60"/>
        <w:gridCol w:w="2180"/>
        <w:gridCol w:w="60"/>
        <w:gridCol w:w="120"/>
        <w:gridCol w:w="235"/>
        <w:gridCol w:w="639"/>
        <w:gridCol w:w="60"/>
        <w:gridCol w:w="120"/>
        <w:gridCol w:w="380"/>
        <w:gridCol w:w="1034"/>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Derivatives designated as hedging instruments:</w:t>
            </w:r>
          </w:p>
        </w:tc>
        <w:tc>
          <w:tcPr>
            <w:tcW w:w="120" w:type="dxa"/>
            <w:tcBorders/>
            <w:vAlign w:val="center"/>
          </w:tcPr>
          <w:p>
            <w:pPr>
              <w:pStyle w:val="TableContents"/>
              <w:bidi w:val="0"/>
              <w:spacing w:before="0" w:after="0"/>
              <w:jc w:val="left"/>
              <w:rPr>
                <w:spacing w:val="0"/>
              </w:rPr>
            </w:pPr>
            <w:r>
              <w:rPr>
                <w:spacing w:val="0"/>
              </w:rPr>
              <w:t>  </w:t>
            </w:r>
          </w:p>
        </w:tc>
        <w:tc>
          <w:tcPr>
            <w:tcW w:w="224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74"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4"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 Derivatives: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6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103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right"/>
              <w:rPr/>
            </w:pPr>
            <w:r>
              <w:rPr/>
              <w:t>Other current assets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6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4" w:type="dxa"/>
            <w:tcBorders/>
            <w:vAlign w:val="center"/>
          </w:tcPr>
          <w:p>
            <w:pPr>
              <w:pStyle w:val="TableContents"/>
              <w:bidi w:val="0"/>
              <w:spacing w:before="0" w:after="283"/>
              <w:jc w:val="right"/>
              <w:rPr/>
            </w:pPr>
            <w:r>
              <w:rPr/>
              <w:t>152</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6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103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right"/>
              <w:rPr/>
            </w:pPr>
            <w:r>
              <w:rPr/>
              <w:t>Other current 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639" w:type="dxa"/>
            <w:tcBorders/>
            <w:vAlign w:val="center"/>
          </w:tcPr>
          <w:p>
            <w:pPr>
              <w:pStyle w:val="TableContents"/>
              <w:bidi w:val="0"/>
              <w:spacing w:before="0" w:after="283"/>
              <w:jc w:val="right"/>
              <w:rPr/>
            </w:pPr>
            <w:r>
              <w:rPr/>
              <w:t>662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4"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Offsetting of derivative liabilities as of June 30, 2024 is as follows (in thousands): </w:t>
      </w:r>
    </w:p>
    <w:p>
      <w:pPr>
        <w:pStyle w:val="TextBody"/>
        <w:bidi w:val="0"/>
        <w:spacing w:before="0" w:after="0"/>
        <w:ind w:left="0" w:right="0" w:hanging="0"/>
        <w:jc w:val="left"/>
        <w:rPr>
          <w:spacing w:val="0"/>
          <w:shd w:fill="FFFFFF" w:val="clear"/>
        </w:rPr>
      </w:pPr>
      <w:r>
        <w:rPr>
          <w:spacing w:val="0"/>
          <w:shd w:fill="FFFFFF" w:val="clear"/>
        </w:rPr>
        <w:t> </w:t>
      </w:r>
    </w:p>
    <w:tbl>
      <w:tblPr>
        <w:tblW w:w="11035" w:type="dxa"/>
        <w:jc w:val="left"/>
        <w:tblInd w:w="0" w:type="dxa"/>
        <w:tblLayout w:type="fixed"/>
        <w:tblCellMar>
          <w:top w:w="0" w:type="dxa"/>
          <w:left w:w="0" w:type="dxa"/>
          <w:bottom w:w="0" w:type="dxa"/>
          <w:right w:w="0" w:type="dxa"/>
        </w:tblCellMar>
      </w:tblPr>
      <w:tblGrid>
        <w:gridCol w:w="965"/>
        <w:gridCol w:w="120"/>
        <w:gridCol w:w="481"/>
        <w:gridCol w:w="1309"/>
        <w:gridCol w:w="60"/>
        <w:gridCol w:w="120"/>
        <w:gridCol w:w="537"/>
        <w:gridCol w:w="998"/>
        <w:gridCol w:w="60"/>
        <w:gridCol w:w="120"/>
        <w:gridCol w:w="441"/>
        <w:gridCol w:w="1199"/>
        <w:gridCol w:w="60"/>
        <w:gridCol w:w="120"/>
        <w:gridCol w:w="427"/>
        <w:gridCol w:w="793"/>
        <w:gridCol w:w="60"/>
        <w:gridCol w:w="120"/>
        <w:gridCol w:w="361"/>
        <w:gridCol w:w="1174"/>
        <w:gridCol w:w="155"/>
        <w:gridCol w:w="60"/>
        <w:gridCol w:w="427"/>
        <w:gridCol w:w="793"/>
        <w:gridCol w:w="75"/>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5" w:type="dxa"/>
            <w:vMerge w:val="restart"/>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As of June 30, 2024</w:t>
            </w:r>
          </w:p>
        </w:tc>
        <w:tc>
          <w:tcPr>
            <w:tcW w:w="120" w:type="dxa"/>
            <w:vMerge w:val="restart"/>
            <w:tcBorders/>
            <w:vAlign w:val="center"/>
          </w:tcPr>
          <w:p>
            <w:pPr>
              <w:pStyle w:val="TableContents"/>
              <w:bidi w:val="0"/>
              <w:spacing w:before="0" w:after="0"/>
              <w:jc w:val="left"/>
              <w:rPr>
                <w:spacing w:val="0"/>
              </w:rPr>
            </w:pPr>
            <w:r>
              <w:rPr>
                <w:spacing w:val="0"/>
              </w:rPr>
              <w:t>  </w:t>
            </w:r>
          </w:p>
        </w:tc>
        <w:tc>
          <w:tcPr>
            <w:tcW w:w="1790" w:type="dxa"/>
            <w:gridSpan w:val="2"/>
            <w:vMerge w:val="restart"/>
            <w:tcBorders/>
            <w:vAlign w:val="center"/>
          </w:tcPr>
          <w:p>
            <w:pPr>
              <w:pStyle w:val="TableContents"/>
              <w:bidi w:val="0"/>
              <w:spacing w:before="0" w:after="0"/>
              <w:jc w:val="center"/>
              <w:rPr>
                <w:b/>
                <w:spacing w:val="0"/>
              </w:rPr>
            </w:pPr>
            <w:r>
              <w:rPr>
                <w:b/>
                <w:spacing w:val="0"/>
              </w:rPr>
              <w:t>Gross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tc>
        <w:tc>
          <w:tcPr>
            <w:tcW w:w="60" w:type="dxa"/>
            <w:vMerge w:val="restart"/>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535" w:type="dxa"/>
            <w:gridSpan w:val="2"/>
            <w:vMerge w:val="restart"/>
            <w:tcBorders/>
            <w:vAlign w:val="center"/>
          </w:tcPr>
          <w:p>
            <w:pPr>
              <w:pStyle w:val="TableContents"/>
              <w:bidi w:val="0"/>
              <w:spacing w:before="0" w:after="0"/>
              <w:jc w:val="center"/>
              <w:rPr>
                <w:b/>
                <w:spacing w:val="0"/>
              </w:rPr>
            </w:pPr>
            <w:r>
              <w:rPr>
                <w:b/>
                <w:spacing w:val="0"/>
              </w:rPr>
              <w:t>Gross amounts</w:t>
            </w:r>
          </w:p>
          <w:p>
            <w:pPr>
              <w:pStyle w:val="TableContents"/>
              <w:bidi w:val="0"/>
              <w:spacing w:before="0" w:after="0"/>
              <w:jc w:val="center"/>
              <w:rPr/>
            </w:pPr>
            <w:r>
              <w:rPr/>
            </w:r>
          </w:p>
          <w:p>
            <w:pPr>
              <w:pStyle w:val="TableContents"/>
              <w:bidi w:val="0"/>
              <w:spacing w:before="0" w:after="0"/>
              <w:jc w:val="center"/>
              <w:rPr>
                <w:b/>
                <w:spacing w:val="0"/>
              </w:rPr>
            </w:pPr>
            <w:r>
              <w:rPr>
                <w:b/>
                <w:spacing w:val="0"/>
              </w:rPr>
              <w:t>offset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640" w:type="dxa"/>
            <w:gridSpan w:val="2"/>
            <w:vMerge w:val="restart"/>
            <w:tcBorders/>
            <w:vAlign w:val="center"/>
          </w:tcPr>
          <w:p>
            <w:pPr>
              <w:pStyle w:val="TableContents"/>
              <w:bidi w:val="0"/>
              <w:spacing w:before="0" w:after="0"/>
              <w:jc w:val="center"/>
              <w:rPr>
                <w:b/>
                <w:spacing w:val="0"/>
              </w:rPr>
            </w:pPr>
            <w:r>
              <w:rPr>
                <w:b/>
                <w:spacing w:val="0"/>
              </w:rPr>
              <w:t>Net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p>
            <w:pPr>
              <w:pStyle w:val="TableContents"/>
              <w:bidi w:val="0"/>
              <w:spacing w:before="0" w:after="0"/>
              <w:jc w:val="center"/>
              <w:rPr/>
            </w:pPr>
            <w:r>
              <w:rPr/>
            </w:r>
          </w:p>
          <w:p>
            <w:pPr>
              <w:pStyle w:val="TableContents"/>
              <w:bidi w:val="0"/>
              <w:spacing w:before="0" w:after="0"/>
              <w:jc w:val="center"/>
              <w:rPr>
                <w:b/>
                <w:spacing w:val="0"/>
              </w:rPr>
            </w:pPr>
            <w:r>
              <w:rPr>
                <w:b/>
                <w:spacing w:val="0"/>
              </w:rPr>
              <w:t>presented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935" w:type="dxa"/>
            <w:gridSpan w:val="6"/>
            <w:tcBorders/>
            <w:vAlign w:val="center"/>
          </w:tcPr>
          <w:p>
            <w:pPr>
              <w:pStyle w:val="TableContents"/>
              <w:bidi w:val="0"/>
              <w:spacing w:before="0" w:after="0"/>
              <w:jc w:val="center"/>
              <w:rPr>
                <w:b/>
                <w:spacing w:val="0"/>
              </w:rPr>
            </w:pPr>
            <w:r>
              <w:rPr>
                <w:b/>
                <w:spacing w:val="0"/>
              </w:rPr>
              <w:t>Gross amounts not offset</w:t>
            </w:r>
          </w:p>
          <w:p>
            <w:pPr>
              <w:pStyle w:val="TableContents"/>
              <w:bidi w:val="0"/>
              <w:spacing w:before="0" w:after="0"/>
              <w:jc w:val="center"/>
              <w:rPr/>
            </w:pPr>
            <w:r>
              <w:rPr/>
            </w:r>
          </w:p>
          <w:p>
            <w:pPr>
              <w:pStyle w:val="TableContents"/>
              <w:bidi w:val="0"/>
              <w:spacing w:before="0" w:after="0"/>
              <w:jc w:val="center"/>
              <w:rPr>
                <w:b/>
                <w:spacing w:val="0"/>
              </w:rPr>
            </w:pPr>
            <w:r>
              <w:rPr>
                <w:b/>
                <w:spacing w:val="0"/>
              </w:rPr>
              <w:t>in the balance sheets</w:t>
            </w:r>
          </w:p>
        </w:tc>
        <w:tc>
          <w:tcPr>
            <w:tcW w:w="155" w:type="dxa"/>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220" w:type="dxa"/>
            <w:gridSpan w:val="2"/>
            <w:vMerge w:val="restart"/>
            <w:tcBorders/>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0"/>
              <w:jc w:val="left"/>
              <w:rPr>
                <w:spacing w:val="0"/>
              </w:rPr>
            </w:pPr>
            <w:r>
              <w:rPr>
                <w:spacing w:val="0"/>
              </w:rPr>
              <w:t> </w:t>
            </w:r>
          </w:p>
        </w:tc>
      </w:tr>
      <w:tr>
        <w:trPr/>
        <w:tc>
          <w:tcPr>
            <w:tcW w:w="96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0"/>
              <w:jc w:val="left"/>
              <w:rPr>
                <w:spacing w:val="0"/>
              </w:rPr>
            </w:pPr>
            <w:r>
              <w:rPr>
                <w:spacing w:val="0"/>
              </w:rPr>
              <w:t>  </w:t>
            </w:r>
          </w:p>
        </w:tc>
        <w:tc>
          <w:tcPr>
            <w:tcW w:w="1220" w:type="dxa"/>
            <w:gridSpan w:val="2"/>
            <w:tcBorders/>
            <w:vAlign w:val="center"/>
          </w:tcPr>
          <w:p>
            <w:pPr>
              <w:pStyle w:val="TableContents"/>
              <w:bidi w:val="0"/>
              <w:spacing w:before="0" w:after="0"/>
              <w:jc w:val="center"/>
              <w:rPr>
                <w:b/>
                <w:spacing w:val="0"/>
              </w:rPr>
            </w:pPr>
            <w:r>
              <w:rPr>
                <w:b/>
                <w:spacing w:val="0"/>
              </w:rPr>
              <w:t>Financial</w:t>
            </w:r>
          </w:p>
          <w:p>
            <w:pPr>
              <w:pStyle w:val="TableContents"/>
              <w:bidi w:val="0"/>
              <w:spacing w:before="0" w:after="0"/>
              <w:jc w:val="center"/>
              <w:rPr/>
            </w:pPr>
            <w:r>
              <w:rPr/>
            </w:r>
          </w:p>
          <w:p>
            <w:pPr>
              <w:pStyle w:val="TableContents"/>
              <w:bidi w:val="0"/>
              <w:spacing w:before="0" w:after="0"/>
              <w:jc w:val="center"/>
              <w:rPr>
                <w:b/>
                <w:spacing w:val="0"/>
              </w:rPr>
            </w:pPr>
            <w:r>
              <w:rPr>
                <w:b/>
                <w:spacing w:val="0"/>
              </w:rPr>
              <w:t>instruments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35" w:type="dxa"/>
            <w:gridSpan w:val="2"/>
            <w:tcBorders/>
            <w:vAlign w:val="center"/>
          </w:tcPr>
          <w:p>
            <w:pPr>
              <w:pStyle w:val="TableContents"/>
              <w:bidi w:val="0"/>
              <w:spacing w:before="0" w:after="0"/>
              <w:jc w:val="center"/>
              <w:rPr>
                <w:b/>
                <w:spacing w:val="0"/>
              </w:rPr>
            </w:pPr>
            <w:r>
              <w:rPr>
                <w:b/>
                <w:spacing w:val="0"/>
              </w:rPr>
              <w:t>Cash collateral</w:t>
            </w:r>
          </w:p>
          <w:p>
            <w:pPr>
              <w:pStyle w:val="TableContents"/>
              <w:bidi w:val="0"/>
              <w:spacing w:before="0" w:after="0"/>
              <w:jc w:val="center"/>
              <w:rPr/>
            </w:pPr>
            <w:r>
              <w:rPr/>
            </w:r>
          </w:p>
          <w:p>
            <w:pPr>
              <w:pStyle w:val="TableContents"/>
              <w:bidi w:val="0"/>
              <w:spacing w:before="0" w:after="0"/>
              <w:jc w:val="center"/>
              <w:rPr>
                <w:b/>
                <w:spacing w:val="0"/>
              </w:rPr>
            </w:pPr>
            <w:r>
              <w:rPr>
                <w:b/>
                <w:spacing w:val="0"/>
              </w:rPr>
              <w:t>pledged</w:t>
            </w:r>
          </w:p>
        </w:tc>
        <w:tc>
          <w:tcPr>
            <w:tcW w:w="155" w:type="dxa"/>
            <w:tcBorders/>
            <w:vAlign w:val="center"/>
          </w:tcPr>
          <w:p>
            <w:pPr>
              <w:pStyle w:val="TableContents"/>
              <w:bidi w:val="0"/>
              <w:spacing w:before="0" w:after="0"/>
              <w:jc w:val="left"/>
              <w:rPr>
                <w:spacing w:val="0"/>
              </w:rPr>
            </w:pPr>
            <w:r>
              <w:rPr>
                <w:spacing w:val="0"/>
              </w:rPr>
              <w:t> </w:t>
            </w:r>
          </w:p>
        </w:tc>
        <w:tc>
          <w:tcPr>
            <w:tcW w:w="60" w:type="dxa"/>
            <w:vMerge w:val="continue"/>
            <w:tcBorders/>
            <w:vAlign w:val="center"/>
          </w:tcPr>
          <w:p>
            <w:pPr>
              <w:pStyle w:val="Normal"/>
              <w:bidi w:val="0"/>
              <w:jc w:val="left"/>
              <w:rPr/>
            </w:pPr>
            <w:r>
              <w:rPr/>
            </w:r>
          </w:p>
        </w:tc>
        <w:tc>
          <w:tcPr>
            <w:tcW w:w="1220"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sz w:val="4"/>
                <w:szCs w:val="4"/>
              </w:rPr>
            </w:pPr>
            <w:r>
              <w:rPr>
                <w:sz w:val="4"/>
                <w:szCs w:val="4"/>
              </w:rPr>
            </w:r>
          </w:p>
        </w:tc>
        <w:tc>
          <w:tcPr>
            <w:tcW w:w="11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662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662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(600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Offsetting of derivative assets and liabilities as of December 31, 2023 is as follows (in thousands): </w:t>
      </w:r>
    </w:p>
    <w:p>
      <w:pPr>
        <w:pStyle w:val="TextBody"/>
        <w:bidi w:val="0"/>
        <w:spacing w:before="0" w:after="0"/>
        <w:ind w:left="0" w:right="0" w:hanging="0"/>
        <w:jc w:val="left"/>
        <w:rPr>
          <w:spacing w:val="0"/>
          <w:shd w:fill="FFFFFF" w:val="clear"/>
        </w:rPr>
      </w:pPr>
      <w:r>
        <w:rPr>
          <w:spacing w:val="0"/>
          <w:shd w:fill="FFFFFF" w:val="clear"/>
        </w:rPr>
        <w:t> </w:t>
      </w:r>
    </w:p>
    <w:tbl>
      <w:tblPr>
        <w:tblW w:w="11060" w:type="dxa"/>
        <w:jc w:val="left"/>
        <w:tblInd w:w="0" w:type="dxa"/>
        <w:tblLayout w:type="fixed"/>
        <w:tblCellMar>
          <w:top w:w="0" w:type="dxa"/>
          <w:left w:w="0" w:type="dxa"/>
          <w:bottom w:w="0" w:type="dxa"/>
          <w:right w:w="0" w:type="dxa"/>
        </w:tblCellMar>
      </w:tblPr>
      <w:tblGrid>
        <w:gridCol w:w="1025"/>
        <w:gridCol w:w="120"/>
        <w:gridCol w:w="481"/>
        <w:gridCol w:w="1309"/>
        <w:gridCol w:w="60"/>
        <w:gridCol w:w="120"/>
        <w:gridCol w:w="537"/>
        <w:gridCol w:w="998"/>
        <w:gridCol w:w="60"/>
        <w:gridCol w:w="120"/>
        <w:gridCol w:w="441"/>
        <w:gridCol w:w="1199"/>
        <w:gridCol w:w="60"/>
        <w:gridCol w:w="120"/>
        <w:gridCol w:w="427"/>
        <w:gridCol w:w="793"/>
        <w:gridCol w:w="60"/>
        <w:gridCol w:w="120"/>
        <w:gridCol w:w="537"/>
        <w:gridCol w:w="998"/>
        <w:gridCol w:w="60"/>
        <w:gridCol w:w="120"/>
        <w:gridCol w:w="328"/>
        <w:gridCol w:w="892"/>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vMerge w:val="restart"/>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As of December 31, 2023</w:t>
            </w:r>
          </w:p>
        </w:tc>
        <w:tc>
          <w:tcPr>
            <w:tcW w:w="120" w:type="dxa"/>
            <w:vMerge w:val="restart"/>
            <w:tcBorders/>
            <w:vAlign w:val="center"/>
          </w:tcPr>
          <w:p>
            <w:pPr>
              <w:pStyle w:val="TableContents"/>
              <w:bidi w:val="0"/>
              <w:spacing w:before="0" w:after="0"/>
              <w:jc w:val="left"/>
              <w:rPr>
                <w:spacing w:val="0"/>
              </w:rPr>
            </w:pPr>
            <w:r>
              <w:rPr>
                <w:spacing w:val="0"/>
              </w:rPr>
              <w:t>  </w:t>
            </w:r>
          </w:p>
        </w:tc>
        <w:tc>
          <w:tcPr>
            <w:tcW w:w="1790" w:type="dxa"/>
            <w:gridSpan w:val="2"/>
            <w:vMerge w:val="restart"/>
            <w:tcBorders/>
            <w:vAlign w:val="center"/>
          </w:tcPr>
          <w:p>
            <w:pPr>
              <w:pStyle w:val="TableContents"/>
              <w:bidi w:val="0"/>
              <w:spacing w:before="0" w:after="0"/>
              <w:jc w:val="center"/>
              <w:rPr>
                <w:b/>
                <w:spacing w:val="0"/>
              </w:rPr>
            </w:pPr>
            <w:r>
              <w:rPr>
                <w:b/>
                <w:spacing w:val="0"/>
              </w:rPr>
              <w:t>Gross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w:t>
            </w:r>
          </w:p>
          <w:p>
            <w:pPr>
              <w:pStyle w:val="TableContents"/>
              <w:bidi w:val="0"/>
              <w:spacing w:before="0" w:after="0"/>
              <w:jc w:val="center"/>
              <w:rPr/>
            </w:pPr>
            <w:r>
              <w:rPr/>
            </w:r>
          </w:p>
          <w:p>
            <w:pPr>
              <w:pStyle w:val="TableContents"/>
              <w:bidi w:val="0"/>
              <w:spacing w:before="0" w:after="0"/>
              <w:jc w:val="center"/>
              <w:rPr>
                <w:b/>
                <w:spacing w:val="0"/>
              </w:rPr>
            </w:pPr>
            <w:r>
              <w:rPr>
                <w:b/>
                <w:spacing w:val="0"/>
              </w:rPr>
              <w:t>assets/liabilities</w:t>
            </w:r>
          </w:p>
        </w:tc>
        <w:tc>
          <w:tcPr>
            <w:tcW w:w="60" w:type="dxa"/>
            <w:vMerge w:val="restart"/>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535" w:type="dxa"/>
            <w:gridSpan w:val="2"/>
            <w:vMerge w:val="restart"/>
            <w:tcBorders/>
            <w:vAlign w:val="center"/>
          </w:tcPr>
          <w:p>
            <w:pPr>
              <w:pStyle w:val="TableContents"/>
              <w:bidi w:val="0"/>
              <w:spacing w:before="0" w:after="0"/>
              <w:jc w:val="center"/>
              <w:rPr>
                <w:b/>
                <w:spacing w:val="0"/>
              </w:rPr>
            </w:pPr>
            <w:r>
              <w:rPr>
                <w:b/>
                <w:spacing w:val="0"/>
              </w:rPr>
              <w:t>Gross amounts</w:t>
            </w:r>
          </w:p>
          <w:p>
            <w:pPr>
              <w:pStyle w:val="TableContents"/>
              <w:bidi w:val="0"/>
              <w:spacing w:before="0" w:after="0"/>
              <w:jc w:val="center"/>
              <w:rPr/>
            </w:pPr>
            <w:r>
              <w:rPr/>
            </w:r>
          </w:p>
          <w:p>
            <w:pPr>
              <w:pStyle w:val="TableContents"/>
              <w:bidi w:val="0"/>
              <w:spacing w:before="0" w:after="0"/>
              <w:jc w:val="center"/>
              <w:rPr>
                <w:b/>
                <w:spacing w:val="0"/>
              </w:rPr>
            </w:pPr>
            <w:r>
              <w:rPr>
                <w:b/>
                <w:spacing w:val="0"/>
              </w:rPr>
              <w:t>offset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640" w:type="dxa"/>
            <w:gridSpan w:val="2"/>
            <w:vMerge w:val="restart"/>
            <w:tcBorders/>
            <w:vAlign w:val="center"/>
          </w:tcPr>
          <w:p>
            <w:pPr>
              <w:pStyle w:val="TableContents"/>
              <w:bidi w:val="0"/>
              <w:spacing w:before="0" w:after="0"/>
              <w:jc w:val="center"/>
              <w:rPr>
                <w:b/>
                <w:spacing w:val="0"/>
              </w:rPr>
            </w:pPr>
            <w:r>
              <w:rPr>
                <w:b/>
                <w:spacing w:val="0"/>
              </w:rPr>
              <w:t>Net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assets/liabilities</w:t>
            </w:r>
          </w:p>
          <w:p>
            <w:pPr>
              <w:pStyle w:val="TableContents"/>
              <w:bidi w:val="0"/>
              <w:spacing w:before="0" w:after="0"/>
              <w:jc w:val="center"/>
              <w:rPr/>
            </w:pPr>
            <w:r>
              <w:rPr/>
            </w:r>
          </w:p>
          <w:p>
            <w:pPr>
              <w:pStyle w:val="TableContents"/>
              <w:bidi w:val="0"/>
              <w:spacing w:before="0" w:after="0"/>
              <w:jc w:val="center"/>
              <w:rPr>
                <w:b/>
                <w:spacing w:val="0"/>
              </w:rPr>
            </w:pPr>
            <w:r>
              <w:rPr>
                <w:b/>
                <w:spacing w:val="0"/>
              </w:rPr>
              <w:t>presented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935" w:type="dxa"/>
            <w:gridSpan w:val="6"/>
            <w:tcBorders/>
            <w:vAlign w:val="center"/>
          </w:tcPr>
          <w:p>
            <w:pPr>
              <w:pStyle w:val="TableContents"/>
              <w:bidi w:val="0"/>
              <w:spacing w:before="0" w:after="0"/>
              <w:jc w:val="center"/>
              <w:rPr>
                <w:b/>
                <w:spacing w:val="0"/>
              </w:rPr>
            </w:pPr>
            <w:r>
              <w:rPr>
                <w:b/>
                <w:spacing w:val="0"/>
              </w:rPr>
              <w:t>Gross amounts not offset</w:t>
            </w:r>
          </w:p>
          <w:p>
            <w:pPr>
              <w:pStyle w:val="TableContents"/>
              <w:bidi w:val="0"/>
              <w:spacing w:before="0" w:after="0"/>
              <w:jc w:val="center"/>
              <w:rPr/>
            </w:pPr>
            <w:r>
              <w:rPr/>
            </w:r>
          </w:p>
          <w:p>
            <w:pPr>
              <w:pStyle w:val="TableContents"/>
              <w:bidi w:val="0"/>
              <w:spacing w:before="0" w:after="0"/>
              <w:jc w:val="center"/>
              <w:rPr>
                <w:b/>
                <w:spacing w:val="0"/>
              </w:rPr>
            </w:pPr>
            <w:r>
              <w:rPr>
                <w:b/>
                <w:spacing w:val="0"/>
              </w:rPr>
              <w:t>in the balance sheets</w:t>
            </w:r>
          </w:p>
        </w:tc>
        <w:tc>
          <w:tcPr>
            <w:tcW w:w="60" w:type="dxa"/>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220" w:type="dxa"/>
            <w:gridSpan w:val="2"/>
            <w:vMerge w:val="restart"/>
            <w:tcBorders/>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0"/>
              <w:jc w:val="left"/>
              <w:rPr>
                <w:spacing w:val="0"/>
              </w:rPr>
            </w:pPr>
            <w:r>
              <w:rPr>
                <w:spacing w:val="0"/>
              </w:rPr>
              <w:t> </w:t>
            </w:r>
          </w:p>
        </w:tc>
      </w:tr>
      <w:tr>
        <w:trPr/>
        <w:tc>
          <w:tcPr>
            <w:tcW w:w="102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0"/>
              <w:jc w:val="left"/>
              <w:rPr>
                <w:spacing w:val="0"/>
              </w:rPr>
            </w:pPr>
            <w:r>
              <w:rPr>
                <w:spacing w:val="0"/>
              </w:rPr>
              <w:t>  </w:t>
            </w:r>
          </w:p>
        </w:tc>
        <w:tc>
          <w:tcPr>
            <w:tcW w:w="1220" w:type="dxa"/>
            <w:gridSpan w:val="2"/>
            <w:tcBorders/>
            <w:vAlign w:val="center"/>
          </w:tcPr>
          <w:p>
            <w:pPr>
              <w:pStyle w:val="TableContents"/>
              <w:bidi w:val="0"/>
              <w:spacing w:before="0" w:after="0"/>
              <w:jc w:val="center"/>
              <w:rPr>
                <w:b/>
                <w:spacing w:val="0"/>
              </w:rPr>
            </w:pPr>
            <w:r>
              <w:rPr>
                <w:b/>
                <w:spacing w:val="0"/>
              </w:rPr>
              <w:t>Financial</w:t>
            </w:r>
          </w:p>
          <w:p>
            <w:pPr>
              <w:pStyle w:val="TableContents"/>
              <w:bidi w:val="0"/>
              <w:spacing w:before="0" w:after="0"/>
              <w:jc w:val="center"/>
              <w:rPr/>
            </w:pPr>
            <w:r>
              <w:rPr/>
            </w:r>
          </w:p>
          <w:p>
            <w:pPr>
              <w:pStyle w:val="TableContents"/>
              <w:bidi w:val="0"/>
              <w:spacing w:before="0" w:after="0"/>
              <w:jc w:val="center"/>
              <w:rPr>
                <w:b/>
                <w:spacing w:val="0"/>
              </w:rPr>
            </w:pPr>
            <w:r>
              <w:rPr>
                <w:b/>
                <w:spacing w:val="0"/>
              </w:rPr>
              <w:t>instruments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35" w:type="dxa"/>
            <w:gridSpan w:val="2"/>
            <w:tcBorders/>
            <w:vAlign w:val="center"/>
          </w:tcPr>
          <w:p>
            <w:pPr>
              <w:pStyle w:val="TableContents"/>
              <w:bidi w:val="0"/>
              <w:spacing w:before="0" w:after="0"/>
              <w:jc w:val="center"/>
              <w:rPr>
                <w:b/>
                <w:spacing w:val="0"/>
              </w:rPr>
            </w:pPr>
            <w:r>
              <w:rPr>
                <w:b/>
                <w:spacing w:val="0"/>
              </w:rPr>
              <w:t>Cash collateral</w:t>
            </w:r>
          </w:p>
          <w:p>
            <w:pPr>
              <w:pStyle w:val="TableContents"/>
              <w:bidi w:val="0"/>
              <w:spacing w:before="0" w:after="0"/>
              <w:jc w:val="center"/>
              <w:rPr/>
            </w:pPr>
            <w:r>
              <w:rPr/>
            </w:r>
          </w:p>
          <w:p>
            <w:pPr>
              <w:pStyle w:val="TableContents"/>
              <w:bidi w:val="0"/>
              <w:spacing w:before="0" w:after="0"/>
              <w:jc w:val="center"/>
              <w:rPr>
                <w:b/>
                <w:spacing w:val="0"/>
              </w:rPr>
            </w:pPr>
            <w:r>
              <w:rPr>
                <w:b/>
                <w:spacing w:val="0"/>
              </w:rPr>
              <w:t>pledged</w:t>
            </w:r>
          </w:p>
        </w:tc>
        <w:tc>
          <w:tcPr>
            <w:tcW w:w="60" w:type="dxa"/>
            <w:tcBorders/>
            <w:vAlign w:val="center"/>
          </w:tcPr>
          <w:p>
            <w:pPr>
              <w:pStyle w:val="TableContents"/>
              <w:bidi w:val="0"/>
              <w:spacing w:before="0" w:after="0"/>
              <w:jc w:val="left"/>
              <w:rPr>
                <w:spacing w:val="0"/>
              </w:rPr>
            </w:pPr>
            <w:r>
              <w:rPr>
                <w:spacing w:val="0"/>
              </w:rPr>
              <w:t> </w:t>
            </w:r>
          </w:p>
        </w:tc>
        <w:tc>
          <w:tcPr>
            <w:tcW w:w="120" w:type="dxa"/>
            <w:vMerge w:val="continue"/>
            <w:tcBorders/>
            <w:vAlign w:val="center"/>
          </w:tcPr>
          <w:p>
            <w:pPr>
              <w:pStyle w:val="Normal"/>
              <w:bidi w:val="0"/>
              <w:jc w:val="left"/>
              <w:rPr/>
            </w:pPr>
            <w:r>
              <w:rPr/>
            </w:r>
          </w:p>
        </w:tc>
        <w:tc>
          <w:tcPr>
            <w:tcW w:w="1220"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 Derivatives:</w:t>
            </w:r>
          </w:p>
        </w:tc>
        <w:tc>
          <w:tcPr>
            <w:tcW w:w="12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152</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impact of derivative instruments on the consolidated statements of operations for the three months ended June 30, 2024 and 2023 (in thousands): </w:t>
      </w:r>
    </w:p>
    <w:p>
      <w:pPr>
        <w:pStyle w:val="TextBody"/>
        <w:bidi w:val="0"/>
        <w:spacing w:before="0" w:after="0"/>
        <w:jc w:val="left"/>
        <w:rPr>
          <w:shd w:fill="FFFFFF" w:val="clear"/>
        </w:rPr>
      </w:pPr>
      <w:r>
        <w:rPr>
          <w:shd w:fill="FFFFFF" w:val="clear"/>
        </w:rPr>
        <w:t> </w:t>
      </w:r>
    </w:p>
    <w:tbl>
      <w:tblPr>
        <w:tblW w:w="11175" w:type="dxa"/>
        <w:jc w:val="left"/>
        <w:tblInd w:w="0" w:type="dxa"/>
        <w:tblLayout w:type="fixed"/>
        <w:tblCellMar>
          <w:top w:w="0" w:type="dxa"/>
          <w:left w:w="0" w:type="dxa"/>
          <w:bottom w:w="0" w:type="dxa"/>
          <w:right w:w="0" w:type="dxa"/>
        </w:tblCellMar>
      </w:tblPr>
      <w:tblGrid>
        <w:gridCol w:w="995"/>
        <w:gridCol w:w="120"/>
        <w:gridCol w:w="219"/>
        <w:gridCol w:w="715"/>
        <w:gridCol w:w="242"/>
        <w:gridCol w:w="94"/>
        <w:gridCol w:w="219"/>
        <w:gridCol w:w="721"/>
        <w:gridCol w:w="155"/>
        <w:gridCol w:w="60"/>
        <w:gridCol w:w="875"/>
        <w:gridCol w:w="120"/>
        <w:gridCol w:w="195"/>
        <w:gridCol w:w="634"/>
        <w:gridCol w:w="216"/>
        <w:gridCol w:w="83"/>
        <w:gridCol w:w="195"/>
        <w:gridCol w:w="887"/>
        <w:gridCol w:w="155"/>
        <w:gridCol w:w="60"/>
        <w:gridCol w:w="1715"/>
        <w:gridCol w:w="120"/>
        <w:gridCol w:w="293"/>
        <w:gridCol w:w="544"/>
        <w:gridCol w:w="125"/>
        <w:gridCol w:w="251"/>
        <w:gridCol w:w="293"/>
        <w:gridCol w:w="704"/>
        <w:gridCol w:w="170"/>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in ASC</w:t>
            </w:r>
          </w:p>
          <w:p>
            <w:pPr>
              <w:pStyle w:val="TableContents"/>
              <w:bidi w:val="0"/>
              <w:spacing w:before="0" w:after="0"/>
              <w:jc w:val="left"/>
              <w:rPr>
                <w:rFonts w:ascii="Times New Roman" w:hAnsi="Times New Roman"/>
                <w:b/>
                <w:sz w:val="16"/>
              </w:rPr>
            </w:pPr>
            <w:r>
              <w:rPr>
                <w:rFonts w:ascii="Times New Roman" w:hAnsi="Times New Roman"/>
                <w:b/>
                <w:sz w:val="16"/>
              </w:rPr>
              <w:t>815 Cash Flow Hedging</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Relationships</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rPr>
            </w:pPr>
            <w:r>
              <w:rPr>
                <w:b/>
              </w:rPr>
              <w:t>Amount of Loss</w:t>
            </w:r>
          </w:p>
          <w:p>
            <w:pPr>
              <w:pStyle w:val="TableContents"/>
              <w:bidi w:val="0"/>
              <w:spacing w:before="0" w:after="0"/>
              <w:jc w:val="center"/>
              <w:rPr/>
            </w:pPr>
            <w:r>
              <w:rPr/>
            </w:r>
          </w:p>
          <w:p>
            <w:pPr>
              <w:pStyle w:val="TableContents"/>
              <w:bidi w:val="0"/>
              <w:spacing w:before="0" w:after="0"/>
              <w:jc w:val="center"/>
              <w:rPr>
                <w:b/>
              </w:rPr>
            </w:pPr>
            <w:r>
              <w:rPr>
                <w:b/>
              </w:rPr>
              <w:t>Recognized in</w:t>
            </w:r>
          </w:p>
          <w:p>
            <w:pPr>
              <w:pStyle w:val="TableContents"/>
              <w:bidi w:val="0"/>
              <w:spacing w:before="0" w:after="0"/>
              <w:jc w:val="center"/>
              <w:rPr/>
            </w:pPr>
            <w:r>
              <w:rPr/>
            </w:r>
          </w:p>
          <w:p>
            <w:pPr>
              <w:pStyle w:val="TableContents"/>
              <w:bidi w:val="0"/>
              <w:spacing w:before="0" w:after="0"/>
              <w:jc w:val="center"/>
              <w:rPr>
                <w:b/>
              </w:rPr>
            </w:pPr>
            <w:r>
              <w:rPr>
                <w:b/>
              </w:rPr>
              <w:t>AOCI on</w:t>
            </w:r>
          </w:p>
          <w:p>
            <w:pPr>
              <w:pStyle w:val="TableContents"/>
              <w:bidi w:val="0"/>
              <w:spacing w:before="0" w:after="0"/>
              <w:jc w:val="center"/>
              <w:rPr/>
            </w:pPr>
            <w:r>
              <w:rPr/>
            </w:r>
          </w:p>
          <w:p>
            <w:pPr>
              <w:pStyle w:val="TableContents"/>
              <w:bidi w:val="0"/>
              <w:spacing w:before="0" w:after="0"/>
              <w:jc w:val="center"/>
              <w:rPr>
                <w:b/>
              </w:rPr>
            </w:pPr>
            <w:r>
              <w:rPr>
                <w:b/>
              </w:rPr>
              <w:t>Derivatives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5" w:type="dxa"/>
            <w:gridSpan w:val="8"/>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Location/Amount of</w:t>
            </w:r>
          </w:p>
          <w:p>
            <w:pPr>
              <w:pStyle w:val="TableContents"/>
              <w:bidi w:val="0"/>
              <w:spacing w:before="0" w:after="0"/>
              <w:jc w:val="center"/>
              <w:rPr>
                <w:rFonts w:ascii="Times New Roman" w:hAnsi="Times New Roman"/>
                <w:b/>
                <w:sz w:val="16"/>
              </w:rPr>
            </w:pPr>
            <w:r>
              <w:rPr>
                <w:rFonts w:ascii="Times New Roman" w:hAnsi="Times New Roman"/>
                <w:b/>
                <w:sz w:val="16"/>
              </w:rPr>
              <w:t>Loss</w:t>
            </w:r>
          </w:p>
          <w:p>
            <w:pPr>
              <w:pStyle w:val="TableContents"/>
              <w:bidi w:val="0"/>
              <w:spacing w:before="0" w:after="0"/>
              <w:jc w:val="center"/>
              <w:rPr>
                <w:rFonts w:ascii="Times New Roman" w:hAnsi="Times New Roman"/>
                <w:b/>
                <w:sz w:val="16"/>
              </w:rPr>
            </w:pPr>
            <w:r>
              <w:rPr>
                <w:rFonts w:ascii="Times New Roman" w:hAnsi="Times New Roman"/>
                <w:b/>
                <w:sz w:val="16"/>
              </w:rPr>
              <w:t>Reclassified from AOCI</w:t>
            </w:r>
          </w:p>
          <w:p>
            <w:pPr>
              <w:pStyle w:val="TableContents"/>
              <w:bidi w:val="0"/>
              <w:spacing w:before="0" w:after="20"/>
              <w:jc w:val="center"/>
              <w:rPr>
                <w:rFonts w:ascii="Times New Roman" w:hAnsi="Times New Roman"/>
                <w:b/>
                <w:sz w:val="16"/>
              </w:rPr>
            </w:pPr>
            <w:r>
              <w:rPr>
                <w:rFonts w:ascii="Times New Roman" w:hAnsi="Times New Roman"/>
                <w:b/>
                <w:sz w:val="16"/>
              </w:rPr>
              <w:t>Into Statement of Operations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5" w:type="dxa"/>
            <w:gridSpan w:val="8"/>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Location/Amount of Gain (Loss)</w:t>
            </w:r>
          </w:p>
          <w:p>
            <w:pPr>
              <w:pStyle w:val="TableContents"/>
              <w:bidi w:val="0"/>
              <w:spacing w:before="0" w:after="0"/>
              <w:jc w:val="center"/>
              <w:rPr>
                <w:rFonts w:ascii="Times New Roman" w:hAnsi="Times New Roman"/>
                <w:b/>
                <w:sz w:val="16"/>
              </w:rPr>
            </w:pPr>
            <w:r>
              <w:rPr>
                <w:rFonts w:ascii="Times New Roman" w:hAnsi="Times New Roman"/>
                <w:b/>
                <w:sz w:val="16"/>
              </w:rPr>
              <w:t>Recognized in</w:t>
            </w:r>
          </w:p>
          <w:p>
            <w:pPr>
              <w:pStyle w:val="TableContents"/>
              <w:bidi w:val="0"/>
              <w:spacing w:before="0" w:after="20"/>
              <w:jc w:val="center"/>
              <w:rPr>
                <w:rFonts w:ascii="Times New Roman" w:hAnsi="Times New Roman"/>
                <w:b/>
                <w:sz w:val="16"/>
              </w:rPr>
            </w:pPr>
            <w:r>
              <w:rPr>
                <w:rFonts w:ascii="Times New Roman" w:hAnsi="Times New Roman"/>
                <w:b/>
                <w:sz w:val="16"/>
              </w:rPr>
              <w:t>Statement of Operations on Derivatives</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rPr>
            </w:pPr>
            <w:r>
              <w:rPr>
                <w:b/>
              </w:rPr>
              <w:t>Three Months Ended</w:t>
            </w:r>
          </w:p>
          <w:p>
            <w:pPr>
              <w:pStyle w:val="TableContents"/>
              <w:bidi w:val="0"/>
              <w:spacing w:before="0" w:after="0"/>
              <w:jc w:val="center"/>
              <w:rPr/>
            </w:pPr>
            <w:r>
              <w:rPr/>
            </w:r>
          </w:p>
          <w:p>
            <w:pPr>
              <w:pStyle w:val="TableContents"/>
              <w:bidi w:val="0"/>
              <w:spacing w:before="0" w:after="0"/>
              <w:jc w:val="center"/>
              <w:rPr>
                <w:b/>
              </w:rPr>
            </w:pPr>
            <w:r>
              <w:rPr>
                <w:b/>
              </w:rPr>
              <w:t>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rPr>
            </w:pPr>
            <w:r>
              <w:rPr>
                <w:b/>
              </w:rPr>
              <w:t>Three Months Ended</w:t>
            </w:r>
          </w:p>
          <w:p>
            <w:pPr>
              <w:pStyle w:val="TableContents"/>
              <w:bidi w:val="0"/>
              <w:spacing w:before="0" w:after="0"/>
              <w:jc w:val="center"/>
              <w:rPr/>
            </w:pPr>
            <w:r>
              <w:rPr/>
            </w:r>
          </w:p>
          <w:p>
            <w:pPr>
              <w:pStyle w:val="TableContents"/>
              <w:bidi w:val="0"/>
              <w:spacing w:before="0" w:after="0"/>
              <w:jc w:val="center"/>
              <w:rPr>
                <w:b/>
              </w:rPr>
            </w:pPr>
            <w:r>
              <w:rPr>
                <w:b/>
              </w:rPr>
              <w:t>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rPr>
            </w:pPr>
            <w:r>
              <w:rPr>
                <w:b/>
              </w:rPr>
              <w:t>Three Months Ended</w:t>
            </w:r>
          </w:p>
          <w:p>
            <w:pPr>
              <w:pStyle w:val="TableContents"/>
              <w:bidi w:val="0"/>
              <w:spacing w:before="0" w:after="0"/>
              <w:jc w:val="center"/>
              <w:rPr/>
            </w:pPr>
            <w:r>
              <w:rPr/>
            </w:r>
          </w:p>
          <w:p>
            <w:pPr>
              <w:pStyle w:val="TableContents"/>
              <w:bidi w:val="0"/>
              <w:spacing w:before="0" w:after="0"/>
              <w:jc w:val="center"/>
              <w:rPr>
                <w:b/>
              </w:rPr>
            </w:pPr>
            <w:r>
              <w:rPr>
                <w:b/>
              </w:rPr>
              <w:t>June 30,</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242"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(807</w:t>
            </w:r>
          </w:p>
        </w:tc>
        <w:tc>
          <w:tcPr>
            <w:tcW w:w="242"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21" w:type="dxa"/>
            <w:tcBorders/>
            <w:shd w:fill="CCEEFF" w:val="clear"/>
            <w:vAlign w:val="center"/>
          </w:tcPr>
          <w:p>
            <w:pPr>
              <w:pStyle w:val="TableContents"/>
              <w:bidi w:val="0"/>
              <w:spacing w:before="0" w:after="283"/>
              <w:jc w:val="right"/>
              <w:rPr/>
            </w:pPr>
            <w:r>
              <w:rPr/>
              <w:t>(375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Net sales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34" w:type="dxa"/>
            <w:tcBorders/>
            <w:shd w:fill="CCEEFF" w:val="clear"/>
            <w:vAlign w:val="center"/>
          </w:tcPr>
          <w:p>
            <w:pPr>
              <w:pStyle w:val="TableContents"/>
              <w:bidi w:val="0"/>
              <w:spacing w:before="0" w:after="283"/>
              <w:jc w:val="right"/>
              <w:rPr/>
            </w:pPr>
            <w:r>
              <w:rPr/>
              <w:t>(527</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(1,243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Other income, net</w:t>
            </w:r>
          </w:p>
        </w:tc>
        <w:tc>
          <w:tcPr>
            <w:tcW w:w="12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544" w:type="dxa"/>
            <w:tcBorders/>
            <w:shd w:fill="CCEEFF" w:val="clear"/>
            <w:vAlign w:val="center"/>
          </w:tcPr>
          <w:p>
            <w:pPr>
              <w:pStyle w:val="TableContents"/>
              <w:bidi w:val="0"/>
              <w:spacing w:before="0" w:after="283"/>
              <w:jc w:val="right"/>
              <w:rPr/>
            </w:pPr>
            <w:r>
              <w:rPr/>
              <w:t>85</w:t>
            </w:r>
          </w:p>
        </w:tc>
        <w:tc>
          <w:tcPr>
            <w:tcW w:w="12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715" w:type="dxa"/>
            <w:tcBorders/>
            <w:vAlign w:val="center"/>
          </w:tcPr>
          <w:p>
            <w:pPr>
              <w:pStyle w:val="TableContents"/>
              <w:bidi w:val="0"/>
              <w:spacing w:before="0" w:after="0"/>
              <w:jc w:val="left"/>
              <w:rPr>
                <w:bdr w:val="single" w:sz="2" w:space="1" w:color="000000"/>
              </w:rPr>
            </w:pPr>
            <w:r>
              <w:rPr>
                <w:bdr w:val="single" w:sz="2" w:space="1" w:color="000000"/>
              </w:rPr>
              <w:t> </w:t>
            </w:r>
          </w:p>
        </w:tc>
        <w:tc>
          <w:tcPr>
            <w:tcW w:w="242"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single" w:sz="2" w:space="1" w:color="000000"/>
              </w:rPr>
            </w:pPr>
            <w:r>
              <w:rPr>
                <w:bdr w:val="single" w:sz="2" w:space="1" w:color="000000"/>
              </w:rPr>
              <w:t> </w:t>
            </w:r>
          </w:p>
        </w:tc>
        <w:tc>
          <w:tcPr>
            <w:tcW w:w="72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634" w:type="dxa"/>
            <w:tcBorders/>
            <w:vAlign w:val="center"/>
          </w:tcPr>
          <w:p>
            <w:pPr>
              <w:pStyle w:val="TableContents"/>
              <w:bidi w:val="0"/>
              <w:spacing w:before="0" w:after="0"/>
              <w:jc w:val="left"/>
              <w:rPr>
                <w:bdr w:val="single" w:sz="2" w:space="1" w:color="000000"/>
              </w:rPr>
            </w:pPr>
            <w:r>
              <w:rPr>
                <w:bdr w:val="single" w:sz="2" w:space="1" w:color="000000"/>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88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single" w:sz="2" w:space="1" w:color="000000"/>
              </w:rPr>
            </w:pPr>
            <w:r>
              <w:rPr>
                <w:bdr w:val="single" w:sz="2" w:space="1" w:color="000000"/>
              </w:rPr>
              <w:t> </w:t>
            </w:r>
          </w:p>
        </w:tc>
        <w:tc>
          <w:tcPr>
            <w:tcW w:w="544"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single" w:sz="2" w:space="1" w:color="000000"/>
              </w:rPr>
            </w:pPr>
            <w:r>
              <w:rPr>
                <w:bdr w:val="single" w:sz="2" w:space="1" w:color="000000"/>
              </w:rPr>
              <w:t> </w:t>
            </w:r>
          </w:p>
        </w:tc>
        <w:tc>
          <w:tcPr>
            <w:tcW w:w="70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715" w:type="dxa"/>
            <w:tcBorders/>
            <w:vAlign w:val="center"/>
          </w:tcPr>
          <w:p>
            <w:pPr>
              <w:pStyle w:val="TableContents"/>
              <w:bidi w:val="0"/>
              <w:spacing w:before="0" w:after="283"/>
              <w:jc w:val="right"/>
              <w:rPr/>
            </w:pPr>
            <w:r>
              <w:rPr/>
              <w:t>(807</w:t>
            </w:r>
          </w:p>
        </w:tc>
        <w:tc>
          <w:tcPr>
            <w:tcW w:w="242"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(375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634" w:type="dxa"/>
            <w:tcBorders/>
            <w:vAlign w:val="center"/>
          </w:tcPr>
          <w:p>
            <w:pPr>
              <w:pStyle w:val="TableContents"/>
              <w:bidi w:val="0"/>
              <w:spacing w:before="0" w:after="283"/>
              <w:jc w:val="right"/>
              <w:rPr/>
            </w:pPr>
            <w:r>
              <w:rPr/>
              <w:t>(527</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(1,243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544" w:type="dxa"/>
            <w:tcBorders/>
            <w:vAlign w:val="center"/>
          </w:tcPr>
          <w:p>
            <w:pPr>
              <w:pStyle w:val="TableContents"/>
              <w:bidi w:val="0"/>
              <w:spacing w:before="0" w:after="283"/>
              <w:jc w:val="right"/>
              <w:rPr/>
            </w:pPr>
            <w:r>
              <w:rPr/>
              <w:t>85</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w:t>
            </w:r>
          </w:p>
        </w:tc>
        <w:tc>
          <w:tcPr>
            <w:tcW w:w="704" w:type="dxa"/>
            <w:tcBorders/>
            <w:vAlign w:val="center"/>
          </w:tcPr>
          <w:p>
            <w:pPr>
              <w:pStyle w:val="TableContents"/>
              <w:bidi w:val="0"/>
              <w:spacing w:before="0" w:after="283"/>
              <w:jc w:val="right"/>
              <w:rPr/>
            </w:pPr>
            <w:r>
              <w:rPr/>
              <w:t>(20</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715" w:type="dxa"/>
            <w:tcBorders/>
            <w:vAlign w:val="center"/>
          </w:tcPr>
          <w:p>
            <w:pPr>
              <w:pStyle w:val="TableContents"/>
              <w:bidi w:val="0"/>
              <w:spacing w:before="0" w:after="0"/>
              <w:jc w:val="left"/>
              <w:rPr>
                <w:bdr w:val="double" w:sz="6" w:space="1" w:color="000000"/>
              </w:rPr>
            </w:pPr>
            <w:r>
              <w:rPr>
                <w:bdr w:val="double" w:sz="6" w:space="1" w:color="000000"/>
              </w:rPr>
              <w:t> </w:t>
            </w:r>
          </w:p>
        </w:tc>
        <w:tc>
          <w:tcPr>
            <w:tcW w:w="242"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bdr w:val="double" w:sz="6" w:space="1" w:color="000000"/>
              </w:rPr>
            </w:pPr>
            <w:r>
              <w:rPr>
                <w:bdr w:val="double" w:sz="6" w:space="1" w:color="000000"/>
              </w:rPr>
              <w:t> </w:t>
            </w:r>
          </w:p>
        </w:tc>
        <w:tc>
          <w:tcPr>
            <w:tcW w:w="72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634" w:type="dxa"/>
            <w:tcBorders/>
            <w:vAlign w:val="center"/>
          </w:tcPr>
          <w:p>
            <w:pPr>
              <w:pStyle w:val="TableContents"/>
              <w:bidi w:val="0"/>
              <w:spacing w:before="0" w:after="0"/>
              <w:jc w:val="left"/>
              <w:rPr>
                <w:bdr w:val="double" w:sz="6" w:space="1" w:color="000000"/>
              </w:rPr>
            </w:pPr>
            <w:r>
              <w:rPr>
                <w:bdr w:val="double" w:sz="6" w:space="1" w:color="000000"/>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88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double" w:sz="6" w:space="1" w:color="000000"/>
              </w:rPr>
            </w:pPr>
            <w:r>
              <w:rPr>
                <w:bdr w:val="double" w:sz="6" w:space="1" w:color="000000"/>
              </w:rPr>
              <w:t> </w:t>
            </w:r>
          </w:p>
        </w:tc>
        <w:tc>
          <w:tcPr>
            <w:tcW w:w="544" w:type="dxa"/>
            <w:tcBorders/>
            <w:vAlign w:val="center"/>
          </w:tcPr>
          <w:p>
            <w:pPr>
              <w:pStyle w:val="TableContents"/>
              <w:bidi w:val="0"/>
              <w:spacing w:before="0" w:after="0"/>
              <w:jc w:val="left"/>
              <w:rPr>
                <w:bdr w:val="double" w:sz="6" w:space="1" w:color="000000"/>
              </w:rPr>
            </w:pPr>
            <w:r>
              <w:rPr>
                <w:bdr w:val="double" w:sz="6" w:space="1" w:color="000000"/>
              </w:rPr>
              <w:t> </w:t>
            </w:r>
          </w:p>
        </w:tc>
        <w:tc>
          <w:tcPr>
            <w:tcW w:w="12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left"/>
              <w:rPr>
                <w:bdr w:val="double" w:sz="6" w:space="1" w:color="000000"/>
              </w:rPr>
            </w:pPr>
            <w:r>
              <w:rPr>
                <w:bdr w:val="double" w:sz="6" w:space="1" w:color="000000"/>
              </w:rPr>
              <w:t> </w:t>
            </w:r>
          </w:p>
        </w:tc>
        <w:tc>
          <w:tcPr>
            <w:tcW w:w="70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impact of derivative instruments on the consolidated statements of operations for the six months ended June 30, 2024 and 2023 (in thousands): </w:t>
      </w:r>
    </w:p>
    <w:p>
      <w:pPr>
        <w:pStyle w:val="TextBody"/>
        <w:bidi w:val="0"/>
        <w:spacing w:before="0" w:after="0"/>
        <w:jc w:val="left"/>
        <w:rPr>
          <w:shd w:fill="FFFFFF" w:val="clear"/>
        </w:rPr>
      </w:pPr>
      <w:r>
        <w:rPr>
          <w:shd w:fill="FFFFFF" w:val="clear"/>
        </w:rPr>
        <w:t> </w:t>
      </w:r>
    </w:p>
    <w:tbl>
      <w:tblPr>
        <w:tblW w:w="10275" w:type="dxa"/>
        <w:jc w:val="left"/>
        <w:tblInd w:w="0" w:type="dxa"/>
        <w:tblLayout w:type="fixed"/>
        <w:tblCellMar>
          <w:top w:w="0" w:type="dxa"/>
          <w:left w:w="0" w:type="dxa"/>
          <w:bottom w:w="0" w:type="dxa"/>
          <w:right w:w="0" w:type="dxa"/>
        </w:tblCellMar>
      </w:tblPr>
      <w:tblGrid>
        <w:gridCol w:w="995"/>
        <w:gridCol w:w="120"/>
        <w:gridCol w:w="151"/>
        <w:gridCol w:w="687"/>
        <w:gridCol w:w="167"/>
        <w:gridCol w:w="64"/>
        <w:gridCol w:w="151"/>
        <w:gridCol w:w="690"/>
        <w:gridCol w:w="155"/>
        <w:gridCol w:w="60"/>
        <w:gridCol w:w="875"/>
        <w:gridCol w:w="120"/>
        <w:gridCol w:w="168"/>
        <w:gridCol w:w="548"/>
        <w:gridCol w:w="186"/>
        <w:gridCol w:w="72"/>
        <w:gridCol w:w="168"/>
        <w:gridCol w:w="768"/>
        <w:gridCol w:w="155"/>
        <w:gridCol w:w="60"/>
        <w:gridCol w:w="1715"/>
        <w:gridCol w:w="120"/>
        <w:gridCol w:w="227"/>
        <w:gridCol w:w="617"/>
        <w:gridCol w:w="97"/>
        <w:gridCol w:w="195"/>
        <w:gridCol w:w="227"/>
        <w:gridCol w:w="547"/>
        <w:gridCol w:w="170"/>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in ASC</w:t>
            </w:r>
          </w:p>
          <w:p>
            <w:pPr>
              <w:pStyle w:val="TableContents"/>
              <w:bidi w:val="0"/>
              <w:spacing w:before="0" w:after="0"/>
              <w:jc w:val="left"/>
              <w:rPr>
                <w:rFonts w:ascii="Times New Roman" w:hAnsi="Times New Roman"/>
                <w:b/>
                <w:sz w:val="16"/>
              </w:rPr>
            </w:pPr>
            <w:r>
              <w:rPr>
                <w:rFonts w:ascii="Times New Roman" w:hAnsi="Times New Roman"/>
                <w:b/>
                <w:sz w:val="16"/>
              </w:rPr>
              <w:t>815 Cash Flow Hedging</w:t>
            </w:r>
          </w:p>
          <w:p>
            <w:pPr>
              <w:pStyle w:val="TableContents"/>
              <w:bidi w:val="0"/>
              <w:spacing w:before="0" w:after="20"/>
              <w:jc w:val="left"/>
              <w:rPr>
                <w:rFonts w:ascii="Times New Roman" w:hAnsi="Times New Roman"/>
                <w:b/>
                <w:sz w:val="16"/>
                <w:bdr w:val="single" w:sz="8" w:space="1" w:color="000000"/>
              </w:rPr>
            </w:pPr>
            <w:r>
              <w:rPr>
                <w:rFonts w:ascii="Times New Roman" w:hAnsi="Times New Roman"/>
                <w:b/>
                <w:sz w:val="16"/>
                <w:bdr w:val="single" w:sz="8" w:space="1" w:color="000000"/>
              </w:rPr>
              <w:t>Relationships</w:t>
            </w:r>
          </w:p>
        </w:tc>
        <w:tc>
          <w:tcPr>
            <w:tcW w:w="120" w:type="dxa"/>
            <w:tcBorders/>
            <w:vAlign w:val="center"/>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center"/>
          </w:tcPr>
          <w:p>
            <w:pPr>
              <w:pStyle w:val="TableContents"/>
              <w:bidi w:val="0"/>
              <w:spacing w:before="0" w:after="0"/>
              <w:jc w:val="center"/>
              <w:rPr>
                <w:b/>
              </w:rPr>
            </w:pPr>
            <w:r>
              <w:rPr>
                <w:b/>
              </w:rPr>
              <w:t>Amount of Loss</w:t>
            </w:r>
          </w:p>
          <w:p>
            <w:pPr>
              <w:pStyle w:val="TableContents"/>
              <w:bidi w:val="0"/>
              <w:spacing w:before="0" w:after="0"/>
              <w:jc w:val="center"/>
              <w:rPr/>
            </w:pPr>
            <w:r>
              <w:rPr/>
            </w:r>
          </w:p>
          <w:p>
            <w:pPr>
              <w:pStyle w:val="TableContents"/>
              <w:bidi w:val="0"/>
              <w:spacing w:before="0" w:after="0"/>
              <w:jc w:val="center"/>
              <w:rPr>
                <w:b/>
              </w:rPr>
            </w:pPr>
            <w:r>
              <w:rPr>
                <w:b/>
              </w:rPr>
              <w:t>Recognized in</w:t>
            </w:r>
          </w:p>
          <w:p>
            <w:pPr>
              <w:pStyle w:val="TableContents"/>
              <w:bidi w:val="0"/>
              <w:spacing w:before="0" w:after="0"/>
              <w:jc w:val="center"/>
              <w:rPr/>
            </w:pPr>
            <w:r>
              <w:rPr/>
            </w:r>
          </w:p>
          <w:p>
            <w:pPr>
              <w:pStyle w:val="TableContents"/>
              <w:bidi w:val="0"/>
              <w:spacing w:before="0" w:after="0"/>
              <w:jc w:val="center"/>
              <w:rPr>
                <w:b/>
              </w:rPr>
            </w:pPr>
            <w:r>
              <w:rPr>
                <w:b/>
              </w:rPr>
              <w:t>AOCI on</w:t>
            </w:r>
          </w:p>
          <w:p>
            <w:pPr>
              <w:pStyle w:val="TableContents"/>
              <w:bidi w:val="0"/>
              <w:spacing w:before="0" w:after="0"/>
              <w:jc w:val="center"/>
              <w:rPr/>
            </w:pPr>
            <w:r>
              <w:rPr/>
            </w:r>
          </w:p>
          <w:p>
            <w:pPr>
              <w:pStyle w:val="TableContents"/>
              <w:bidi w:val="0"/>
              <w:spacing w:before="0" w:after="0"/>
              <w:jc w:val="center"/>
              <w:rPr>
                <w:b/>
              </w:rPr>
            </w:pPr>
            <w:r>
              <w:rPr>
                <w:b/>
              </w:rPr>
              <w:t>Derivatives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8"/>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Location/Amount of</w:t>
            </w:r>
          </w:p>
          <w:p>
            <w:pPr>
              <w:pStyle w:val="TableContents"/>
              <w:bidi w:val="0"/>
              <w:spacing w:before="0" w:after="0"/>
              <w:jc w:val="center"/>
              <w:rPr>
                <w:rFonts w:ascii="Times New Roman" w:hAnsi="Times New Roman"/>
                <w:b/>
                <w:sz w:val="16"/>
              </w:rPr>
            </w:pPr>
            <w:r>
              <w:rPr>
                <w:rFonts w:ascii="Times New Roman" w:hAnsi="Times New Roman"/>
                <w:b/>
                <w:sz w:val="16"/>
              </w:rPr>
              <w:t>Loss</w:t>
            </w:r>
          </w:p>
          <w:p>
            <w:pPr>
              <w:pStyle w:val="TableContents"/>
              <w:bidi w:val="0"/>
              <w:spacing w:before="0" w:after="0"/>
              <w:jc w:val="center"/>
              <w:rPr>
                <w:rFonts w:ascii="Times New Roman" w:hAnsi="Times New Roman"/>
                <w:b/>
                <w:sz w:val="16"/>
              </w:rPr>
            </w:pPr>
            <w:r>
              <w:rPr>
                <w:rFonts w:ascii="Times New Roman" w:hAnsi="Times New Roman"/>
                <w:b/>
                <w:sz w:val="16"/>
              </w:rPr>
              <w:t>Reclassified from AOCI</w:t>
            </w:r>
          </w:p>
          <w:p>
            <w:pPr>
              <w:pStyle w:val="TableContents"/>
              <w:bidi w:val="0"/>
              <w:spacing w:before="0" w:after="20"/>
              <w:jc w:val="center"/>
              <w:rPr>
                <w:rFonts w:ascii="Times New Roman" w:hAnsi="Times New Roman"/>
                <w:b/>
                <w:sz w:val="16"/>
              </w:rPr>
            </w:pPr>
            <w:r>
              <w:rPr>
                <w:rFonts w:ascii="Times New Roman" w:hAnsi="Times New Roman"/>
                <w:b/>
                <w:sz w:val="16"/>
              </w:rPr>
              <w:t>Into Statement of Operations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5" w:type="dxa"/>
            <w:gridSpan w:val="8"/>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Location/Amount of Gain (Loss)</w:t>
            </w:r>
          </w:p>
          <w:p>
            <w:pPr>
              <w:pStyle w:val="TableContents"/>
              <w:bidi w:val="0"/>
              <w:spacing w:before="0" w:after="0"/>
              <w:jc w:val="center"/>
              <w:rPr>
                <w:rFonts w:ascii="Times New Roman" w:hAnsi="Times New Roman"/>
                <w:b/>
                <w:sz w:val="16"/>
              </w:rPr>
            </w:pPr>
            <w:r>
              <w:rPr>
                <w:rFonts w:ascii="Times New Roman" w:hAnsi="Times New Roman"/>
                <w:b/>
                <w:sz w:val="16"/>
              </w:rPr>
              <w:t>Recognized in</w:t>
            </w:r>
          </w:p>
          <w:p>
            <w:pPr>
              <w:pStyle w:val="TableContents"/>
              <w:bidi w:val="0"/>
              <w:spacing w:before="0" w:after="20"/>
              <w:jc w:val="center"/>
              <w:rPr>
                <w:rFonts w:ascii="Times New Roman" w:hAnsi="Times New Roman"/>
                <w:b/>
                <w:sz w:val="16"/>
              </w:rPr>
            </w:pPr>
            <w:r>
              <w:rPr>
                <w:rFonts w:ascii="Times New Roman" w:hAnsi="Times New Roman"/>
                <w:b/>
                <w:sz w:val="16"/>
              </w:rPr>
              <w:t>Statement of Operations on Derivatives</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center"/>
          </w:tcPr>
          <w:p>
            <w:pPr>
              <w:pStyle w:val="TableContents"/>
              <w:bidi w:val="0"/>
              <w:spacing w:before="0" w:after="0"/>
              <w:jc w:val="center"/>
              <w:rPr>
                <w:b/>
              </w:rPr>
            </w:pPr>
            <w:r>
              <w:rPr>
                <w:b/>
              </w:rPr>
              <w:t>Six Months Ended</w:t>
            </w:r>
          </w:p>
          <w:p>
            <w:pPr>
              <w:pStyle w:val="TableContents"/>
              <w:bidi w:val="0"/>
              <w:spacing w:before="0" w:after="0"/>
              <w:jc w:val="center"/>
              <w:rPr/>
            </w:pPr>
            <w:r>
              <w:rPr/>
            </w:r>
          </w:p>
          <w:p>
            <w:pPr>
              <w:pStyle w:val="TableContents"/>
              <w:bidi w:val="0"/>
              <w:spacing w:before="0" w:after="0"/>
              <w:jc w:val="center"/>
              <w:rPr>
                <w:b/>
              </w:rPr>
            </w:pPr>
            <w:r>
              <w:rPr>
                <w:b/>
              </w:rPr>
              <w:t>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center"/>
          </w:tcPr>
          <w:p>
            <w:pPr>
              <w:pStyle w:val="TableContents"/>
              <w:bidi w:val="0"/>
              <w:spacing w:before="0" w:after="0"/>
              <w:jc w:val="center"/>
              <w:rPr>
                <w:b/>
              </w:rPr>
            </w:pPr>
            <w:r>
              <w:rPr>
                <w:b/>
              </w:rPr>
              <w:t>Six Months Ended</w:t>
            </w:r>
          </w:p>
          <w:p>
            <w:pPr>
              <w:pStyle w:val="TableContents"/>
              <w:bidi w:val="0"/>
              <w:spacing w:before="0" w:after="0"/>
              <w:jc w:val="center"/>
              <w:rPr/>
            </w:pPr>
            <w:r>
              <w:rPr/>
            </w:r>
          </w:p>
          <w:p>
            <w:pPr>
              <w:pStyle w:val="TableContents"/>
              <w:bidi w:val="0"/>
              <w:spacing w:before="0" w:after="0"/>
              <w:jc w:val="center"/>
              <w:rPr>
                <w:b/>
              </w:rPr>
            </w:pPr>
            <w:r>
              <w:rPr>
                <w:b/>
              </w:rPr>
              <w:t>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center"/>
          </w:tcPr>
          <w:p>
            <w:pPr>
              <w:pStyle w:val="TableContents"/>
              <w:bidi w:val="0"/>
              <w:spacing w:before="0" w:after="0"/>
              <w:jc w:val="center"/>
              <w:rPr>
                <w:b/>
              </w:rPr>
            </w:pPr>
            <w:r>
              <w:rPr>
                <w:b/>
              </w:rPr>
              <w:t>Six Months Ended</w:t>
            </w:r>
          </w:p>
          <w:p>
            <w:pPr>
              <w:pStyle w:val="TableContents"/>
              <w:bidi w:val="0"/>
              <w:spacing w:before="0" w:after="0"/>
              <w:jc w:val="center"/>
              <w:rPr/>
            </w:pPr>
            <w:r>
              <w:rPr/>
            </w:r>
          </w:p>
          <w:p>
            <w:pPr>
              <w:pStyle w:val="TableContents"/>
              <w:bidi w:val="0"/>
              <w:spacing w:before="0" w:after="0"/>
              <w:jc w:val="center"/>
              <w:rPr>
                <w:b/>
              </w:rPr>
            </w:pPr>
            <w:r>
              <w:rPr>
                <w:b/>
              </w:rPr>
              <w:t>June 30,</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4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8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9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(1,412</w:t>
            </w:r>
          </w:p>
        </w:tc>
        <w:tc>
          <w:tcPr>
            <w:tcW w:w="16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90" w:type="dxa"/>
            <w:tcBorders/>
            <w:shd w:fill="CCEEFF" w:val="clear"/>
            <w:vAlign w:val="center"/>
          </w:tcPr>
          <w:p>
            <w:pPr>
              <w:pStyle w:val="TableContents"/>
              <w:bidi w:val="0"/>
              <w:spacing w:before="0" w:after="283"/>
              <w:jc w:val="right"/>
              <w:rPr/>
            </w:pPr>
            <w:r>
              <w:rPr/>
              <w:t>(1,510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Net sales</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48" w:type="dxa"/>
            <w:tcBorders/>
            <w:shd w:fill="CCEEFF" w:val="clear"/>
            <w:vAlign w:val="center"/>
          </w:tcPr>
          <w:p>
            <w:pPr>
              <w:pStyle w:val="TableContents"/>
              <w:bidi w:val="0"/>
              <w:spacing w:before="0" w:after="283"/>
              <w:jc w:val="right"/>
              <w:rPr/>
            </w:pPr>
            <w:r>
              <w:rPr/>
              <w:t>(586</w:t>
            </w:r>
          </w:p>
        </w:tc>
        <w:tc>
          <w:tcPr>
            <w:tcW w:w="18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768" w:type="dxa"/>
            <w:tcBorders/>
            <w:shd w:fill="CCEEFF" w:val="clear"/>
            <w:vAlign w:val="center"/>
          </w:tcPr>
          <w:p>
            <w:pPr>
              <w:pStyle w:val="TableContents"/>
              <w:bidi w:val="0"/>
              <w:spacing w:before="0" w:after="283"/>
              <w:jc w:val="right"/>
              <w:rPr/>
            </w:pPr>
            <w:r>
              <w:rPr/>
              <w:t>(1,846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Other income, net</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110</w:t>
            </w:r>
          </w:p>
        </w:tc>
        <w:tc>
          <w:tcPr>
            <w:tcW w:w="9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547" w:type="dxa"/>
            <w:tcBorders/>
            <w:shd w:fill="CCEEFF" w:val="clear"/>
            <w:vAlign w:val="center"/>
          </w:tcPr>
          <w:p>
            <w:pPr>
              <w:pStyle w:val="TableContents"/>
              <w:bidi w:val="0"/>
              <w:spacing w:before="0" w:after="283"/>
              <w:jc w:val="right"/>
              <w:rPr/>
            </w:pPr>
            <w:r>
              <w:rPr/>
              <w:t>(74</w:t>
            </w:r>
          </w:p>
        </w:tc>
        <w:tc>
          <w:tcPr>
            <w:tcW w:w="170"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687"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single" w:sz="2" w:space="1" w:color="000000"/>
              </w:rPr>
            </w:pPr>
            <w:r>
              <w:rPr>
                <w:bdr w:val="single" w:sz="2" w:space="1" w:color="000000"/>
              </w:rPr>
              <w:t> </w:t>
            </w:r>
          </w:p>
        </w:tc>
        <w:tc>
          <w:tcPr>
            <w:tcW w:w="69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single" w:sz="2" w:space="1" w:color="000000"/>
              </w:rPr>
            </w:pPr>
            <w:r>
              <w:rPr>
                <w:bdr w:val="single" w:sz="2" w:space="1" w:color="000000"/>
              </w:rPr>
              <w:t> </w:t>
            </w:r>
          </w:p>
        </w:tc>
        <w:tc>
          <w:tcPr>
            <w:tcW w:w="548" w:type="dxa"/>
            <w:tcBorders/>
            <w:vAlign w:val="center"/>
          </w:tcPr>
          <w:p>
            <w:pPr>
              <w:pStyle w:val="TableContents"/>
              <w:bidi w:val="0"/>
              <w:spacing w:before="0" w:after="0"/>
              <w:jc w:val="left"/>
              <w:rPr>
                <w:bdr w:val="single" w:sz="2" w:space="1" w:color="000000"/>
              </w:rPr>
            </w:pPr>
            <w:r>
              <w:rPr>
                <w:bdr w:val="single" w:sz="2" w:space="1" w:color="000000"/>
              </w:rPr>
              <w:t> </w:t>
            </w:r>
          </w:p>
        </w:tc>
        <w:tc>
          <w:tcPr>
            <w:tcW w:w="18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single" w:sz="2" w:space="1" w:color="000000"/>
              </w:rPr>
            </w:pPr>
            <w:r>
              <w:rPr>
                <w:bdr w:val="single" w:sz="2" w:space="1" w:color="000000"/>
              </w:rPr>
              <w:t> </w:t>
            </w:r>
          </w:p>
        </w:tc>
        <w:tc>
          <w:tcPr>
            <w:tcW w:w="76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bdr w:val="single" w:sz="2" w:space="1" w:color="000000"/>
              </w:rPr>
            </w:pPr>
            <w:r>
              <w:rPr>
                <w:bdr w:val="single" w:sz="2" w:space="1" w:color="000000"/>
              </w:rPr>
              <w:t> </w:t>
            </w:r>
          </w:p>
        </w:tc>
        <w:tc>
          <w:tcPr>
            <w:tcW w:w="617" w:type="dxa"/>
            <w:tcBorders/>
            <w:vAlign w:val="center"/>
          </w:tcPr>
          <w:p>
            <w:pPr>
              <w:pStyle w:val="TableContents"/>
              <w:bidi w:val="0"/>
              <w:spacing w:before="0" w:after="0"/>
              <w:jc w:val="left"/>
              <w:rPr>
                <w:bdr w:val="single" w:sz="2" w:space="1" w:color="000000"/>
              </w:rPr>
            </w:pPr>
            <w:r>
              <w:rPr>
                <w:bdr w:val="single" w:sz="2" w:space="1" w:color="000000"/>
              </w:rPr>
              <w:t> </w:t>
            </w:r>
          </w:p>
        </w:tc>
        <w:tc>
          <w:tcPr>
            <w:tcW w:w="9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bdr w:val="single" w:sz="2" w:space="1" w:color="000000"/>
              </w:rPr>
            </w:pPr>
            <w:r>
              <w:rPr>
                <w:bdr w:val="single" w:sz="2" w:space="1" w:color="000000"/>
              </w:rPr>
              <w:t> </w:t>
            </w:r>
          </w:p>
        </w:tc>
        <w:tc>
          <w:tcPr>
            <w:tcW w:w="547"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87" w:type="dxa"/>
            <w:tcBorders/>
            <w:vAlign w:val="center"/>
          </w:tcPr>
          <w:p>
            <w:pPr>
              <w:pStyle w:val="TableContents"/>
              <w:bidi w:val="0"/>
              <w:spacing w:before="0" w:after="283"/>
              <w:jc w:val="right"/>
              <w:rPr/>
            </w:pPr>
            <w:r>
              <w:rPr/>
              <w:t>(1,412</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90" w:type="dxa"/>
            <w:tcBorders/>
            <w:vAlign w:val="center"/>
          </w:tcPr>
          <w:p>
            <w:pPr>
              <w:pStyle w:val="TableContents"/>
              <w:bidi w:val="0"/>
              <w:spacing w:before="0" w:after="283"/>
              <w:jc w:val="right"/>
              <w:rPr/>
            </w:pPr>
            <w:r>
              <w:rPr/>
              <w:t>(1,510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548" w:type="dxa"/>
            <w:tcBorders/>
            <w:vAlign w:val="center"/>
          </w:tcPr>
          <w:p>
            <w:pPr>
              <w:pStyle w:val="TableContents"/>
              <w:bidi w:val="0"/>
              <w:spacing w:before="0" w:after="283"/>
              <w:jc w:val="right"/>
              <w:rPr/>
            </w:pPr>
            <w:r>
              <w:rPr/>
              <w:t>(586</w:t>
            </w:r>
          </w:p>
        </w:tc>
        <w:tc>
          <w:tcPr>
            <w:tcW w:w="18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768" w:type="dxa"/>
            <w:tcBorders/>
            <w:vAlign w:val="center"/>
          </w:tcPr>
          <w:p>
            <w:pPr>
              <w:pStyle w:val="TableContents"/>
              <w:bidi w:val="0"/>
              <w:spacing w:before="0" w:after="283"/>
              <w:jc w:val="right"/>
              <w:rPr/>
            </w:pPr>
            <w:r>
              <w:rPr/>
              <w:t>(1,846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617" w:type="dxa"/>
            <w:tcBorders/>
            <w:vAlign w:val="center"/>
          </w:tcPr>
          <w:p>
            <w:pPr>
              <w:pStyle w:val="TableContents"/>
              <w:bidi w:val="0"/>
              <w:spacing w:before="0" w:after="283"/>
              <w:jc w:val="right"/>
              <w:rPr/>
            </w:pPr>
            <w:r>
              <w:rPr/>
              <w:t>110</w:t>
            </w:r>
          </w:p>
        </w:tc>
        <w:tc>
          <w:tcPr>
            <w:tcW w:w="9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547" w:type="dxa"/>
            <w:tcBorders/>
            <w:vAlign w:val="center"/>
          </w:tcPr>
          <w:p>
            <w:pPr>
              <w:pStyle w:val="TableContents"/>
              <w:bidi w:val="0"/>
              <w:spacing w:before="0" w:after="283"/>
              <w:jc w:val="right"/>
              <w:rPr/>
            </w:pPr>
            <w:r>
              <w:rPr/>
              <w:t>(74</w:t>
            </w:r>
          </w:p>
        </w:tc>
        <w:tc>
          <w:tcPr>
            <w:tcW w:w="17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687" w:type="dxa"/>
            <w:tcBorders/>
            <w:vAlign w:val="center"/>
          </w:tcPr>
          <w:p>
            <w:pPr>
              <w:pStyle w:val="TableContents"/>
              <w:bidi w:val="0"/>
              <w:spacing w:before="0" w:after="0"/>
              <w:jc w:val="left"/>
              <w:rPr>
                <w:bdr w:val="double" w:sz="6" w:space="1" w:color="000000"/>
              </w:rPr>
            </w:pPr>
            <w:r>
              <w:rPr>
                <w:bdr w:val="double" w:sz="6"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dr w:val="double" w:sz="6" w:space="1" w:color="000000"/>
              </w:rPr>
            </w:pPr>
            <w:r>
              <w:rPr>
                <w:bdr w:val="double" w:sz="6" w:space="1" w:color="000000"/>
              </w:rPr>
              <w:t> </w:t>
            </w:r>
          </w:p>
        </w:tc>
        <w:tc>
          <w:tcPr>
            <w:tcW w:w="69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double" w:sz="6" w:space="1" w:color="000000"/>
              </w:rPr>
            </w:pPr>
            <w:r>
              <w:rPr>
                <w:bdr w:val="double" w:sz="6" w:space="1" w:color="000000"/>
              </w:rPr>
              <w:t> </w:t>
            </w:r>
          </w:p>
        </w:tc>
        <w:tc>
          <w:tcPr>
            <w:tcW w:w="548" w:type="dxa"/>
            <w:tcBorders/>
            <w:vAlign w:val="center"/>
          </w:tcPr>
          <w:p>
            <w:pPr>
              <w:pStyle w:val="TableContents"/>
              <w:bidi w:val="0"/>
              <w:spacing w:before="0" w:after="0"/>
              <w:jc w:val="left"/>
              <w:rPr>
                <w:bdr w:val="double" w:sz="6" w:space="1" w:color="000000"/>
              </w:rPr>
            </w:pPr>
            <w:r>
              <w:rPr>
                <w:bdr w:val="double" w:sz="6" w:space="1" w:color="000000"/>
              </w:rPr>
              <w:t> </w:t>
            </w:r>
          </w:p>
        </w:tc>
        <w:tc>
          <w:tcPr>
            <w:tcW w:w="18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bdr w:val="double" w:sz="6" w:space="1" w:color="000000"/>
              </w:rPr>
            </w:pPr>
            <w:r>
              <w:rPr>
                <w:bdr w:val="double" w:sz="6" w:space="1" w:color="000000"/>
              </w:rPr>
              <w:t> </w:t>
            </w:r>
          </w:p>
        </w:tc>
        <w:tc>
          <w:tcPr>
            <w:tcW w:w="76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bdr w:val="double" w:sz="6" w:space="1" w:color="000000"/>
              </w:rPr>
            </w:pPr>
            <w:r>
              <w:rPr>
                <w:bdr w:val="double" w:sz="6" w:space="1" w:color="000000"/>
              </w:rPr>
              <w:t> </w:t>
            </w:r>
          </w:p>
        </w:tc>
        <w:tc>
          <w:tcPr>
            <w:tcW w:w="617" w:type="dxa"/>
            <w:tcBorders/>
            <w:vAlign w:val="center"/>
          </w:tcPr>
          <w:p>
            <w:pPr>
              <w:pStyle w:val="TableContents"/>
              <w:bidi w:val="0"/>
              <w:spacing w:before="0" w:after="0"/>
              <w:jc w:val="left"/>
              <w:rPr>
                <w:bdr w:val="double" w:sz="6" w:space="1" w:color="000000"/>
              </w:rPr>
            </w:pPr>
            <w:r>
              <w:rPr>
                <w:bdr w:val="double" w:sz="6" w:space="1" w:color="000000"/>
              </w:rPr>
              <w:t> </w:t>
            </w:r>
          </w:p>
        </w:tc>
        <w:tc>
          <w:tcPr>
            <w:tcW w:w="9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bdr w:val="double" w:sz="6" w:space="1" w:color="000000"/>
              </w:rPr>
            </w:pPr>
            <w:r>
              <w:rPr>
                <w:bdr w:val="double" w:sz="6" w:space="1" w:color="000000"/>
              </w:rPr>
              <w:t> </w:t>
            </w:r>
          </w:p>
        </w:tc>
        <w:tc>
          <w:tcPr>
            <w:tcW w:w="547"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June 30, 2024, the amount expected to be reclassified from accumulated other comprehensive loss into loss within the next 12 months is $135 thousand.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set aside a cash deposit to the counterparty, Standard Chartered Bank Korea Limited (“SC”), as required for the zero cost collar contracts. This cash deposit is recorded as hedge collateral on the consolidated balance sheets. Cash deposits as of June 30, 2024 and December 31, 2023 are as follows (in thousands): </w:t>
      </w:r>
    </w:p>
    <w:p>
      <w:pPr>
        <w:pStyle w:val="TextBody"/>
        <w:bidi w:val="0"/>
        <w:spacing w:before="0" w:after="0"/>
        <w:ind w:left="0" w:right="0" w:hanging="0"/>
        <w:jc w:val="left"/>
        <w:rPr>
          <w:spacing w:val="0"/>
          <w:shd w:fill="FFFFFF" w:val="clear"/>
        </w:rPr>
      </w:pPr>
      <w:r>
        <w:rPr>
          <w:spacing w:val="0"/>
          <w:shd w:fill="FFFFFF" w:val="clear"/>
        </w:rPr>
        <w:t> </w:t>
      </w:r>
    </w:p>
    <w:tbl>
      <w:tblPr>
        <w:tblW w:w="3705" w:type="dxa"/>
        <w:jc w:val="left"/>
        <w:tblInd w:w="0" w:type="dxa"/>
        <w:tblLayout w:type="fixed"/>
        <w:tblCellMar>
          <w:top w:w="0" w:type="dxa"/>
          <w:left w:w="0" w:type="dxa"/>
          <w:bottom w:w="0" w:type="dxa"/>
          <w:right w:w="0" w:type="dxa"/>
        </w:tblCellMar>
      </w:tblPr>
      <w:tblGrid>
        <w:gridCol w:w="1040"/>
        <w:gridCol w:w="120"/>
        <w:gridCol w:w="175"/>
        <w:gridCol w:w="700"/>
        <w:gridCol w:w="60"/>
        <w:gridCol w:w="120"/>
        <w:gridCol w:w="283"/>
        <w:gridCol w:w="1132"/>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Counterparty</w:t>
            </w:r>
          </w:p>
        </w:tc>
        <w:tc>
          <w:tcPr>
            <w:tcW w:w="120" w:type="dxa"/>
            <w:tcBorders/>
            <w:vAlign w:val="center"/>
          </w:tcPr>
          <w:p>
            <w:pPr>
              <w:pStyle w:val="TableContents"/>
              <w:bidi w:val="0"/>
              <w:spacing w:before="0" w:after="0"/>
              <w:jc w:val="left"/>
              <w:rPr>
                <w:spacing w:val="0"/>
              </w:rPr>
            </w:pPr>
            <w:r>
              <w:rPr>
                <w:spacing w:val="0"/>
              </w:rPr>
              <w:t>  </w:t>
            </w:r>
          </w:p>
        </w:tc>
        <w:tc>
          <w:tcPr>
            <w:tcW w:w="87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single" w:sz="2" w:space="1" w:color="000000"/>
              </w:rPr>
            </w:pPr>
            <w:r>
              <w:rPr>
                <w:bdr w:val="single" w:sz="2" w:space="1" w:color="000000"/>
              </w:rPr>
              <w:t> </w:t>
            </w:r>
          </w:p>
        </w:tc>
        <w:tc>
          <w:tcPr>
            <w:tcW w:w="7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1,000</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bdr w:val="double" w:sz="6" w:space="1" w:color="000000"/>
              </w:rPr>
            </w:pPr>
            <w:r>
              <w:rPr>
                <w:bdr w:val="double" w:sz="6" w:space="1" w:color="000000"/>
              </w:rPr>
              <w:t> </w:t>
            </w:r>
          </w:p>
        </w:tc>
        <w:tc>
          <w:tcPr>
            <w:tcW w:w="7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The Company is required to deposit additional cash collateral with Nomura Financial Investment (Korea) Co., Ltd. (“NFIK”) and SC for any exposure in excess of $500 thousand, respectively. As of June 30, 2024, $600 thousand of additional cash collateral was required by SC, and recorded as hedge collateral on the consolidated balance sheet, and no such cash collateral was required as of December 31, 2023.</w:t>
      </w:r>
    </w:p>
    <w:p>
      <w:pPr>
        <w:pStyle w:val="TextBody"/>
        <w:bidi w:val="0"/>
        <w:spacing w:before="0" w:after="0"/>
        <w:ind w:left="0" w:right="0" w:hanging="0"/>
        <w:jc w:val="left"/>
        <w:rPr>
          <w:sz w:val="24"/>
        </w:rPr>
      </w:pPr>
      <w:r>
        <w:rPr>
          <w:sz w:val="24"/>
        </w:rPr>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These zero cost collar contracts may be terminated by the counterparties if the Company’s total cash and cash equivalents is less than $30,000 thousand at the end of a fiscal quarter, unless a waiver is obtained.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7. Fair Value Measurements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Fair Value of Financial Instruments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June 30, 2024, the following table represents the Company’s liabilities measured at fair value on a recurring basis and the basis for that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measurement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837"/>
        <w:gridCol w:w="120"/>
        <w:gridCol w:w="437"/>
        <w:gridCol w:w="1188"/>
        <w:gridCol w:w="60"/>
        <w:gridCol w:w="120"/>
        <w:gridCol w:w="380"/>
        <w:gridCol w:w="1035"/>
        <w:gridCol w:w="60"/>
        <w:gridCol w:w="120"/>
        <w:gridCol w:w="338"/>
        <w:gridCol w:w="1468"/>
        <w:gridCol w:w="60"/>
        <w:gridCol w:w="120"/>
        <w:gridCol w:w="316"/>
        <w:gridCol w:w="859"/>
        <w:gridCol w:w="60"/>
        <w:gridCol w:w="120"/>
        <w:gridCol w:w="268"/>
        <w:gridCol w:w="1162"/>
        <w:gridCol w:w="77"/>
      </w:tblGrid>
      <w:tr>
        <w:trPr/>
        <w:tc>
          <w:tcPr>
            <w:tcW w:w="18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837"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625" w:type="dxa"/>
            <w:gridSpan w:val="2"/>
            <w:tcBorders/>
            <w:vAlign w:val="center"/>
          </w:tcPr>
          <w:p>
            <w:pPr>
              <w:pStyle w:val="TableContents"/>
              <w:bidi w:val="0"/>
              <w:spacing w:before="0" w:after="0"/>
              <w:jc w:val="center"/>
              <w:rPr>
                <w:b/>
                <w:spacing w:val="0"/>
              </w:rPr>
            </w:pPr>
            <w:r>
              <w:rPr>
                <w:b/>
                <w:spacing w:val="0"/>
              </w:rPr>
              <w:t>Carrying Value</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 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Fair Value</w:t>
            </w:r>
          </w:p>
          <w:p>
            <w:pPr>
              <w:pStyle w:val="TableContents"/>
              <w:bidi w:val="0"/>
              <w:spacing w:before="0" w:after="0"/>
              <w:jc w:val="center"/>
              <w:rPr/>
            </w:pPr>
            <w:r>
              <w:rPr/>
            </w:r>
          </w:p>
          <w:p>
            <w:pPr>
              <w:pStyle w:val="TableContents"/>
              <w:bidi w:val="0"/>
              <w:spacing w:before="0" w:after="0"/>
              <w:jc w:val="center"/>
              <w:rPr>
                <w:b/>
                <w:spacing w:val="0"/>
              </w:rPr>
            </w:pPr>
            <w:r>
              <w:rPr>
                <w:b/>
                <w:spacing w:val="0"/>
              </w:rPr>
              <w:t>Measurement</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 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806" w:type="dxa"/>
            <w:gridSpan w:val="2"/>
            <w:tcBorders/>
            <w:vAlign w:val="center"/>
          </w:tcPr>
          <w:p>
            <w:pPr>
              <w:pStyle w:val="TableContents"/>
              <w:bidi w:val="0"/>
              <w:spacing w:before="0" w:after="0"/>
              <w:jc w:val="center"/>
              <w:rPr>
                <w:b/>
                <w:spacing w:val="0"/>
              </w:rPr>
            </w:pPr>
            <w:r>
              <w:rPr>
                <w:b/>
                <w:spacing w:val="0"/>
              </w:rPr>
              <w:t>Quoted Prices in</w:t>
            </w:r>
          </w:p>
          <w:p>
            <w:pPr>
              <w:pStyle w:val="TableContents"/>
              <w:bidi w:val="0"/>
              <w:spacing w:before="0" w:after="0"/>
              <w:jc w:val="center"/>
              <w:rPr/>
            </w:pPr>
            <w:r>
              <w:rPr/>
            </w:r>
          </w:p>
          <w:p>
            <w:pPr>
              <w:pStyle w:val="TableContents"/>
              <w:bidi w:val="0"/>
              <w:spacing w:before="0" w:after="0"/>
              <w:jc w:val="center"/>
              <w:rPr>
                <w:b/>
                <w:spacing w:val="0"/>
              </w:rPr>
            </w:pPr>
            <w:r>
              <w:rPr>
                <w:b/>
                <w:spacing w:val="0"/>
              </w:rPr>
              <w:t>Active Markets</w:t>
            </w:r>
          </w:p>
          <w:p>
            <w:pPr>
              <w:pStyle w:val="TableContents"/>
              <w:bidi w:val="0"/>
              <w:spacing w:before="0" w:after="0"/>
              <w:jc w:val="center"/>
              <w:rPr/>
            </w:pPr>
            <w:r>
              <w:rPr/>
            </w:r>
          </w:p>
          <w:p>
            <w:pPr>
              <w:pStyle w:val="TableContents"/>
              <w:bidi w:val="0"/>
              <w:spacing w:before="0" w:after="0"/>
              <w:jc w:val="center"/>
              <w:rPr>
                <w:b/>
                <w:spacing w:val="0"/>
              </w:rPr>
            </w:pPr>
            <w:r>
              <w:rPr>
                <w:b/>
                <w:spacing w:val="0"/>
              </w:rPr>
              <w:t>for Identical</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Liability (Level 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75" w:type="dxa"/>
            <w:gridSpan w:val="2"/>
            <w:tcBorders/>
            <w:vAlign w:val="center"/>
          </w:tcPr>
          <w:p>
            <w:pPr>
              <w:pStyle w:val="TableContents"/>
              <w:bidi w:val="0"/>
              <w:spacing w:before="0" w:after="0"/>
              <w:jc w:val="center"/>
              <w:rPr>
                <w:b/>
                <w:spacing w:val="0"/>
              </w:rPr>
            </w:pPr>
            <w:r>
              <w:rPr>
                <w:b/>
                <w:spacing w:val="0"/>
              </w:rPr>
              <w:t>Significant</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Observable</w:t>
            </w:r>
          </w:p>
          <w:p>
            <w:pPr>
              <w:pStyle w:val="TableContents"/>
              <w:bidi w:val="0"/>
              <w:spacing w:before="0" w:after="0"/>
              <w:jc w:val="center"/>
              <w:rPr/>
            </w:pPr>
            <w:r>
              <w:rPr/>
            </w:r>
          </w:p>
          <w:p>
            <w:pPr>
              <w:pStyle w:val="TableContents"/>
              <w:bidi w:val="0"/>
              <w:spacing w:before="0" w:after="0"/>
              <w:jc w:val="center"/>
              <w:rPr>
                <w:b/>
                <w:spacing w:val="0"/>
              </w:rPr>
            </w:pPr>
            <w:r>
              <w:rPr>
                <w:b/>
                <w:spacing w:val="0"/>
              </w:rPr>
              <w:t>Inputs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30" w:type="dxa"/>
            <w:gridSpan w:val="2"/>
            <w:tcBorders/>
            <w:vAlign w:val="center"/>
          </w:tcPr>
          <w:p>
            <w:pPr>
              <w:pStyle w:val="TableContents"/>
              <w:bidi w:val="0"/>
              <w:spacing w:before="0" w:after="0"/>
              <w:jc w:val="center"/>
              <w:rPr>
                <w:b/>
                <w:spacing w:val="0"/>
              </w:rPr>
            </w:pPr>
            <w:r>
              <w:rPr>
                <w:b/>
                <w:spacing w:val="0"/>
              </w:rPr>
              <w:t>Significant</w:t>
            </w:r>
          </w:p>
          <w:p>
            <w:pPr>
              <w:pStyle w:val="TableContents"/>
              <w:bidi w:val="0"/>
              <w:spacing w:before="0" w:after="0"/>
              <w:jc w:val="center"/>
              <w:rPr/>
            </w:pPr>
            <w:r>
              <w:rPr/>
            </w:r>
          </w:p>
          <w:p>
            <w:pPr>
              <w:pStyle w:val="TableContents"/>
              <w:bidi w:val="0"/>
              <w:spacing w:before="0" w:after="0"/>
              <w:jc w:val="center"/>
              <w:rPr>
                <w:b/>
                <w:spacing w:val="0"/>
              </w:rPr>
            </w:pPr>
            <w:r>
              <w:rPr>
                <w:b/>
                <w:spacing w:val="0"/>
              </w:rPr>
              <w:t>Unobservable</w:t>
            </w:r>
          </w:p>
          <w:p>
            <w:pPr>
              <w:pStyle w:val="TableContents"/>
              <w:bidi w:val="0"/>
              <w:spacing w:before="0" w:after="0"/>
              <w:jc w:val="center"/>
              <w:rPr/>
            </w:pPr>
            <w:r>
              <w:rPr/>
            </w:r>
          </w:p>
          <w:p>
            <w:pPr>
              <w:pStyle w:val="TableContents"/>
              <w:bidi w:val="0"/>
              <w:spacing w:before="0" w:after="0"/>
              <w:jc w:val="center"/>
              <w:rPr>
                <w:b/>
                <w:spacing w:val="0"/>
              </w:rPr>
            </w:pPr>
            <w:r>
              <w:rPr>
                <w:b/>
                <w:spacing w:val="0"/>
              </w:rPr>
              <w:t>Inputs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3)</w:t>
            </w:r>
          </w:p>
        </w:tc>
        <w:tc>
          <w:tcPr>
            <w:tcW w:w="77" w:type="dxa"/>
            <w:tcBorders/>
            <w:vAlign w:val="center"/>
          </w:tcPr>
          <w:p>
            <w:pPr>
              <w:pStyle w:val="TableContents"/>
              <w:bidi w:val="0"/>
              <w:spacing w:before="0" w:after="0"/>
              <w:jc w:val="left"/>
              <w:rPr>
                <w:spacing w:val="0"/>
              </w:rPr>
            </w:pPr>
            <w:r>
              <w:rPr>
                <w:spacing w:val="0"/>
              </w:rPr>
              <w:t> </w:t>
            </w:r>
          </w:p>
        </w:tc>
      </w:tr>
      <w:tr>
        <w:trPr/>
        <w:tc>
          <w:tcPr>
            <w:tcW w:w="18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sz w:val="4"/>
                <w:szCs w:val="4"/>
              </w:rPr>
            </w:pPr>
            <w:r>
              <w:rPr>
                <w:sz w:val="4"/>
                <w:szCs w:val="4"/>
              </w:rPr>
            </w:r>
          </w:p>
        </w:tc>
        <w:tc>
          <w:tcPr>
            <w:tcW w:w="11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1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1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w:t>
            </w:r>
          </w:p>
        </w:tc>
        <w:tc>
          <w:tcPr>
            <w:tcW w:w="1188" w:type="dxa"/>
            <w:tcBorders/>
            <w:vAlign w:val="center"/>
          </w:tcPr>
          <w:p>
            <w:pPr>
              <w:pStyle w:val="TableContents"/>
              <w:bidi w:val="0"/>
              <w:spacing w:before="0" w:after="283"/>
              <w:jc w:val="right"/>
              <w:rPr/>
            </w:pPr>
            <w:r>
              <w:rPr/>
              <w:t>662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jc w:val="right"/>
              <w:rPr/>
            </w:pPr>
            <w:r>
              <w:rPr/>
              <w:t>662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662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the following table represents the Company’s assets and liabilities measured at fair value on a recurring basis and the basis for that measurement (in thousands): </w:t>
      </w:r>
    </w:p>
    <w:p>
      <w:pPr>
        <w:pStyle w:val="TextBody"/>
        <w:bidi w:val="0"/>
        <w:spacing w:before="0" w:after="0"/>
        <w:ind w:left="0" w:right="0" w:hanging="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1021"/>
        <w:gridCol w:w="120"/>
        <w:gridCol w:w="526"/>
        <w:gridCol w:w="1429"/>
        <w:gridCol w:w="60"/>
        <w:gridCol w:w="120"/>
        <w:gridCol w:w="526"/>
        <w:gridCol w:w="1429"/>
        <w:gridCol w:w="60"/>
        <w:gridCol w:w="120"/>
        <w:gridCol w:w="328"/>
        <w:gridCol w:w="1425"/>
        <w:gridCol w:w="60"/>
        <w:gridCol w:w="120"/>
        <w:gridCol w:w="316"/>
        <w:gridCol w:w="859"/>
        <w:gridCol w:w="60"/>
        <w:gridCol w:w="120"/>
        <w:gridCol w:w="268"/>
        <w:gridCol w:w="1162"/>
        <w:gridCol w:w="76"/>
      </w:tblGrid>
      <w:tr>
        <w:trPr/>
        <w:tc>
          <w:tcPr>
            <w:tcW w:w="10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b/>
                <w:spacing w:val="0"/>
              </w:rPr>
            </w:pPr>
            <w:r>
              <w:rPr>
                <w:b/>
                <w:spacing w:val="0"/>
              </w:rPr>
              <w:t>Carrying Value</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 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b/>
                <w:spacing w:val="0"/>
              </w:rPr>
            </w:pPr>
            <w:r>
              <w:rPr>
                <w:b/>
                <w:spacing w:val="0"/>
              </w:rPr>
              <w:t>Fair Value</w:t>
            </w:r>
          </w:p>
          <w:p>
            <w:pPr>
              <w:pStyle w:val="TableContents"/>
              <w:bidi w:val="0"/>
              <w:spacing w:before="0" w:after="0"/>
              <w:jc w:val="center"/>
              <w:rPr/>
            </w:pPr>
            <w:r>
              <w:rPr/>
            </w:r>
          </w:p>
          <w:p>
            <w:pPr>
              <w:pStyle w:val="TableContents"/>
              <w:bidi w:val="0"/>
              <w:spacing w:before="0" w:after="0"/>
              <w:jc w:val="center"/>
              <w:rPr>
                <w:b/>
                <w:spacing w:val="0"/>
              </w:rPr>
            </w:pPr>
            <w:r>
              <w:rPr>
                <w:b/>
                <w:spacing w:val="0"/>
              </w:rPr>
              <w:t>Measurement</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 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753" w:type="dxa"/>
            <w:gridSpan w:val="2"/>
            <w:tcBorders/>
            <w:vAlign w:val="center"/>
          </w:tcPr>
          <w:p>
            <w:pPr>
              <w:pStyle w:val="TableContents"/>
              <w:bidi w:val="0"/>
              <w:spacing w:before="0" w:after="0"/>
              <w:jc w:val="center"/>
              <w:rPr>
                <w:b/>
                <w:spacing w:val="0"/>
              </w:rPr>
            </w:pPr>
            <w:r>
              <w:rPr>
                <w:b/>
                <w:spacing w:val="0"/>
              </w:rPr>
              <w:t>Quoted Prices in</w:t>
            </w:r>
          </w:p>
          <w:p>
            <w:pPr>
              <w:pStyle w:val="TableContents"/>
              <w:bidi w:val="0"/>
              <w:spacing w:before="0" w:after="0"/>
              <w:jc w:val="center"/>
              <w:rPr/>
            </w:pPr>
            <w:r>
              <w:rPr/>
            </w:r>
          </w:p>
          <w:p>
            <w:pPr>
              <w:pStyle w:val="TableContents"/>
              <w:bidi w:val="0"/>
              <w:spacing w:before="0" w:after="0"/>
              <w:jc w:val="center"/>
              <w:rPr>
                <w:b/>
                <w:spacing w:val="0"/>
              </w:rPr>
            </w:pPr>
            <w:r>
              <w:rPr>
                <w:b/>
                <w:spacing w:val="0"/>
              </w:rPr>
              <w:t>Active Markets</w:t>
            </w:r>
          </w:p>
          <w:p>
            <w:pPr>
              <w:pStyle w:val="TableContents"/>
              <w:bidi w:val="0"/>
              <w:spacing w:before="0" w:after="0"/>
              <w:jc w:val="center"/>
              <w:rPr/>
            </w:pPr>
            <w:r>
              <w:rPr/>
            </w:r>
          </w:p>
          <w:p>
            <w:pPr>
              <w:pStyle w:val="TableContents"/>
              <w:bidi w:val="0"/>
              <w:spacing w:before="0" w:after="0"/>
              <w:jc w:val="center"/>
              <w:rPr>
                <w:b/>
                <w:spacing w:val="0"/>
              </w:rPr>
            </w:pPr>
            <w:r>
              <w:rPr>
                <w:b/>
                <w:spacing w:val="0"/>
              </w:rPr>
              <w:t>for Identical</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Liability (Level 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75" w:type="dxa"/>
            <w:gridSpan w:val="2"/>
            <w:tcBorders/>
            <w:vAlign w:val="center"/>
          </w:tcPr>
          <w:p>
            <w:pPr>
              <w:pStyle w:val="TableContents"/>
              <w:bidi w:val="0"/>
              <w:spacing w:before="0" w:after="0"/>
              <w:jc w:val="center"/>
              <w:rPr>
                <w:b/>
                <w:spacing w:val="0"/>
              </w:rPr>
            </w:pPr>
            <w:r>
              <w:rPr>
                <w:b/>
                <w:spacing w:val="0"/>
              </w:rPr>
              <w:t>Significant</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Observable</w:t>
            </w:r>
          </w:p>
          <w:p>
            <w:pPr>
              <w:pStyle w:val="TableContents"/>
              <w:bidi w:val="0"/>
              <w:spacing w:before="0" w:after="0"/>
              <w:jc w:val="center"/>
              <w:rPr/>
            </w:pPr>
            <w:r>
              <w:rPr/>
            </w:r>
          </w:p>
          <w:p>
            <w:pPr>
              <w:pStyle w:val="TableContents"/>
              <w:bidi w:val="0"/>
              <w:spacing w:before="0" w:after="0"/>
              <w:jc w:val="center"/>
              <w:rPr>
                <w:b/>
                <w:spacing w:val="0"/>
              </w:rPr>
            </w:pPr>
            <w:r>
              <w:rPr>
                <w:b/>
                <w:spacing w:val="0"/>
              </w:rPr>
              <w:t>Inputs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30" w:type="dxa"/>
            <w:gridSpan w:val="2"/>
            <w:tcBorders/>
            <w:vAlign w:val="center"/>
          </w:tcPr>
          <w:p>
            <w:pPr>
              <w:pStyle w:val="TableContents"/>
              <w:bidi w:val="0"/>
              <w:spacing w:before="0" w:after="0"/>
              <w:jc w:val="center"/>
              <w:rPr>
                <w:b/>
                <w:spacing w:val="0"/>
              </w:rPr>
            </w:pPr>
            <w:r>
              <w:rPr>
                <w:b/>
                <w:spacing w:val="0"/>
              </w:rPr>
              <w:t>Significant</w:t>
            </w:r>
          </w:p>
          <w:p>
            <w:pPr>
              <w:pStyle w:val="TableContents"/>
              <w:bidi w:val="0"/>
              <w:spacing w:before="0" w:after="0"/>
              <w:jc w:val="center"/>
              <w:rPr/>
            </w:pPr>
            <w:r>
              <w:rPr/>
            </w:r>
          </w:p>
          <w:p>
            <w:pPr>
              <w:pStyle w:val="TableContents"/>
              <w:bidi w:val="0"/>
              <w:spacing w:before="0" w:after="0"/>
              <w:jc w:val="center"/>
              <w:rPr>
                <w:b/>
                <w:spacing w:val="0"/>
              </w:rPr>
            </w:pPr>
            <w:r>
              <w:rPr>
                <w:b/>
                <w:spacing w:val="0"/>
              </w:rPr>
              <w:t>Unobservable</w:t>
            </w:r>
          </w:p>
          <w:p>
            <w:pPr>
              <w:pStyle w:val="TableContents"/>
              <w:bidi w:val="0"/>
              <w:spacing w:before="0" w:after="0"/>
              <w:jc w:val="center"/>
              <w:rPr/>
            </w:pPr>
            <w:r>
              <w:rPr/>
            </w:r>
          </w:p>
          <w:p>
            <w:pPr>
              <w:pStyle w:val="TableContents"/>
              <w:bidi w:val="0"/>
              <w:spacing w:before="0" w:after="0"/>
              <w:jc w:val="center"/>
              <w:rPr>
                <w:b/>
                <w:spacing w:val="0"/>
              </w:rPr>
            </w:pPr>
            <w:r>
              <w:rPr>
                <w:b/>
                <w:spacing w:val="0"/>
              </w:rPr>
              <w:t>Inputs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3)</w:t>
            </w:r>
          </w:p>
        </w:tc>
        <w:tc>
          <w:tcPr>
            <w:tcW w:w="76" w:type="dxa"/>
            <w:tcBorders/>
            <w:vAlign w:val="center"/>
          </w:tcPr>
          <w:p>
            <w:pPr>
              <w:pStyle w:val="TableContents"/>
              <w:bidi w:val="0"/>
              <w:spacing w:before="0" w:after="0"/>
              <w:jc w:val="left"/>
              <w:rPr>
                <w:spacing w:val="0"/>
              </w:rPr>
            </w:pPr>
            <w:r>
              <w:rPr>
                <w:spacing w:val="0"/>
              </w:rPr>
              <w:t> </w:t>
            </w:r>
          </w:p>
        </w:tc>
      </w:tr>
      <w:tr>
        <w:trPr/>
        <w:tc>
          <w:tcPr>
            <w:tcW w:w="10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14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assets</w:t>
            </w:r>
          </w:p>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4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10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4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14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162"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0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4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8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8. Accrued Severance Benefits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majority of accrued severance benefits are for employees in the Company’s Korean subsidiaries. Pursuant to the Employee Retirement Benefit Security Act of Korea, eligible employees and executive officers with one or more years of service are entitled to severance benefits upon the termination of their employment based on their length of service and rate of pay. As of June 30, 2024, 96% of all employees of the Company were eligible for severance benefits.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accrued severance benefits are as follows (in thousands): </w:t>
      </w:r>
    </w:p>
    <w:p>
      <w:pPr>
        <w:pStyle w:val="TextBody"/>
        <w:bidi w:val="0"/>
        <w:spacing w:before="0" w:after="0"/>
        <w:ind w:left="0" w:right="0" w:hanging="0"/>
        <w:jc w:val="left"/>
        <w:rPr>
          <w:spacing w:val="0"/>
          <w:shd w:fill="FFFFFF" w:val="clear"/>
        </w:rPr>
      </w:pPr>
      <w:r>
        <w:rPr>
          <w:spacing w:val="0"/>
          <w:shd w:fill="FFFFFF" w:val="clear"/>
        </w:rPr>
        <w:t> </w:t>
      </w:r>
    </w:p>
    <w:tbl>
      <w:tblPr>
        <w:tblW w:w="10485" w:type="dxa"/>
        <w:jc w:val="left"/>
        <w:tblInd w:w="0" w:type="dxa"/>
        <w:tblLayout w:type="fixed"/>
        <w:tblCellMar>
          <w:top w:w="0" w:type="dxa"/>
          <w:left w:w="0" w:type="dxa"/>
          <w:bottom w:w="0" w:type="dxa"/>
          <w:right w:w="0" w:type="dxa"/>
        </w:tblCellMar>
      </w:tblPr>
      <w:tblGrid>
        <w:gridCol w:w="1130"/>
        <w:gridCol w:w="120"/>
        <w:gridCol w:w="345"/>
        <w:gridCol w:w="1865"/>
        <w:gridCol w:w="155"/>
        <w:gridCol w:w="120"/>
        <w:gridCol w:w="298"/>
        <w:gridCol w:w="1612"/>
        <w:gridCol w:w="155"/>
        <w:gridCol w:w="120"/>
        <w:gridCol w:w="345"/>
        <w:gridCol w:w="1865"/>
        <w:gridCol w:w="155"/>
        <w:gridCol w:w="120"/>
        <w:gridCol w:w="298"/>
        <w:gridCol w:w="1612"/>
        <w:gridCol w:w="17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Six Months Ended</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4395" w:type="dxa"/>
            <w:gridSpan w:val="6"/>
            <w:tcBorders/>
            <w:vAlign w:val="center"/>
          </w:tcPr>
          <w:p>
            <w:pPr>
              <w:pStyle w:val="TableContents"/>
              <w:bidi w:val="0"/>
              <w:spacing w:before="0" w:after="0"/>
              <w:jc w:val="center"/>
              <w:rPr>
                <w:b/>
                <w:spacing w:val="0"/>
              </w:rPr>
            </w:pPr>
            <w:r>
              <w:rPr>
                <w:b/>
                <w:spacing w:val="0"/>
              </w:rPr>
              <w:t>June 30, 2024</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4395" w:type="dxa"/>
            <w:gridSpan w:val="6"/>
            <w:tcBorders/>
            <w:vAlign w:val="center"/>
          </w:tcPr>
          <w:p>
            <w:pPr>
              <w:pStyle w:val="TableContents"/>
              <w:bidi w:val="0"/>
              <w:spacing w:before="0" w:after="0"/>
              <w:jc w:val="center"/>
              <w:rPr>
                <w:b/>
                <w:spacing w:val="0"/>
              </w:rPr>
            </w:pPr>
            <w:r>
              <w:rPr>
                <w:b/>
                <w:spacing w:val="0"/>
              </w:rPr>
              <w:t>June 30, 2023</w:t>
            </w:r>
          </w:p>
        </w:tc>
        <w:tc>
          <w:tcPr>
            <w:tcW w:w="170" w:type="dxa"/>
            <w:tcBorders/>
            <w:vAlign w:val="center"/>
          </w:tcPr>
          <w:p>
            <w:pPr>
              <w:pStyle w:val="TableContents"/>
              <w:bidi w:val="0"/>
              <w:spacing w:before="0" w:after="0"/>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44,484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45,932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48,574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48,496</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1,565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2,970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1,761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4,091</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Severance payments</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(1,362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(4,857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(5,728</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(1,373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(3,342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(357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(1,738</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44,198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44,198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45,121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45,121</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Cumulative contributions to severance insurance deposit accounts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(28,412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(28,412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(24,816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(24,816</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 National Pension Fund</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Group severance insurance plan</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(152</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bdr w:val="single" w:sz="2" w:space="1" w:color="000000"/>
              </w:rPr>
            </w:pPr>
            <w:r>
              <w:rPr>
                <w:bdr w:val="single" w:sz="2" w:space="1" w:color="000000"/>
              </w:rPr>
              <w:t> </w:t>
            </w:r>
          </w:p>
        </w:tc>
        <w:tc>
          <w:tcPr>
            <w:tcW w:w="161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15,759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15,759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20,123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20,123</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double" w:sz="6" w:space="1" w:color="000000"/>
              </w:rPr>
            </w:pPr>
            <w:r>
              <w:rPr>
                <w:bdr w:val="double" w:sz="6" w:space="1" w:color="000000"/>
              </w:rPr>
              <w:t> </w:t>
            </w:r>
          </w:p>
        </w:tc>
        <w:tc>
          <w:tcPr>
            <w:tcW w:w="18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bdr w:val="double" w:sz="6" w:space="1" w:color="000000"/>
              </w:rPr>
            </w:pPr>
            <w:r>
              <w:rPr>
                <w:bdr w:val="double" w:sz="6" w:space="1" w:color="000000"/>
              </w:rPr>
              <w:t> </w:t>
            </w:r>
          </w:p>
        </w:tc>
        <w:tc>
          <w:tcPr>
            <w:tcW w:w="16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double" w:sz="6" w:space="1" w:color="000000"/>
              </w:rPr>
            </w:pPr>
            <w:r>
              <w:rPr>
                <w:bdr w:val="double" w:sz="6" w:space="1" w:color="000000"/>
              </w:rPr>
              <w:t> </w:t>
            </w:r>
          </w:p>
        </w:tc>
        <w:tc>
          <w:tcPr>
            <w:tcW w:w="18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bdr w:val="double" w:sz="6" w:space="1" w:color="000000"/>
              </w:rPr>
            </w:pPr>
            <w:r>
              <w:rPr>
                <w:bdr w:val="double" w:sz="6" w:space="1" w:color="000000"/>
              </w:rPr>
              <w:t> </w:t>
            </w:r>
          </w:p>
        </w:tc>
        <w:tc>
          <w:tcPr>
            <w:tcW w:w="161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severance benefits funded through the Company’s National Pension Fund and group severance insurance plan have been and will be used exclusively for payment of severance benefits to eligible employees. These amounts have been deducted from the accrued severance benefit balance.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liable to pay the following future benefits to its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non-executive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employees upon their normal retirement age (in thousands): </w:t>
      </w:r>
    </w:p>
    <w:p>
      <w:pPr>
        <w:pStyle w:val="TextBody"/>
        <w:bidi w:val="0"/>
        <w:spacing w:before="0" w:after="0"/>
        <w:jc w:val="left"/>
        <w:rPr>
          <w:shd w:fill="FFFFFF" w:val="clear"/>
        </w:rPr>
      </w:pPr>
      <w:r>
        <w:rPr>
          <w:shd w:fill="FFFFFF" w:val="clear"/>
        </w:rPr>
        <w:t> </w:t>
      </w:r>
    </w:p>
    <w:tbl>
      <w:tblPr>
        <w:tblW w:w="3595" w:type="dxa"/>
        <w:jc w:val="left"/>
        <w:tblInd w:w="0" w:type="dxa"/>
        <w:tblLayout w:type="fixed"/>
        <w:tblCellMar>
          <w:top w:w="0" w:type="dxa"/>
          <w:left w:w="0" w:type="dxa"/>
          <w:bottom w:w="0" w:type="dxa"/>
          <w:right w:w="0" w:type="dxa"/>
        </w:tblCellMar>
      </w:tblPr>
      <w:tblGrid>
        <w:gridCol w:w="1595"/>
        <w:gridCol w:w="120"/>
        <w:gridCol w:w="308"/>
        <w:gridCol w:w="1497"/>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805" w:type="dxa"/>
            <w:gridSpan w:val="2"/>
            <w:tcBorders/>
            <w:vAlign w:val="center"/>
          </w:tcPr>
          <w:p>
            <w:pPr>
              <w:pStyle w:val="TableContents"/>
              <w:bidi w:val="0"/>
              <w:spacing w:before="0" w:after="0"/>
              <w:jc w:val="center"/>
              <w:rPr>
                <w:b/>
                <w:spacing w:val="0"/>
              </w:rPr>
            </w:pPr>
            <w:r>
              <w:rPr>
                <w:b/>
                <w:spacing w:val="0"/>
              </w:rPr>
              <w:t>Severance benefit</w:t>
            </w:r>
          </w:p>
        </w:tc>
        <w:tc>
          <w:tcPr>
            <w:tcW w:w="75" w:type="dxa"/>
            <w:tcBorders/>
            <w:vAlign w:val="center"/>
          </w:tcPr>
          <w:p>
            <w:pPr>
              <w:pStyle w:val="TableContents"/>
              <w:bidi w:val="0"/>
              <w:spacing w:before="0" w:after="0"/>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Remainder of 2024</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302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319</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534</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379</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3,052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3,456</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2030 – 2034</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16,546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above amounts were determined based on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non-executive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employees’ current salary rates and the number of service years that will be accumulated upon their retirement dates. These amounts do not include amounts that might be paid to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non-executive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employees that will cease working with the Company before their normal retirement ages.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Korea’s mandatory retirement age is 60 years of age or older under the Employment Promotion for the Aged Act. The Company sets the retirement age of employees at 60.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9. Long-Term Borrowing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Kun-Pledge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(Mortgage) Agreement (the “Pledge Agreement”) with KDB pursuant to which MSK pledged its real property and buildings located in Gumi, Korea (“Fab 3 properties”) in favor of KDB.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Loan Agreement provides for a working capital term loan (the “Term Loan”) of KRW 40,000,000,000 (approximately $29,835 thousand based on the KRW/USD exchange rate of 1,340.7:1 as of March 26, 2024 as quoted by KEB Hana Bank), which was funded in full to MSK on March 26, 2024.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Term Loan bears interest at a variable rate equal to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3-month</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June 30, 2024, approximately $28,794 thousand aggregate principal amount of the Term Loan was outstanding.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10. Foreign Currency Loss, Net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Net foreign currency gain or loss includes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translation gain or loss associated with intercompany balances. A substantial portion of the Company’s net foreign currency gain or loss is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translation gain or loss associated with intercompany long-term loans to MSK, one of the Company’s Korean subsidiaries. The loans are denominated in U.S. dollars and are affected by changes in the exchange rate between the Korean won and the U.S. dollar. As of June 30, 2024 and December 31, 2023, the outstanding intercompany loan balances including accrued interest between MSK and the Dutch subsidiary were $261,515 thousand and $285,136 thousand, respectively. The Korean won to U.S. dollar exchange rates were 1,389.2:1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1,289.4</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:1 using the first base rate as of June 30, 2024 and December 31, 2023, respectively, as quoted by the KEB Hana Bank. </w:t>
      </w:r>
    </w:p>
    <w:p>
      <w:pPr>
        <w:pStyle w:val="TextBody"/>
        <w:bidi w:val="0"/>
        <w:spacing w:before="360" w:after="0"/>
        <w:jc w:val="left"/>
        <w:rPr>
          <w:rFonts w:ascii="Times New Roman" w:hAnsi="Times New Roman"/>
          <w:b/>
          <w:spacing w:val="0"/>
          <w:sz w:val="20"/>
          <w:shd w:fill="FFFFFF" w:val="clear"/>
        </w:rPr>
      </w:pPr>
      <w:r>
        <w:rPr>
          <w:rFonts w:ascii="Times New Roman" w:hAnsi="Times New Roman"/>
          <w:b/>
          <w:spacing w:val="0"/>
          <w:sz w:val="20"/>
          <w:shd w:fill="FFFFFF" w:val="clear"/>
        </w:rPr>
        <w:t>11. Income Taxes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and its subsidiaries file income tax returns in Korea, Japan, Taiwan, the U.S. and in various other jurisdictions. The Company is subject to income 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non-income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tax examinations by tax authorities of these jurisdictions for all open tax years.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and six months ended June 30, 2024, the Company recorded an income tax benefit of $1,602 thousand and $2,626 thousand, respectively, primarily related to one of its operating entities in Korea based on the estimated taxable loss, offset in part by a valuation allowance established for the other operating entity in Korea as a result of its assessment of realizability of the deferred tax assets in the future.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and six months ended June 30, 2023, the Company recorded an income tax benefit of $2,977 thousand and $4,204 thousand, respectively, primarily related to its then primary operating entity in Korea based on the estimated taxable loss for the respective period.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12. Geographic and Other Information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operates within the operating segment, standard products business, and also reports Transitional Fab 3 Foundry Services revenue.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previous reporting periods, the Company categorized revenues from two business lines in its standard products business: the Display Solutions business line and the Power Solutions business line. As part of the Reorganization, the Company regrouped its standard products business into the Mixed-Signal Solutions business line and the Power Analog Solutions business line. Accordingly, effective as of the first quarter of fiscal 2024, the Company categorizes its standard product business revenue by those two regrouped business lines. See “Note 1. Business, Basis of Presentation and Significant Accounting Policies — Business” for additional information regarding the Reorganization.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Revenues for the three months ended June 30, 2023 from its previous product categories have been reclassified in order to conform to the current period presentation as follows (in thousands): </w:t>
      </w:r>
    </w:p>
    <w:p>
      <w:pPr>
        <w:pStyle w:val="TextBody"/>
        <w:bidi w:val="0"/>
        <w:spacing w:before="0" w:after="0"/>
        <w:ind w:left="0" w:right="0" w:hanging="0"/>
        <w:jc w:val="left"/>
        <w:rPr>
          <w:spacing w:val="0"/>
          <w:shd w:fill="FFFFFF" w:val="clear"/>
        </w:rPr>
      </w:pPr>
      <w:r>
        <w:rPr>
          <w:spacing w:val="0"/>
          <w:shd w:fill="FFFFFF" w:val="clear"/>
        </w:rPr>
        <w:t> </w:t>
      </w:r>
    </w:p>
    <w:tbl>
      <w:tblPr>
        <w:tblW w:w="5505" w:type="dxa"/>
        <w:jc w:val="left"/>
        <w:tblInd w:w="0" w:type="dxa"/>
        <w:tblLayout w:type="fixed"/>
        <w:tblCellMar>
          <w:top w:w="0" w:type="dxa"/>
          <w:left w:w="0" w:type="dxa"/>
          <w:bottom w:w="0" w:type="dxa"/>
          <w:right w:w="0" w:type="dxa"/>
        </w:tblCellMar>
      </w:tblPr>
      <w:tblGrid>
        <w:gridCol w:w="1490"/>
        <w:gridCol w:w="120"/>
        <w:gridCol w:w="140"/>
        <w:gridCol w:w="680"/>
        <w:gridCol w:w="60"/>
        <w:gridCol w:w="120"/>
        <w:gridCol w:w="140"/>
        <w:gridCol w:w="680"/>
        <w:gridCol w:w="60"/>
        <w:gridCol w:w="120"/>
        <w:gridCol w:w="140"/>
        <w:gridCol w:w="680"/>
        <w:gridCol w:w="60"/>
        <w:gridCol w:w="120"/>
        <w:gridCol w:w="140"/>
        <w:gridCol w:w="680"/>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3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MSS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PAS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Display Solutions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9,657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9,657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9,657</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41,718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41,718</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51,375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12,357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39,018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51,375</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Revenues for the six months ended June 30, 2023 from its previous product categories have been reclassified in order to conform to the current period presentation as follows (in thousands): </w:t>
      </w:r>
    </w:p>
    <w:p>
      <w:pPr>
        <w:pStyle w:val="TextBody"/>
        <w:bidi w:val="0"/>
        <w:spacing w:before="0" w:after="0"/>
        <w:ind w:left="0" w:right="0" w:hanging="0"/>
        <w:jc w:val="left"/>
        <w:rPr>
          <w:spacing w:val="0"/>
          <w:shd w:fill="FFFFFF" w:val="clear"/>
        </w:rPr>
      </w:pPr>
      <w:r>
        <w:rPr>
          <w:spacing w:val="0"/>
          <w:shd w:fill="FFFFFF" w:val="clear"/>
        </w:rPr>
        <w:t> </w:t>
      </w:r>
    </w:p>
    <w:tbl>
      <w:tblPr>
        <w:tblW w:w="5745" w:type="dxa"/>
        <w:jc w:val="left"/>
        <w:tblInd w:w="0" w:type="dxa"/>
        <w:tblLayout w:type="fixed"/>
        <w:tblCellMar>
          <w:top w:w="0" w:type="dxa"/>
          <w:left w:w="0" w:type="dxa"/>
          <w:bottom w:w="0" w:type="dxa"/>
          <w:right w:w="0" w:type="dxa"/>
        </w:tblCellMar>
      </w:tblPr>
      <w:tblGrid>
        <w:gridCol w:w="1490"/>
        <w:gridCol w:w="120"/>
        <w:gridCol w:w="140"/>
        <w:gridCol w:w="800"/>
        <w:gridCol w:w="60"/>
        <w:gridCol w:w="120"/>
        <w:gridCol w:w="140"/>
        <w:gridCol w:w="680"/>
        <w:gridCol w:w="60"/>
        <w:gridCol w:w="120"/>
        <w:gridCol w:w="140"/>
        <w:gridCol w:w="680"/>
        <w:gridCol w:w="60"/>
        <w:gridCol w:w="120"/>
        <w:gridCol w:w="140"/>
        <w:gridCol w:w="800"/>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5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MSS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PAS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Display Solutions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20,498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20,498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20,498</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82,391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4,666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77,725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82,391</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102,889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25,164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77,725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102,889</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sets forth information relating to the operating segment, standard products business, as well as the Transitional Fab 3 Foundry Services (in thousands): </w:t>
      </w:r>
    </w:p>
    <w:p>
      <w:pPr>
        <w:pStyle w:val="TextBody"/>
        <w:bidi w:val="0"/>
        <w:spacing w:before="0" w:after="0"/>
        <w:ind w:left="0" w:right="0" w:hanging="0"/>
        <w:jc w:val="left"/>
        <w:rPr>
          <w:spacing w:val="0"/>
          <w:shd w:fill="FFFFFF" w:val="clear"/>
        </w:rPr>
      </w:pPr>
      <w:r>
        <w:rPr>
          <w:spacing w:val="0"/>
          <w:shd w:fill="FFFFFF" w:val="clear"/>
        </w:rPr>
        <w:t> </w:t>
      </w:r>
    </w:p>
    <w:tbl>
      <w:tblPr>
        <w:tblW w:w="7545" w:type="dxa"/>
        <w:jc w:val="left"/>
        <w:tblInd w:w="0" w:type="dxa"/>
        <w:tblLayout w:type="fixed"/>
        <w:tblCellMar>
          <w:top w:w="0" w:type="dxa"/>
          <w:left w:w="0" w:type="dxa"/>
          <w:bottom w:w="0" w:type="dxa"/>
          <w:right w:w="0" w:type="dxa"/>
        </w:tblCellMar>
      </w:tblPr>
      <w:tblGrid>
        <w:gridCol w:w="2900"/>
        <w:gridCol w:w="120"/>
        <w:gridCol w:w="170"/>
        <w:gridCol w:w="825"/>
        <w:gridCol w:w="72"/>
        <w:gridCol w:w="145"/>
        <w:gridCol w:w="170"/>
        <w:gridCol w:w="828"/>
        <w:gridCol w:w="60"/>
        <w:gridCol w:w="120"/>
        <w:gridCol w:w="140"/>
        <w:gridCol w:w="800"/>
        <w:gridCol w:w="60"/>
        <w:gridCol w:w="120"/>
        <w:gridCol w:w="140"/>
        <w:gridCol w:w="800"/>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br/>
              <w:t>2023</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25"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Standard products business</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11,595</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12,357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20,601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25,164</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39,240</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39,018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75,775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77,725</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50,835</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51,375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96,376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102,889</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2,336</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9,604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15,095</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53,171</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60,979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102,238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117,984</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825"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82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7599" w:type="dxa"/>
        <w:jc w:val="left"/>
        <w:tblInd w:w="0" w:type="dxa"/>
        <w:tblLayout w:type="fixed"/>
        <w:tblCellMar>
          <w:top w:w="0" w:type="dxa"/>
          <w:left w:w="0" w:type="dxa"/>
          <w:bottom w:w="0" w:type="dxa"/>
          <w:right w:w="0" w:type="dxa"/>
        </w:tblCellMar>
      </w:tblPr>
      <w:tblGrid>
        <w:gridCol w:w="2900"/>
        <w:gridCol w:w="120"/>
        <w:gridCol w:w="161"/>
        <w:gridCol w:w="784"/>
        <w:gridCol w:w="178"/>
        <w:gridCol w:w="138"/>
        <w:gridCol w:w="161"/>
        <w:gridCol w:w="784"/>
        <w:gridCol w:w="60"/>
        <w:gridCol w:w="120"/>
        <w:gridCol w:w="149"/>
        <w:gridCol w:w="725"/>
        <w:gridCol w:w="155"/>
        <w:gridCol w:w="120"/>
        <w:gridCol w:w="149"/>
        <w:gridCol w:w="725"/>
        <w:gridCol w:w="170"/>
      </w:tblGrid>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06" w:type="dxa"/>
            <w:gridSpan w:val="6"/>
            <w:tcBorders/>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23" w:type="dxa"/>
            <w:gridSpan w:val="6"/>
            <w:tcBorders/>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0"/>
              <w:jc w:val="left"/>
              <w:rPr>
                <w:spacing w:val="0"/>
              </w:rPr>
            </w:pPr>
            <w:r>
              <w:rPr>
                <w:spacing w:val="0"/>
              </w:rPr>
              <w:t> </w:t>
            </w:r>
          </w:p>
        </w:tc>
      </w:tr>
      <w:tr>
        <w:trPr/>
        <w:tc>
          <w:tcPr>
            <w:tcW w:w="29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4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78" w:type="dxa"/>
            <w:tcBorders/>
            <w:vAlign w:val="center"/>
          </w:tcPr>
          <w:p>
            <w:pPr>
              <w:pStyle w:val="TableContents"/>
              <w:bidi w:val="0"/>
              <w:spacing w:before="0" w:after="0"/>
              <w:jc w:val="left"/>
              <w:rPr>
                <w:spacing w:val="0"/>
              </w:rPr>
            </w:pPr>
            <w:r>
              <w:rPr>
                <w:spacing w:val="0"/>
              </w:rPr>
              <w:t> </w:t>
            </w:r>
          </w:p>
        </w:tc>
        <w:tc>
          <w:tcPr>
            <w:tcW w:w="138" w:type="dxa"/>
            <w:tcBorders/>
            <w:vAlign w:val="center"/>
          </w:tcPr>
          <w:p>
            <w:pPr>
              <w:pStyle w:val="TableContents"/>
              <w:bidi w:val="0"/>
              <w:spacing w:before="0" w:after="0"/>
              <w:jc w:val="left"/>
              <w:rPr>
                <w:spacing w:val="0"/>
              </w:rPr>
            </w:pPr>
            <w:r>
              <w:rPr>
                <w:spacing w:val="0"/>
              </w:rPr>
              <w:t>  </w:t>
            </w:r>
          </w:p>
        </w:tc>
        <w:tc>
          <w:tcPr>
            <w:tcW w:w="94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74"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74"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7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Standard products business</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4,007</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4,494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8,026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8,362</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7,715</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9,014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13,349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19,348</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784" w:type="dxa"/>
            <w:tcBorders/>
            <w:vAlign w:val="center"/>
          </w:tcPr>
          <w:p>
            <w:pPr>
              <w:pStyle w:val="TableContents"/>
              <w:bidi w:val="0"/>
              <w:spacing w:before="0" w:after="0"/>
              <w:jc w:val="left"/>
              <w:rPr>
                <w:bdr w:val="single" w:sz="2" w:space="1" w:color="000000"/>
              </w:rPr>
            </w:pPr>
            <w:r>
              <w:rPr>
                <w:bdr w:val="single" w:sz="2" w:space="1" w:color="000000"/>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78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11,722</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13,508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21,375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27,710</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(121</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(806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(2,078</w:t>
            </w:r>
          </w:p>
        </w:tc>
        <w:tc>
          <w:tcPr>
            <w:tcW w:w="17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784" w:type="dxa"/>
            <w:tcBorders/>
            <w:vAlign w:val="center"/>
          </w:tcPr>
          <w:p>
            <w:pPr>
              <w:pStyle w:val="TableContents"/>
              <w:bidi w:val="0"/>
              <w:spacing w:before="0" w:after="0"/>
              <w:jc w:val="left"/>
              <w:rPr>
                <w:bdr w:val="single" w:sz="2" w:space="1" w:color="000000"/>
              </w:rPr>
            </w:pPr>
            <w:r>
              <w:rPr>
                <w:bdr w:val="single" w:sz="2" w:space="1" w:color="000000"/>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78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11,601</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13,538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20,569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25,632</w:t>
            </w:r>
          </w:p>
        </w:tc>
        <w:tc>
          <w:tcPr>
            <w:tcW w:w="170"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784" w:type="dxa"/>
            <w:tcBorders/>
            <w:vAlign w:val="center"/>
          </w:tcPr>
          <w:p>
            <w:pPr>
              <w:pStyle w:val="TableContents"/>
              <w:bidi w:val="0"/>
              <w:spacing w:before="0" w:after="0"/>
              <w:jc w:val="left"/>
              <w:rPr>
                <w:bdr w:val="double" w:sz="6" w:space="1" w:color="000000"/>
              </w:rPr>
            </w:pPr>
            <w:r>
              <w:rPr>
                <w:bdr w:val="double" w:sz="6" w:space="1" w:color="000000"/>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78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2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following is a summary of net sales—standard products business (which does not include the Transitional Fab 3 Foundry Services) by geographic region, based on the location to which the products are billed (in thousands): </w:t>
      </w:r>
    </w:p>
    <w:p>
      <w:pPr>
        <w:pStyle w:val="TextBody"/>
        <w:bidi w:val="0"/>
        <w:spacing w:before="0" w:after="0"/>
        <w:jc w:val="left"/>
        <w:rPr>
          <w:spacing w:val="0"/>
          <w:shd w:fill="FFFFFF" w:val="clear"/>
        </w:rPr>
      </w:pPr>
      <w:r>
        <w:rPr>
          <w:spacing w:val="0"/>
          <w:shd w:fill="FFFFFF" w:val="clear"/>
        </w:rPr>
        <w:t> </w:t>
      </w:r>
    </w:p>
    <w:tbl>
      <w:tblPr>
        <w:tblW w:w="7086" w:type="dxa"/>
        <w:jc w:val="left"/>
        <w:tblInd w:w="0" w:type="dxa"/>
        <w:tblLayout w:type="fixed"/>
        <w:tblCellMar>
          <w:top w:w="0" w:type="dxa"/>
          <w:left w:w="0" w:type="dxa"/>
          <w:bottom w:w="0" w:type="dxa"/>
          <w:right w:w="0" w:type="dxa"/>
        </w:tblCellMar>
      </w:tblPr>
      <w:tblGrid>
        <w:gridCol w:w="2510"/>
        <w:gridCol w:w="120"/>
        <w:gridCol w:w="170"/>
        <w:gridCol w:w="825"/>
        <w:gridCol w:w="72"/>
        <w:gridCol w:w="145"/>
        <w:gridCol w:w="170"/>
        <w:gridCol w:w="825"/>
        <w:gridCol w:w="60"/>
        <w:gridCol w:w="120"/>
        <w:gridCol w:w="149"/>
        <w:gridCol w:w="725"/>
        <w:gridCol w:w="60"/>
        <w:gridCol w:w="120"/>
        <w:gridCol w:w="140"/>
        <w:gridCol w:w="800"/>
        <w:gridCol w:w="75"/>
      </w:tblGrid>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07" w:type="dxa"/>
            <w:gridSpan w:val="6"/>
            <w:tcBorders/>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94" w:type="dxa"/>
            <w:gridSpan w:val="6"/>
            <w:tcBorders/>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0"/>
              <w:jc w:val="left"/>
              <w:rPr>
                <w:spacing w:val="0"/>
              </w:rPr>
            </w:pPr>
            <w:r>
              <w:rPr>
                <w:spacing w:val="0"/>
              </w:rPr>
              <w:t> </w:t>
            </w:r>
          </w:p>
        </w:tc>
      </w:tr>
      <w:tr>
        <w:trPr/>
        <w:tc>
          <w:tcPr>
            <w:tcW w:w="25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9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74"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spacing w:val="0"/>
              </w:rPr>
            </w:pPr>
            <w:r>
              <w:rPr>
                <w:spacing w:val="0"/>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20,033</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14,394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38,177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30,890</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29,222</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35,024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54,887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66,925</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308</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236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646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1,281</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1,272</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1,721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2,666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3,793</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82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single" w:sz="2" w:space="1" w:color="000000"/>
              </w:rPr>
            </w:pPr>
            <w:r>
              <w:rPr>
                <w:bdr w:val="single" w:sz="2" w:space="1" w:color="000000"/>
              </w:rPr>
              <w:t> </w:t>
            </w:r>
          </w:p>
        </w:tc>
        <w:tc>
          <w:tcPr>
            <w:tcW w:w="72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50,835</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51,375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96,376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102,889</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825"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82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bdr w:val="double" w:sz="6" w:space="1" w:color="000000"/>
              </w:rPr>
            </w:pPr>
            <w:r>
              <w:rPr>
                <w:bdr w:val="double" w:sz="6" w:space="1" w:color="000000"/>
              </w:rPr>
              <w:t> </w:t>
            </w:r>
          </w:p>
        </w:tc>
        <w:tc>
          <w:tcPr>
            <w:tcW w:w="72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months ended June 30, 2024 and 2023, of the Company’s net sales – standard products business in Asia Pacific (other than Korea), net sales – standard products business in China and Hong Kong together represented 73.2% and 67.5%, respectively, and net sales—standard products business in Vietnam represented 9.0% and 11.3%, respectively. For the six months ended June 30, 2024 and 2023, of the Company’s net sales – standard products business in Asia Pacific (other than Korea), net sales – standard products business in China and Hong Kong represented 73.1% and 62.9%, respectively, and net sales—standard products business in Vietnam represented 7.5% and 14.4%,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Net sales from the Company’s top ten largest customers in the standard products business (which does not include the Transitional Fab 3 Foundry Services) accounted for 75% and 72% for the three months ended June 30, 2024 and 2023, respectively, and 73% and 70% for the six months ended June 30, 2024 and 2023,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months ended June 30, 2024, the Company had two customers that represented 21.4% and 12.8% of its net sales—standard products business, respectively. For the six months ended June 30, 2024, the Company had two customers that represented 23.0% and 11.2% of its net sales—standard products business, respectively. For the three months ended June 30, 2023, the Company had two customers that represented 15.1% and 13.5% of its net sales—standard products business, respectively. For the six months ended June 30, 2023, the Company had two customers that represented 15.0% and 14.4% of its net sales—standard products business,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June 30, 2024, one customer of the Company’s standard products business accounted for 41.4% of its accounts receivable – standard products business (which does not include the Transitional Fab 3 Foundry Services). As of December 31, 2023, three customers of the Company’s standard products business accounted for 34.9%, 14.4% and 13.9% of its accounts receivable – standard products business (which does not include the Transitional Fab 3 Foundry Services),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13. Accumulated Other Comprehensive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Accumulated other comprehensive loss consists of the following as of June 30, 2024 and December 31, 2023, respectively (in thousands): </w:t>
      </w:r>
    </w:p>
    <w:p>
      <w:pPr>
        <w:pStyle w:val="TextBody"/>
        <w:bidi w:val="0"/>
        <w:spacing w:before="0" w:after="0"/>
        <w:ind w:left="0" w:right="0" w:hanging="0"/>
        <w:jc w:val="left"/>
        <w:rPr>
          <w:spacing w:val="0"/>
          <w:shd w:fill="FFFFFF" w:val="clear"/>
        </w:rPr>
      </w:pPr>
      <w:r>
        <w:rPr>
          <w:spacing w:val="0"/>
          <w:shd w:fill="FFFFFF" w:val="clear"/>
        </w:rPr>
        <w:t> </w:t>
      </w:r>
    </w:p>
    <w:tbl>
      <w:tblPr>
        <w:tblW w:w="6224" w:type="dxa"/>
        <w:jc w:val="left"/>
        <w:tblInd w:w="0" w:type="dxa"/>
        <w:tblLayout w:type="fixed"/>
        <w:tblCellMar>
          <w:top w:w="0" w:type="dxa"/>
          <w:left w:w="0" w:type="dxa"/>
          <w:bottom w:w="0" w:type="dxa"/>
          <w:right w:w="0" w:type="dxa"/>
        </w:tblCellMar>
      </w:tblPr>
      <w:tblGrid>
        <w:gridCol w:w="3350"/>
        <w:gridCol w:w="120"/>
        <w:gridCol w:w="140"/>
        <w:gridCol w:w="755"/>
        <w:gridCol w:w="155"/>
        <w:gridCol w:w="120"/>
        <w:gridCol w:w="220"/>
        <w:gridCol w:w="1194"/>
        <w:gridCol w:w="170"/>
      </w:tblGrid>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(20,436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(15,348</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691</w:t>
            </w:r>
          </w:p>
        </w:tc>
        <w:tc>
          <w:tcPr>
            <w:tcW w:w="17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(20,571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(14,657</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accumulated other comprehensive loss for the three months ended June 30, 2024 and 2023 are as follows (in thousands): </w:t>
      </w:r>
    </w:p>
    <w:p>
      <w:pPr>
        <w:pStyle w:val="TextBody"/>
        <w:bidi w:val="0"/>
        <w:spacing w:before="0" w:after="0"/>
        <w:ind w:left="0" w:right="0" w:hanging="0"/>
        <w:jc w:val="left"/>
        <w:rPr>
          <w:spacing w:val="0"/>
          <w:shd w:fill="FFFFFF" w:val="clear"/>
        </w:rPr>
      </w:pPr>
      <w:r>
        <w:rPr>
          <w:spacing w:val="0"/>
          <w:shd w:fill="FFFFFF" w:val="clea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94"/>
        <w:gridCol w:w="956"/>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Three Months Ended June 30, 2024</w:t>
            </w:r>
          </w:p>
        </w:tc>
        <w:tc>
          <w:tcPr>
            <w:tcW w:w="120" w:type="dxa"/>
            <w:tcBorders/>
            <w:vAlign w:val="center"/>
          </w:tcPr>
          <w:p>
            <w:pPr>
              <w:pStyle w:val="TableContents"/>
              <w:bidi w:val="0"/>
              <w:spacing w:before="0" w:after="0"/>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Foreign</w:t>
            </w:r>
          </w:p>
          <w:p>
            <w:pPr>
              <w:pStyle w:val="TableContents"/>
              <w:bidi w:val="0"/>
              <w:spacing w:before="0" w:after="0"/>
              <w:jc w:val="center"/>
              <w:rPr/>
            </w:pPr>
            <w:r>
              <w:rPr/>
            </w:r>
          </w:p>
          <w:p>
            <w:pPr>
              <w:pStyle w:val="TableContents"/>
              <w:bidi w:val="0"/>
              <w:spacing w:before="0" w:after="0"/>
              <w:jc w:val="center"/>
              <w:rPr>
                <w:b/>
                <w:spacing w:val="0"/>
              </w:rPr>
            </w:pPr>
            <w:r>
              <w:rPr>
                <w:b/>
                <w:spacing w:val="0"/>
              </w:rPr>
              <w:t>currency</w:t>
            </w:r>
          </w:p>
          <w:p>
            <w:pPr>
              <w:pStyle w:val="TableContents"/>
              <w:bidi w:val="0"/>
              <w:spacing w:before="0" w:after="0"/>
              <w:jc w:val="center"/>
              <w:rPr/>
            </w:pPr>
            <w:r>
              <w:rPr/>
            </w:r>
          </w:p>
          <w:p>
            <w:pPr>
              <w:pStyle w:val="TableContents"/>
              <w:bidi w:val="0"/>
              <w:spacing w:before="0" w:after="0"/>
              <w:jc w:val="center"/>
              <w:rPr>
                <w:b/>
                <w:spacing w:val="0"/>
              </w:rPr>
            </w:pPr>
            <w:r>
              <w:rPr>
                <w:b/>
                <w:spacing w:val="0"/>
              </w:rPr>
              <w:t>translation</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Derivative</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0"/>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(18,845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145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(18,700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(807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(2,398</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527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527</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pPr>
            <w:r>
              <w:rPr/>
              <w:t>(280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(1,871</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single" w:sz="2" w:space="1" w:color="000000"/>
              </w:rPr>
            </w:pPr>
            <w:r>
              <w:rPr>
                <w:bdr w:val="single" w:sz="2" w:space="1" w:color="000000"/>
              </w:rPr>
              <w:t> </w:t>
            </w:r>
          </w:p>
        </w:tc>
        <w:tc>
          <w:tcPr>
            <w:tcW w:w="95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(20,436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(135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(20,571</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bdr w:val="double" w:sz="6" w:space="1" w:color="000000"/>
              </w:rPr>
            </w:pPr>
            <w:r>
              <w:rPr>
                <w:bdr w:val="double" w:sz="6" w:space="1" w:color="000000"/>
              </w:rPr>
              <w:t> </w:t>
            </w:r>
          </w:p>
        </w:tc>
        <w:tc>
          <w:tcPr>
            <w:tcW w:w="95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Three Months Ended June 30, 2023</w:t>
            </w:r>
          </w:p>
        </w:tc>
        <w:tc>
          <w:tcPr>
            <w:tcW w:w="120" w:type="dxa"/>
            <w:tcBorders/>
            <w:vAlign w:val="center"/>
          </w:tcPr>
          <w:p>
            <w:pPr>
              <w:pStyle w:val="TableContents"/>
              <w:bidi w:val="0"/>
              <w:spacing w:before="0" w:after="0"/>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Foreign</w:t>
            </w:r>
          </w:p>
          <w:p>
            <w:pPr>
              <w:pStyle w:val="TableContents"/>
              <w:bidi w:val="0"/>
              <w:spacing w:before="0" w:after="0"/>
              <w:jc w:val="center"/>
              <w:rPr/>
            </w:pPr>
            <w:r>
              <w:rPr/>
            </w:r>
          </w:p>
          <w:p>
            <w:pPr>
              <w:pStyle w:val="TableContents"/>
              <w:bidi w:val="0"/>
              <w:spacing w:before="0" w:after="0"/>
              <w:jc w:val="center"/>
              <w:rPr>
                <w:b/>
                <w:spacing w:val="0"/>
              </w:rPr>
            </w:pPr>
            <w:r>
              <w:rPr>
                <w:b/>
                <w:spacing w:val="0"/>
              </w:rPr>
              <w:t>currency</w:t>
            </w:r>
          </w:p>
          <w:p>
            <w:pPr>
              <w:pStyle w:val="TableContents"/>
              <w:bidi w:val="0"/>
              <w:spacing w:before="0" w:after="0"/>
              <w:jc w:val="center"/>
              <w:rPr/>
            </w:pPr>
            <w:r>
              <w:rPr/>
            </w:r>
          </w:p>
          <w:p>
            <w:pPr>
              <w:pStyle w:val="TableContents"/>
              <w:bidi w:val="0"/>
              <w:spacing w:before="0" w:after="0"/>
              <w:jc w:val="center"/>
              <w:rPr>
                <w:b/>
                <w:spacing w:val="0"/>
              </w:rPr>
            </w:pPr>
            <w:r>
              <w:rPr>
                <w:b/>
                <w:spacing w:val="0"/>
              </w:rPr>
              <w:t>translation</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Derivative</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0"/>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(13,236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(1,757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(14,993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(2,660</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1,243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868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(1,417</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(15,521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(889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(16,410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Changes in accumulated other comprehensive loss for the six months ended June 30, 2024 and 2023 are as follows (in thousands): </w:t>
      </w:r>
    </w:p>
    <w:p>
      <w:pPr>
        <w:pStyle w:val="TextBody"/>
        <w:bidi w:val="0"/>
        <w:spacing w:before="0" w:after="0"/>
        <w:jc w:val="left"/>
        <w:rPr>
          <w:shd w:fill="FFFFFF" w:val="clear"/>
        </w:rPr>
      </w:pPr>
      <w:r>
        <w:rPr>
          <w:shd w:fill="FFFFFF" w:val="clea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Six Months Ended June 30, 2024</w:t>
            </w:r>
          </w:p>
        </w:tc>
        <w:tc>
          <w:tcPr>
            <w:tcW w:w="120" w:type="dxa"/>
            <w:tcBorders/>
            <w:vAlign w:val="center"/>
          </w:tcPr>
          <w:p>
            <w:pPr>
              <w:pStyle w:val="TableContents"/>
              <w:bidi w:val="0"/>
              <w:spacing w:before="0" w:after="0"/>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Foreign</w:t>
            </w:r>
          </w:p>
          <w:p>
            <w:pPr>
              <w:pStyle w:val="TableContents"/>
              <w:bidi w:val="0"/>
              <w:spacing w:before="0" w:after="0"/>
              <w:jc w:val="center"/>
              <w:rPr/>
            </w:pPr>
            <w:r>
              <w:rPr/>
            </w:r>
          </w:p>
          <w:p>
            <w:pPr>
              <w:pStyle w:val="TableContents"/>
              <w:bidi w:val="0"/>
              <w:spacing w:before="0" w:after="0"/>
              <w:jc w:val="center"/>
              <w:rPr>
                <w:b/>
                <w:spacing w:val="0"/>
              </w:rPr>
            </w:pPr>
            <w:r>
              <w:rPr>
                <w:b/>
                <w:spacing w:val="0"/>
              </w:rPr>
              <w:t>currency</w:t>
            </w:r>
          </w:p>
          <w:p>
            <w:pPr>
              <w:pStyle w:val="TableContents"/>
              <w:bidi w:val="0"/>
              <w:spacing w:before="0" w:after="0"/>
              <w:jc w:val="center"/>
              <w:rPr/>
            </w:pPr>
            <w:r>
              <w:rPr/>
            </w:r>
          </w:p>
          <w:p>
            <w:pPr>
              <w:pStyle w:val="TableContents"/>
              <w:bidi w:val="0"/>
              <w:spacing w:before="0" w:after="0"/>
              <w:jc w:val="center"/>
              <w:rPr>
                <w:b/>
                <w:spacing w:val="0"/>
              </w:rPr>
            </w:pPr>
            <w:r>
              <w:rPr>
                <w:b/>
                <w:spacing w:val="0"/>
              </w:rPr>
              <w:t>translation</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Derivative</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0"/>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(15,348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691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(14,657</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(5,088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(1,412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(6,500</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586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586</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(5,088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(826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(5,914</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(20,436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(20,571</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Six Months Ended June 30, 2023</w:t>
            </w:r>
          </w:p>
        </w:tc>
        <w:tc>
          <w:tcPr>
            <w:tcW w:w="120" w:type="dxa"/>
            <w:tcBorders/>
            <w:vAlign w:val="center"/>
          </w:tcPr>
          <w:p>
            <w:pPr>
              <w:pStyle w:val="TableContents"/>
              <w:bidi w:val="0"/>
              <w:spacing w:before="0" w:after="0"/>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Foreign</w:t>
            </w:r>
          </w:p>
          <w:p>
            <w:pPr>
              <w:pStyle w:val="TableContents"/>
              <w:bidi w:val="0"/>
              <w:spacing w:before="0" w:after="0"/>
              <w:jc w:val="center"/>
              <w:rPr/>
            </w:pPr>
            <w:r>
              <w:rPr/>
            </w:r>
          </w:p>
          <w:p>
            <w:pPr>
              <w:pStyle w:val="TableContents"/>
              <w:bidi w:val="0"/>
              <w:spacing w:before="0" w:after="0"/>
              <w:jc w:val="center"/>
              <w:rPr>
                <w:b/>
                <w:spacing w:val="0"/>
              </w:rPr>
            </w:pPr>
            <w:r>
              <w:rPr>
                <w:b/>
                <w:spacing w:val="0"/>
              </w:rPr>
              <w:t>currency</w:t>
            </w:r>
          </w:p>
          <w:p>
            <w:pPr>
              <w:pStyle w:val="TableContents"/>
              <w:bidi w:val="0"/>
              <w:spacing w:before="0" w:after="0"/>
              <w:jc w:val="center"/>
              <w:rPr/>
            </w:pPr>
            <w:r>
              <w:rPr/>
            </w:r>
          </w:p>
          <w:p>
            <w:pPr>
              <w:pStyle w:val="TableContents"/>
              <w:bidi w:val="0"/>
              <w:spacing w:before="0" w:after="0"/>
              <w:jc w:val="center"/>
              <w:rPr>
                <w:b/>
                <w:spacing w:val="0"/>
              </w:rPr>
            </w:pPr>
            <w:r>
              <w:rPr>
                <w:b/>
                <w:spacing w:val="0"/>
              </w:rPr>
              <w:t>translation</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Derivative</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0"/>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(11,328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(1,225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(12,553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(4,193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(1,510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(5,703</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1,846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1,846</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(4,193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(3,857</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(15,521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(889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(16,410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14. Stock Repurchases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Expanded Stock Repurchase Program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August 31, 2022, the Board of Directors authorized an expansion of the Company’s previously announced stock repurchase program from $75 million to $87.5 million of its common stock. The Company has already repurchased shares worth $37.5 million under the program through an accelerated stock repurchase agreement on December 21, 2021 with JPMorgan Chase Bank, National Association. The remaining $50 million of the expanded $87.5 million program was planned to be repurchased in the open market or through privately negotiated transactions.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From September 2022 to December 2022, the Company repurchased 1,235,650 shares of its common stock in the open market for an aggregate purchase price of $12.5 million and a weighted average price per share of $10.13 under the stock repurchase program.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first half of 2023, the Company repurchased 3,705,443 shares of its common stock in the open market for an aggregate purchase price of $37.4 million and a weighted average price per share of $10.10 under the expanded stock repurchase program. As of the end of June 2023, the Company had completed the repurchase of its common stock under its expanded stock repurchase program.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New Stock Repurchase Program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July 19, 2023, the Board of Directors authorized a new $50 million stock buyback program. Purchases have been and will be made in the open market or in privately negotiated transactions, depending upon market conditions and other factors.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From August 2023 to December 2023, the Company repurchased 1,730,173 shares of its common stock in the open market for an aggregate purchase price of $13.6 million and a weighted average price per share of $7.84 under the new stock repurchase program.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first half of 2024, the Company repurchased 1,097,435 shares of its common stock in the open market for an aggregate purchase price of $6.4 million and a weighted average price per share of $5.86 under the new stock repurchase program.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July 2024, the Company repurchased 350,465 shares of its common stock in the open market for an aggregate purchase price of $1.7 million and a weighted average price per share of $4.91 under the new stock repurchase program.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15. Loss Per Share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illustrates the computation of basic and diluted loss per common share for the three and six months ended June 30, 2024 and 2023: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4130"/>
        <w:gridCol w:w="120"/>
        <w:gridCol w:w="140"/>
        <w:gridCol w:w="1100"/>
        <w:gridCol w:w="155"/>
        <w:gridCol w:w="120"/>
        <w:gridCol w:w="140"/>
        <w:gridCol w:w="1100"/>
        <w:gridCol w:w="155"/>
        <w:gridCol w:w="120"/>
        <w:gridCol w:w="140"/>
        <w:gridCol w:w="1100"/>
        <w:gridCol w:w="155"/>
        <w:gridCol w:w="120"/>
        <w:gridCol w:w="140"/>
        <w:gridCol w:w="1100"/>
        <w:gridCol w:w="170"/>
      </w:tblGrid>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755" w:type="dxa"/>
            <w:gridSpan w:val="6"/>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755" w:type="dxa"/>
            <w:gridSpan w:val="6"/>
            <w:tcBorders/>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0"/>
              <w:jc w:val="left"/>
              <w:rPr/>
            </w:pPr>
            <w:r>
              <w:rPr/>
              <w:t> </w:t>
            </w:r>
          </w:p>
        </w:tc>
      </w:tr>
      <w:tr>
        <w:trPr/>
        <w:tc>
          <w:tcPr>
            <w:tcW w:w="4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pPr>
            <w:r>
              <w:rPr/>
              <w:t> </w:t>
            </w:r>
          </w:p>
        </w:tc>
      </w:tr>
      <w:tr>
        <w:trPr/>
        <w:tc>
          <w:tcPr>
            <w:tcW w:w="4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5785" w:type="dxa"/>
            <w:gridSpan w:val="14"/>
            <w:tcBorders/>
            <w:vAlign w:val="center"/>
          </w:tcPr>
          <w:p>
            <w:pPr>
              <w:pStyle w:val="TableContents"/>
              <w:bidi w:val="0"/>
              <w:spacing w:before="0" w:after="0"/>
              <w:jc w:val="center"/>
              <w:rPr>
                <w:b/>
                <w:spacing w:val="0"/>
              </w:rPr>
            </w:pPr>
            <w:r>
              <w:rPr>
                <w:b/>
                <w:spacing w:val="0"/>
              </w:rPr>
              <w:t>(In thousands of U.S. dollars, except share data)</w:t>
            </w:r>
          </w:p>
        </w:tc>
        <w:tc>
          <w:tcPr>
            <w:tcW w:w="170" w:type="dxa"/>
            <w:tcBorders/>
            <w:vAlign w:val="center"/>
          </w:tcPr>
          <w:p>
            <w:pPr>
              <w:pStyle w:val="TableContents"/>
              <w:bidi w:val="0"/>
              <w:spacing w:before="0" w:after="0"/>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Basic loss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(12,997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(3,947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(28,414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(25,417</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38,174,920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41,741,310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38,359,851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42,561,514</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loss per common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(0.60</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Diluted loss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(12,997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(3,947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(28,414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(25,417</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38,174,920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41,741,310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38,359,851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42,561,514</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effect of dilutive equity awards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38,174,920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41,741,310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38,359,851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42,561,514</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loss per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(0.60</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Diluted loss per share adjusts basic loss per share for the potentially dilutive impact of stock options and restricted stock units. As the Company has reported loss for the three and six months ended June 30, 2024 and 2023, all potentially dilutive securities are antidilutive and accordingly not considered, therefore basic net loss per share equals diluted net loss per share.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outstanding instruments were excluded from the computation of diluted loss per share, as they have an anti-dilutive effect on the calculation: </w:t>
      </w:r>
    </w:p>
    <w:p>
      <w:pPr>
        <w:pStyle w:val="TextBody"/>
        <w:bidi w:val="0"/>
        <w:spacing w:before="0" w:after="0"/>
        <w:ind w:left="0" w:right="0" w:hanging="0"/>
        <w:jc w:val="left"/>
        <w:rPr>
          <w:spacing w:val="0"/>
          <w:shd w:fill="FFFFFF" w:val="clear"/>
        </w:rPr>
      </w:pPr>
      <w:r>
        <w:rPr>
          <w:spacing w:val="0"/>
          <w:shd w:fill="FFFFFF" w:val="clear"/>
        </w:rPr>
        <w:t> </w:t>
      </w:r>
    </w:p>
    <w:tbl>
      <w:tblPr>
        <w:tblW w:w="6745" w:type="dxa"/>
        <w:jc w:val="left"/>
        <w:tblInd w:w="0" w:type="dxa"/>
        <w:tblLayout w:type="fixed"/>
        <w:tblCellMar>
          <w:top w:w="0" w:type="dxa"/>
          <w:left w:w="0" w:type="dxa"/>
          <w:bottom w:w="0" w:type="dxa"/>
          <w:right w:w="0" w:type="dxa"/>
        </w:tblCellMar>
      </w:tblPr>
      <w:tblGrid>
        <w:gridCol w:w="1850"/>
        <w:gridCol w:w="120"/>
        <w:gridCol w:w="60"/>
        <w:gridCol w:w="980"/>
        <w:gridCol w:w="60"/>
        <w:gridCol w:w="120"/>
        <w:gridCol w:w="60"/>
        <w:gridCol w:w="980"/>
        <w:gridCol w:w="60"/>
        <w:gridCol w:w="120"/>
        <w:gridCol w:w="60"/>
        <w:gridCol w:w="980"/>
        <w:gridCol w:w="60"/>
        <w:gridCol w:w="120"/>
        <w:gridCol w:w="60"/>
        <w:gridCol w:w="980"/>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60" w:type="dxa"/>
            <w:gridSpan w:val="6"/>
            <w:tcBorders/>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60" w:type="dxa"/>
            <w:gridSpan w:val="6"/>
            <w:tcBorders/>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0"/>
              <w:jc w:val="left"/>
              <w:rPr/>
            </w:pPr>
            <w:r>
              <w:rPr/>
              <w:t> </w:t>
            </w:r>
          </w:p>
        </w:tc>
      </w:tr>
      <w:tr>
        <w:trPr/>
        <w:tc>
          <w:tcPr>
            <w:tcW w:w="18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0"/>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757,158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903,558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757,158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903,558</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2,476,131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1,538,791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2,476,131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1,538,791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16. Commitments and Contingencies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Advances to Suppliers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from time to time, may make advances in form of prepayments or deposits to suppliers, including external foundries, to meet its planned production. The Company recorded advances of $2,428 thousand and $3,883 thousand as other current assets as of June 30, 2024 and December 31, 2023,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17. Subsequent Events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Derivative contracts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2024, the Company and SC entered into derivative contracts of zero cost collars for the period from April 2025 to June 2025. The total notional amounts are $9,000 thousand.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July 2024, the Company and NFIK entered into derivative contracts of zero cost collars for the period from July 2025 to September 2025. The total notional amounts are $9,000 thousand.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FORWARD LOOKING STATEMENTS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This Quarterly Report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10-Q</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our fiscal year ended December 31, 2023 filed on March 8, 2024 (“2023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Statements made in this Report, unless the context otherwise requires, that include the use of the terms “we,” “us,” “our” and “Magnachip” refer to Magnachip Semiconductor Corporation and its consolidated subsidiaries. The term “Korea” refers to the Republic of Korea or South Korea. </w:t>
      </w:r>
    </w:p>
    <w:p>
      <w:pPr>
        <w:pStyle w:val="TextBody"/>
        <w:bidi w:val="0"/>
        <w:spacing w:before="0" w:after="0"/>
        <w:ind w:left="0" w:right="0" w:hanging="0"/>
        <w:jc w:val="left"/>
        <w:rPr>
          <w:spacing w:val="0"/>
          <w:shd w:fill="FFFFFF" w:val="clear"/>
        </w:rPr>
      </w:pPr>
      <w:r>
        <w:rPr>
          <w:spacing w:val="0"/>
          <w:shd w:fill="FFFFFF" w:val="clear"/>
        </w:rPr>
        <w:t> </w:t>
      </w:r>
    </w:p>
    <w:p>
      <w:pPr>
        <w:pStyle w:val="TextBody"/>
        <w:bidi w:val="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 xml:space="preserve">24 </w:t>
      </w:r>
      <w:r>
        <w:br w:type="page"/>
      </w:r>
    </w:p>
    <w:p>
      <w:pPr>
        <w:pStyle w:val="HorizontalLine"/>
        <w:bidi w:val="0"/>
        <w:jc w:val="left"/>
        <w:rPr/>
      </w:pPr>
      <w:r>
        <w:rPr/>
      </w:r>
    </w:p>
    <w:tbl>
      <w:tblPr>
        <w:tblW w:w="8260" w:type="dxa"/>
        <w:jc w:val="left"/>
        <w:tblInd w:w="0" w:type="dxa"/>
        <w:tblLayout w:type="fixed"/>
        <w:tblCellMar>
          <w:top w:w="0" w:type="dxa"/>
          <w:left w:w="0" w:type="dxa"/>
          <w:bottom w:w="0" w:type="dxa"/>
          <w:right w:w="0" w:type="dxa"/>
        </w:tblCellMar>
      </w:tblPr>
      <w:tblGrid>
        <w:gridCol w:w="725"/>
        <w:gridCol w:w="7535"/>
      </w:tblGrid>
      <w:tr>
        <w:trPr/>
        <w:tc>
          <w:tcPr>
            <w:tcW w:w="725" w:type="dxa"/>
            <w:tcBorders/>
            <w:vAlign w:val="center"/>
          </w:tcPr>
          <w:p>
            <w:pPr>
              <w:pStyle w:val="TableContents"/>
              <w:bidi w:val="0"/>
              <w:spacing w:before="0" w:after="283"/>
              <w:jc w:val="left"/>
              <w:rPr>
                <w:b/>
              </w:rPr>
            </w:pPr>
            <w:bookmarkStart w:id="4" w:name="tx820102_9"/>
            <w:bookmarkEnd w:id="4"/>
            <w:r>
              <w:rPr>
                <w:b/>
              </w:rPr>
              <w:t>Item 2.</w:t>
            </w:r>
          </w:p>
        </w:tc>
        <w:tc>
          <w:tcPr>
            <w:tcW w:w="75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p>
        </w:tc>
      </w:tr>
    </w:tbl>
    <w:p>
      <w:pPr>
        <w:pStyle w:val="TextBody"/>
        <w:bidi w:val="0"/>
        <w:spacing w:before="120" w:after="0"/>
        <w:jc w:val="left"/>
        <w:rPr>
          <w:rFonts w:ascii="Times New Roman" w:hAnsi="Times New Roman"/>
          <w:sz w:val="20"/>
        </w:rPr>
      </w:pPr>
      <w:r>
        <w:rPr>
          <w:rFonts w:ascii="Times New Roman" w:hAnsi="Times New Roman"/>
          <w:i/>
          <w:sz w:val="20"/>
        </w:rPr>
        <w:t>The following discussion and analysis should be read in conjunction with the unaudited consolidated financial statements and the related notes included elsewhere in this Report.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designer and manufacturer of analog and mixed-signal semiconductor platform solutions for communication, Internet of Things (“IoT”), consumer, computing, industrial and automotive applications. We have a proven record with more than 40 years of operating history, a portfolio of approximately 1,050 registered patents and pending applications and extensive engineering and manufacturing process expertise. </w:t>
      </w:r>
    </w:p>
    <w:p>
      <w:pPr>
        <w:pStyle w:val="TextBody"/>
        <w:bidi w:val="0"/>
        <w:spacing w:before="240" w:after="0"/>
        <w:jc w:val="left"/>
        <w:rPr>
          <w:rFonts w:ascii="Times New Roman" w:hAnsi="Times New Roman"/>
          <w:sz w:val="20"/>
        </w:rPr>
      </w:pPr>
      <w:r>
        <w:rPr>
          <w:rFonts w:ascii="Times New Roman" w:hAnsi="Times New Roman"/>
          <w:sz w:val="20"/>
        </w:rPr>
        <w:t xml:space="preserve">On May 30, 2023, we announced a plan to regroup the business lines in our standard products business, originally grouped as Display Solutions and Power Solutions business lines, into the following two business lines to better align our product strategies (the “Reorganization”):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(i)</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display integrated circuit (“IC”) and power IC businesses, which are fabless, became the Mixed-Signal Solutions (“MSS”) business line;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(ii)</w:t>
            </w:r>
          </w:p>
        </w:tc>
        <w:tc>
          <w:tcPr>
            <w:tcW w:w="98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power discrete business, which is an integrated device manufacturing (“IDM”) business, became the Power Analog Solutions (“PAS”) business line.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January 10, 2024, we transferred the MSS business line into a newly formed Korean limited liability company named “Magnachip Mixed-Signal, Ltd.” Following the Reorganization, our MSS business line is primarily operated by Magnachip Mixed-Signal, Ltd., and our PAS business line is primarily operated by Magnachip Semiconductor, Ltd., our already existing Korean operating entity. Both entities are indirect wholly owned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MSS business line consist of display IC and power IC businesses. Our display IC products provide flat panel display solutions to major suppliers of large and small flat panel displays. These products include source and gate drivers and timing controllers that cover flat panel displays used in an array of applications, applied with liquid crystal display (“LCD”), organic light emitting diodes (“OLED”) or micro light emitting diode (“Micro LED”). Since 2007, we have designed and manufactured OLED display driver IC products. Our current portfolio of OLED solutions address various resolutions, ranging from HD (High Definition) to UHD (Ultra High Definition), for a wide range of applications, including smartphones, televisions, automotive and IT applications, such as monitors, notebook PCs and tablet PCs, as well as AR/VRs. Our power IC products provide power IC solutions to major television suppliers and large panel display suppliers. These products include AC-DC/DC-DC converters, LED drivers, regulators, power management integrated circuits (“PMICs”) and level shifter for a range of devices, including televisions, wearable devices, notebooks, tablet PCs and others consumer electronics, as well as automotive applications. </w:t>
      </w:r>
    </w:p>
    <w:p>
      <w:pPr>
        <w:pStyle w:val="TextBody"/>
        <w:bidi w:val="0"/>
        <w:spacing w:before="240" w:after="0"/>
        <w:jc w:val="left"/>
        <w:rPr>
          <w:rFonts w:ascii="Times New Roman" w:hAnsi="Times New Roman"/>
          <w:sz w:val="20"/>
        </w:rPr>
      </w:pPr>
      <w:r>
        <w:rPr>
          <w:rFonts w:ascii="Times New Roman" w:hAnsi="Times New Roman"/>
          <w:sz w:val="20"/>
        </w:rPr>
        <w:t xml:space="preserve">Our PAS business line produces power management semiconductor products, including power discrete solutions for power management in communication, consumer, computing, servers, automotive and industrial applications. These products include metal oxide semiconductor field effect transistors (“MOSFETs”) and insulated-gate bipolar transistors (“IGBTs”) for a range of devices, including televisions, smartphones, mobile phones, wearable devices, desktop PCs, notebook PCs, tablet PCs, other consumer electronics, as well as automotive and industrial applications such as power suppliers, e-bikes, solar inverters, LED lighting and motor drives. </w:t>
      </w:r>
    </w:p>
    <w:p>
      <w:pPr>
        <w:pStyle w:val="TextBody"/>
        <w:bidi w:val="0"/>
        <w:spacing w:before="240" w:after="0"/>
        <w:jc w:val="left"/>
        <w:rPr>
          <w:rFonts w:ascii="Times New Roman" w:hAnsi="Times New Roman"/>
          <w:sz w:val="20"/>
        </w:rPr>
      </w:pPr>
      <w:r>
        <w:rPr>
          <w:rFonts w:ascii="Times New Roman" w:hAnsi="Times New Roman"/>
          <w:sz w:val="20"/>
        </w:rPr>
        <w:t xml:space="preserve">Our wide variety of analog and mixed-signal semiconductor products combined with our mature technology platform allow us to address multiple high-growth end markets and rapidly develop and introduce new products and services in response to market demands. Our design center in Korea and substantial global manufacturing operations place us at the core of the global electronics device supply chain. We believe this enables us to quickly and efficiently respond to our customers’ needs, and allows us to better serve and capture additional demand from existing and new customers. Certain of our OLED display driver IC and power IC products are produced using external foundries. Through a strategic cooperation with external foundries, we manage to ensure outsourcing wafers at competitive price and produce quality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 </w:t>
      </w:r>
    </w:p>
    <w:p>
      <w:pPr>
        <w:pStyle w:val="TextBody"/>
        <w:bidi w:val="0"/>
        <w:spacing w:before="240" w:after="0"/>
        <w:jc w:val="left"/>
        <w:rPr>
          <w:rFonts w:ascii="Times New Roman" w:hAnsi="Times New Roman"/>
          <w:sz w:val="20"/>
        </w:rPr>
      </w:pPr>
      <w:r>
        <w:rPr>
          <w:rFonts w:ascii="Times New Roman" w:hAnsi="Times New Roman"/>
          <w:sz w:val="20"/>
        </w:rPr>
        <w:t xml:space="preserve">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 </w:t>
      </w:r>
    </w:p>
    <w:p>
      <w:pPr>
        <w:pStyle w:val="TextBody"/>
        <w:bidi w:val="0"/>
        <w:spacing w:before="240" w:after="0"/>
        <w:jc w:val="left"/>
        <w:rPr>
          <w:rFonts w:ascii="Times New Roman" w:hAnsi="Times New Roman"/>
          <w:sz w:val="20"/>
        </w:rPr>
      </w:pPr>
      <w:r>
        <w:rPr>
          <w:rFonts w:ascii="Times New Roman" w:hAnsi="Times New Roman"/>
          <w:sz w:val="20"/>
        </w:rPr>
        <w:t xml:space="preserve">Demand for our products and services is driven by overall demand for communication, IoT, consumer, industrial and automotive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 </w:t>
      </w:r>
    </w:p>
    <w:p>
      <w:pPr>
        <w:pStyle w:val="TextBody"/>
        <w:bidi w:val="0"/>
        <w:spacing w:before="240" w:after="0"/>
        <w:jc w:val="left"/>
        <w:rPr>
          <w:rFonts w:ascii="Times New Roman" w:hAnsi="Times New Roman"/>
          <w:sz w:val="20"/>
        </w:rPr>
      </w:pPr>
      <w:r>
        <w:rPr>
          <w:rFonts w:ascii="Times New Roman" w:hAnsi="Times New Roman"/>
          <w:sz w:val="20"/>
        </w:rPr>
        <w:t xml:space="preserve">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 </w:t>
      </w:r>
    </w:p>
    <w:p>
      <w:pPr>
        <w:pStyle w:val="TextBody"/>
        <w:bidi w:val="0"/>
        <w:spacing w:before="240" w:after="0"/>
        <w:jc w:val="left"/>
        <w:rPr>
          <w:rFonts w:ascii="Times New Roman" w:hAnsi="Times New Roman"/>
          <w:sz w:val="20"/>
        </w:rPr>
      </w:pPr>
      <w:r>
        <w:rPr>
          <w:rFonts w:ascii="Times New Roman" w:hAnsi="Times New Roman"/>
          <w:sz w:val="20"/>
        </w:rPr>
        <w:t xml:space="preserve">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and 8-inch wafer capacity, such as OLED display driver IC and power IC products. We believe this balanced capital investment strategy enables us to optimize our capital investments and facilitates more diversified product and service offerings. </w:t>
      </w:r>
    </w:p>
    <w:p>
      <w:pPr>
        <w:pStyle w:val="TextBody"/>
        <w:bidi w:val="0"/>
        <w:spacing w:before="240" w:after="0"/>
        <w:jc w:val="left"/>
        <w:rPr>
          <w:rFonts w:ascii="Times New Roman" w:hAnsi="Times New Roman"/>
          <w:sz w:val="20"/>
        </w:rPr>
      </w:pPr>
      <w:r>
        <w:rPr>
          <w:rFonts w:ascii="Times New Roman" w:hAnsi="Times New Roman"/>
          <w:sz w:val="20"/>
        </w:rPr>
        <w:t xml:space="preserve">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ICs and power ICs after the sale of our fabrication facility located in Cheongju, Korea in 2020. This additional source of manufacturing is an increasingly important part of our supply chain management. By outsourcing manufacturing of OLED display driver IC and power IC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particularly during the global shortage of foundry services. Although we work strategically with external foundries to ensure long-term wafer capacity, if these efforts are at any time unsuccessful, our ability to deliver products to our customers may be negatively impacted, which would adversely affect our relationship with customers and opportunities to secure new design-wins.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(“Fab 3 properties”) in favor of KDB.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provides for a working capital term loan (the “Term Loan”) of KRW 40,000,000,000 (approximately $29.8 million based on the KRW/USD exchange rate of 1,340.7:1 as of March 26, 2024 as quoted by KEB Hana Bank), which was funded in full to MSK on March 26, 2024. </w:t>
      </w:r>
    </w:p>
    <w:p>
      <w:pPr>
        <w:pStyle w:val="TextBody"/>
        <w:bidi w:val="0"/>
        <w:spacing w:before="240" w:after="0"/>
        <w:jc w:val="left"/>
        <w:rPr>
          <w:rFonts w:ascii="Times New Roman" w:hAnsi="Times New Roman"/>
          <w:sz w:val="20"/>
        </w:rPr>
      </w:pPr>
      <w:r>
        <w:rPr>
          <w:rFonts w:ascii="Times New Roman" w:hAnsi="Times New Roman"/>
          <w:sz w:val="20"/>
        </w:rPr>
        <w:t xml:space="preserve">The Term Loan bears interest at a variable rate equal to the 3-month 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Stock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On July 19, 2023, our Board of Directors authorized a new $50 million stock buyback program. Purchases have been and will be made in the open market or in privately negotiated transactions, depending upon market conditions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From August 2023 to December 2023, we repurchased 1,730,173 shares of our common stock in the open market for an aggregate purchase price of $13.6 million and a weighted average price per share of $7.84 under the new stock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During the first half of 2024, we repurchased 1,097,435 shares of our common stock in the open market for an aggregate purchase price of $6.4 million and a weighted average price per share of $5.86 under the new stock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In July 2024, the Company repurchased 350,465 shares of its common stock in the open market for an aggregate purchase price of $1.7 million and a weighted average price per share of $4.91 under the new stock repurchase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Macroeconomic Industry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industry continues to face a number of macroeconomic challenges, including rising inflation, increased interest rates, supply chain disruptions, inventory corrections, shifting customer and end-user demand, fluctuations in currency rates, and geopolitical tensions, including without limitation ongoing conflicts involving Russia and Ukraine and Israel and Hamas including sustained military action and conflict in the Red Sea and recent escalations between Iran and Israel, any one of and all of which may cause volatility and unpredictability in the market for semiconductor products and end-user demand. The length and severity of these macroeconomic events and their overall impact on our business, results of operations and financial condition remain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Developments in Export Control Regulations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2022, the Bureau of Industry and Security (BIS)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BIS brought into effect a series of new Foreign Direct Product (FDP) rules and various new controls on advanced computing items, significantly expanding the scope of items that are subject to export control under the U.S. Export Regulations. More recently, on October 25, 2023, BIS published additional rules, which went into effect on November 17, 2023 to expand, clarify, and correct the rules published in October 2022. A further corrected and clarified version of these rules went into effect on April 4, 2024. Based on our understanding of the U.S. Export Regulations and related rules currently in effect, we do not anticipate that they will have a material impact on our current business, but we will continue reviewing and assessing these rules and regulations and their potential impact on our business. Additional changes to the U.S. Export Regulations are expected, but the scope or timing of such changes is unknown. We will continue to monitor such developments, including potential additional trade restrictions, and other regulatory or policy changes by the U.S. and foreign governments.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Explanation and Reconciliation of Non-U.S. GAAP Measures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Adjusted EBITDA, Adjusted Operating Income (Loss) and Adjusted 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We use the terms Adjusted EBITDA, Adjusted Operating Income (Loss) and Adjusted Net Income (Loss) (including on a per share basis) in this Report. Adjusted EBITDA, as we define it, is a non-U.S. GAAP measure. We define Adjusted EBITDA for the periods indicated as EBITDA (as defined below), adjusted to exclude (i) equity-based compensation expense, (ii) foreign currency loss (gain), net, (iii) derivative valuation loss (gain), net and (iv) early termination and other charges. EBITDA for the periods indicated is defined as net income (loss) before interest income, interest expense, income tax benefit, and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See the footnotes to the table below for further information regarding these items. We present Adjusted EBITDA as a supplemental measure of our performance because: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useful for investors, among other reasons, to assess a company’s period-to-period core operating performance and to understand and assess the manner in which management analyzes operating performance.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use Adjusted EBITDA in a number of ways, including: </w:t>
      </w:r>
    </w:p>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planning purposes, including the preparation of our annual operating budget;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evaluate the effectiveness of our enterprise level business strategies;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communications with our Board of Directors concerning our consolidated financial performance; and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certain of our compensation plans as a performance measure for determining incentive compensation payments.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net income (loss) or any other performance measure derived in accordance with U.S. GAAP, or as an alternative to cash flows from operating activities as a measure of liquidity. A reconciliation of net loss to Adjusted EBITDA is as follows: </w:t>
      </w:r>
    </w:p>
    <w:p>
      <w:pPr>
        <w:pStyle w:val="TextBody"/>
        <w:bidi w:val="0"/>
        <w:spacing w:before="0" w:after="0"/>
        <w:jc w:val="left"/>
        <w:rPr/>
      </w:pPr>
      <w:r>
        <w:rPr/>
        <w:t> </w:t>
      </w:r>
    </w:p>
    <w:tbl>
      <w:tblPr>
        <w:tblW w:w="9630" w:type="dxa"/>
        <w:jc w:val="left"/>
        <w:tblInd w:w="0" w:type="dxa"/>
        <w:tblLayout w:type="fixed"/>
        <w:tblCellMar>
          <w:top w:w="0" w:type="dxa"/>
          <w:left w:w="0" w:type="dxa"/>
          <w:bottom w:w="0" w:type="dxa"/>
          <w:right w:w="0" w:type="dxa"/>
        </w:tblCellMar>
      </w:tblPr>
      <w:tblGrid>
        <w:gridCol w:w="3215"/>
        <w:gridCol w:w="120"/>
        <w:gridCol w:w="315"/>
        <w:gridCol w:w="1160"/>
        <w:gridCol w:w="155"/>
        <w:gridCol w:w="120"/>
        <w:gridCol w:w="251"/>
        <w:gridCol w:w="924"/>
        <w:gridCol w:w="155"/>
        <w:gridCol w:w="120"/>
        <w:gridCol w:w="385"/>
        <w:gridCol w:w="1090"/>
        <w:gridCol w:w="155"/>
        <w:gridCol w:w="120"/>
        <w:gridCol w:w="251"/>
        <w:gridCol w:w="924"/>
        <w:gridCol w:w="170"/>
      </w:tblGrid>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June 30,</w:t>
            </w:r>
            <w:r>
              <w:rPr/>
              <w:br/>
            </w: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w:t>
            </w:r>
            <w:r>
              <w:rPr/>
              <w:br/>
            </w:r>
            <w:r>
              <w:rPr>
                <w:b/>
              </w:rPr>
              <w:t>Ended</w:t>
            </w:r>
            <w:r>
              <w:rPr/>
              <w:br/>
            </w:r>
            <w:r>
              <w:rPr>
                <w:b/>
              </w:rPr>
              <w:t>June 30,</w:t>
            </w:r>
            <w:r>
              <w:rPr/>
              <w:br/>
            </w: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June 30,</w:t>
            </w:r>
            <w:r>
              <w:rPr/>
              <w:br/>
            </w: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w:t>
            </w:r>
            <w:r>
              <w:rPr/>
              <w:br/>
            </w:r>
            <w:r>
              <w:rPr>
                <w:b/>
              </w:rPr>
              <w:t>Ended</w:t>
            </w:r>
            <w:r>
              <w:rPr/>
              <w:br/>
            </w:r>
            <w:r>
              <w:rPr>
                <w:b/>
              </w:rPr>
              <w:t>June 30,</w:t>
            </w:r>
            <w:r>
              <w:rPr/>
              <w:br/>
            </w:r>
            <w:r>
              <w:rPr>
                <w:b/>
              </w:rPr>
              <w:t>2023</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25" w:type="dxa"/>
            <w:gridSpan w:val="14"/>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(28.4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(25.4</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(5.5</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0.5</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(4.2</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8.5</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(12.3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(26.6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(26.2</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3.2</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(gain), net(b)</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2.2</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net(c)</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charges(d)</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9.3</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(16.0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(11.5</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92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92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(d)</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six months ended June 30, 2023, this adjustment eliminates the termination related charges of $8.4 million in connection with the voluntary resignation program (the “Program”) that we offered to certain employees during the first quarter of 2023. For the three and six months ended June 30, 2023, this adjustment eliminates $0.8 million of one-time employee incentives. As this adjustment meaningfully impacted our operating results and are not expected to represent an ongoing operating expense or income to us, we believe our operating performance results are more usefully compared if this adjustment is excluded.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Adjusted EBITDA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our cash expenditures, or future requirements, for capital expenditures or contractual commitments;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interest expense, or the cash requirements necessary to service interest or principal payments, on our debt;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need to be replaced in the future, and Adjusted EBITDA does not reflect any cash requirements for such replacements;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consider the potentially dilutive impact of issuing equity-based compensation to our management team and employees;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costs of holding certain assets and liabilities in foreign currencies;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Adjusted EBITDA differently than we do, limiting its usefulness as a comparative measure.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present Adjusted Operating Income (Loss) as supplemental measures of our performance. We prepare Adjusted Operating Income (Loss) by adjusting operating income (loss) to eliminate the impact of equity-based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(loss) from ongoing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Adjusted Operating Income (Loss) is not a measure defined in accordance with U.S. GAAP and should not be construed as an alternative to operating income (loss)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(Loss), you should be aware that in the future we may incur expenses similar to the adjustments in this presentation. We define Adjusted Operating Income (Loss) for the periods indicated as operating income (loss) adjusted to exclude (i) equity-based compensation expense and (ii) early termination and other charges.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adjustments to operating loss that we make in order to calculate Adjusted Operating Loss for the periods indicated: </w:t>
      </w:r>
    </w:p>
    <w:p>
      <w:pPr>
        <w:pStyle w:val="TextBody"/>
        <w:bidi w:val="0"/>
        <w:spacing w:before="0" w:after="0"/>
        <w:jc w:val="left"/>
        <w:rPr/>
      </w:pPr>
      <w:r>
        <w:rPr/>
        <w:t> </w:t>
      </w:r>
    </w:p>
    <w:tbl>
      <w:tblPr>
        <w:tblW w:w="9630" w:type="dxa"/>
        <w:jc w:val="left"/>
        <w:tblInd w:w="0" w:type="dxa"/>
        <w:tblLayout w:type="fixed"/>
        <w:tblCellMar>
          <w:top w:w="0" w:type="dxa"/>
          <w:left w:w="0" w:type="dxa"/>
          <w:bottom w:w="0" w:type="dxa"/>
          <w:right w:w="0" w:type="dxa"/>
        </w:tblCellMar>
      </w:tblPr>
      <w:tblGrid>
        <w:gridCol w:w="3215"/>
        <w:gridCol w:w="120"/>
        <w:gridCol w:w="315"/>
        <w:gridCol w:w="1160"/>
        <w:gridCol w:w="155"/>
        <w:gridCol w:w="120"/>
        <w:gridCol w:w="251"/>
        <w:gridCol w:w="924"/>
        <w:gridCol w:w="155"/>
        <w:gridCol w:w="120"/>
        <w:gridCol w:w="315"/>
        <w:gridCol w:w="1160"/>
        <w:gridCol w:w="155"/>
        <w:gridCol w:w="120"/>
        <w:gridCol w:w="251"/>
        <w:gridCol w:w="924"/>
        <w:gridCol w:w="170"/>
      </w:tblGrid>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June 30,</w:t>
            </w:r>
            <w:r>
              <w:rPr/>
              <w:br/>
            </w: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w:t>
            </w:r>
            <w:r>
              <w:rPr/>
              <w:br/>
            </w:r>
            <w:r>
              <w:rPr>
                <w:b/>
              </w:rPr>
              <w:t>Ended</w:t>
            </w:r>
            <w:r>
              <w:rPr/>
              <w:br/>
            </w:r>
            <w:r>
              <w:rPr>
                <w:b/>
              </w:rPr>
              <w:t>June 30,</w:t>
            </w:r>
            <w:r>
              <w:rPr/>
              <w:br/>
            </w: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June 30,</w:t>
            </w:r>
            <w:r>
              <w:rPr/>
              <w:br/>
            </w: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w:t>
            </w:r>
            <w:r>
              <w:rPr/>
              <w:br/>
            </w:r>
            <w:r>
              <w:rPr>
                <w:b/>
              </w:rPr>
              <w:t>Ended</w:t>
            </w:r>
            <w:r>
              <w:rPr/>
              <w:br/>
            </w:r>
            <w:r>
              <w:rPr>
                <w:b/>
              </w:rPr>
              <w:t>June 30,</w:t>
            </w:r>
            <w:r>
              <w:rPr/>
              <w:br/>
            </w:r>
            <w:r>
              <w:rPr>
                <w:b/>
              </w:rPr>
              <w:t>2023</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25" w:type="dxa"/>
            <w:gridSpan w:val="14"/>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(26.3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(32.5</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3.2</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charges(b)</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9.3</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Operating Loss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(11.6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(24.2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(20.0</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92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92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(b)</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six months ended June 30, 2023, this adjustment eliminates the termination related charges of $8.4 million in connection with the Program that we offered to certain employees during the first quarter of 2023. For the three and six months ended June 30, 2023, this adjustment eliminates $0.8 million of one-time employee incentives. As this adjustment meaningfully impacted our operating results and are not expected to represent an ongoing operating expense or income to us, we believe our operating performance results are more usefully compared if this adjustment is excluded.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present Adjusted Net Income (Loss) (including on a per share basis) as a further supplemental measure of our performance. We prepare Adjusted Net Income (Loss)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Adjusted Net Income (Loss) (including on a per share basis) is not a measure defined in accordance with U.S. GAAP and should not be construed as an alternative to net income (loss)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similar to the adjustments in this presentation. We define Adjusted Net Income (Loss) (including on a per share basis); for the periods indicated as net income (loss), adjusted to exclude (i) equity-based compensation expense, (ii) foreign currency loss (gain), net, (iii) derivative valuation loss (gain), net, (iv) early termination and other charges and (v) income tax effect on non-GAAP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adjustments to net loss that we make in order to calculate Adjusted Net Loss (including on a per share basis) for the periods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60"/>
        <w:gridCol w:w="120"/>
        <w:gridCol w:w="166"/>
        <w:gridCol w:w="1309"/>
        <w:gridCol w:w="155"/>
        <w:gridCol w:w="120"/>
        <w:gridCol w:w="140"/>
        <w:gridCol w:w="1100"/>
        <w:gridCol w:w="155"/>
        <w:gridCol w:w="120"/>
        <w:gridCol w:w="166"/>
        <w:gridCol w:w="1309"/>
        <w:gridCol w:w="155"/>
        <w:gridCol w:w="120"/>
        <w:gridCol w:w="140"/>
        <w:gridCol w:w="1100"/>
        <w:gridCol w:w="170"/>
      </w:tblGrid>
      <w:tr>
        <w:trPr/>
        <w:tc>
          <w:tcPr>
            <w:tcW w:w="3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June 30,</w:t>
            </w:r>
            <w:r>
              <w:rPr/>
              <w:br/>
            </w: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w:t>
            </w:r>
            <w:r>
              <w:rPr/>
              <w:br/>
            </w:r>
            <w:r>
              <w:rPr>
                <w:b/>
              </w:rPr>
              <w:t>Ended</w:t>
            </w:r>
            <w:r>
              <w:rPr/>
              <w:br/>
            </w:r>
            <w:r>
              <w:rPr>
                <w:b/>
              </w:rPr>
              <w:t>June 30,</w:t>
            </w:r>
            <w:r>
              <w:rPr/>
              <w:br/>
            </w: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June 30,</w:t>
            </w:r>
            <w:r>
              <w:rPr/>
              <w:br/>
            </w: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w:t>
            </w:r>
            <w:r>
              <w:rPr/>
              <w:br/>
            </w:r>
            <w:r>
              <w:rPr>
                <w:b/>
              </w:rPr>
              <w:t>Ended</w:t>
            </w:r>
            <w:r>
              <w:rPr/>
              <w:br/>
            </w:r>
            <w:r>
              <w:rPr>
                <w:b/>
              </w:rPr>
              <w:t>June 30,</w:t>
            </w:r>
            <w:r>
              <w:rPr/>
              <w:br/>
            </w:r>
            <w:r>
              <w:rPr>
                <w:b/>
              </w:rPr>
              <w:t>2023</w:t>
            </w:r>
          </w:p>
        </w:tc>
        <w:tc>
          <w:tcPr>
            <w:tcW w:w="170"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55" w:type="dxa"/>
            <w:gridSpan w:val="14"/>
            <w:tcBorders/>
            <w:vAlign w:val="center"/>
          </w:tcPr>
          <w:p>
            <w:pPr>
              <w:pStyle w:val="TableContents"/>
              <w:bidi w:val="0"/>
              <w:spacing w:before="0" w:after="283"/>
              <w:jc w:val="center"/>
              <w:rPr>
                <w:b/>
              </w:rPr>
            </w:pPr>
            <w:r>
              <w:rPr>
                <w:b/>
              </w:rPr>
              <w:t>(Dollars in millions, except per share data)</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(25.4</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(gain), net(b)</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9.3</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effect on non-GAAP adjustments(e)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Net Loss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(12.8</w:t>
            </w:r>
          </w:p>
        </w:tc>
        <w:tc>
          <w:tcPr>
            <w:tcW w:w="170"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Reported loss per share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(0.60</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Reported loss per share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(0.60</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38,174,920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38,359,851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41,741,310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42,561,514</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38,174,920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38,359,851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41,741,310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42,561,514</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per share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(0.30</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per share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(0.30</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38,174,920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38,359,851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41,741,310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42,561,514</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38,174,920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38,359,851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41,741,310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42,561,514</w:t>
            </w:r>
          </w:p>
        </w:tc>
        <w:tc>
          <w:tcPr>
            <w:tcW w:w="17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(d)</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six months ended June 30, 2023, this adjustment eliminates the termination related charges of $8.4 million in connection with the Program that we offered to certain employees during the first quarter of 2023. For the three and six months ended June 30, 2023, this adjustment eliminates $0.8 million of one-time employee incentives. As this adjustment meaningfully impacted our operating results and are not expected to represent an ongoing operating expense or income to us, we believe our operating performance results are more usefully compared if this adjustment is excluded.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(e)</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six months ended June 30, 2024 and 2023, income tax effect on non-GAAP adjustments were calculated by calculating the tax expense (benefit) of each jurisdiction with or without the non-GAAP adjustments. For six months ended June 30, 2024, income tax effect on non-GAAP adjustments related to our Korean subsidiaries and the U.S. parent entity were negative $1.7 million and positive $0.5 million, respectively. For the six months ended June 30, 2023, this adjustment eliminates the income tax effect on non-GAAP adjustments of negative $2.2 million, which mainly related to our then primary operating entity in Korea.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believe that all adjustments to net income (loss) used to calculate Adjusted Net Income (Loss) was applied consistently to the periods presented. </w:t>
      </w:r>
    </w:p>
    <w:p>
      <w:pPr>
        <w:pStyle w:val="TextBody"/>
        <w:bidi w:val="0"/>
        <w:spacing w:before="120" w:after="0"/>
        <w:jc w:val="left"/>
        <w:rPr>
          <w:rFonts w:ascii="Times New Roman" w:hAnsi="Times New Roman"/>
          <w:sz w:val="20"/>
        </w:rPr>
      </w:pPr>
      <w:r>
        <w:rPr>
          <w:rFonts w:ascii="Times New Roman" w:hAnsi="Times New Roman"/>
          <w:sz w:val="20"/>
        </w:rPr>
        <w:t xml:space="preserve">Adjusted Net Income (Loss)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consider the potentially dilutive impact of issuing equity-based compensation to our management team and employees;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reflect the costs of holding certain assets and liabilities in foreign currencies;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Adjusted Net Income (Loss) differently than we do, limiting its usefulness as a comparative measure.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of these limitations, Adjusted Net Income (Loss) should not be considered as a measure of profitability of our business. We compensate for these limitations by relying primarily on our U.S. GAAP results and using Adjusted Net Income (Loss) only as a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Factors Affecting Our Results of Operations </w:t>
      </w:r>
    </w:p>
    <w:p>
      <w:pPr>
        <w:pStyle w:val="TextBody"/>
        <w:bidi w:val="0"/>
        <w:spacing w:before="120" w:after="0"/>
        <w:jc w:val="left"/>
        <w:rPr>
          <w:rFonts w:ascii="Times New Roman" w:hAnsi="Times New Roman"/>
          <w:sz w:val="20"/>
        </w:rPr>
      </w:pPr>
      <w:r>
        <w:rPr>
          <w:rFonts w:ascii="Times New Roman" w:hAnsi="Times New Roman"/>
          <w:b/>
          <w:i/>
          <w:sz w:val="20"/>
        </w:rPr>
        <w:t>Net</w:t>
      </w:r>
      <w:r>
        <w:rPr>
          <w:rFonts w:ascii="Times New Roman" w:hAnsi="Times New Roman"/>
          <w:sz w:val="20"/>
        </w:rPr>
        <w:t xml:space="preserve"> </w:t>
      </w:r>
      <w:r>
        <w:rPr>
          <w:rFonts w:ascii="Times New Roman" w:hAnsi="Times New Roman"/>
          <w:b/>
          <w:i/>
          <w:sz w:val="20"/>
        </w:rPr>
        <w:t>Sales.</w:t>
      </w:r>
      <w:r>
        <w:rPr>
          <w:rFonts w:ascii="Times New Roman" w:hAnsi="Times New Roman"/>
          <w:sz w:val="20"/>
        </w:rPr>
        <w:t xml:space="preserve"> We derive substantially all of our sales (net of sales returns and allowances) from our standard products business. We outsource manufacturing of mobile OLED products to external 12-inch foundries.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 when a customer obtains control of the product, which is generally upon product shipment, delivery at the customer’s location or upon customer acceptance, depending on the terms of the arrangement. For the six months ended June 30, 2024 and 2023, we sold products to 145 and 138 customers, respectively, and our net sales to our ten largest customers represented 73% and 70% of our net sales—standard products business,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in the process of winding down the Transitional Fab 3 Foundry Services, which represented 4.4% and 5.7% of our total revenues for the three and six months ended June 30, 2024, respectively. </w:t>
      </w:r>
    </w:p>
    <w:p>
      <w:pPr>
        <w:pStyle w:val="TextBody"/>
        <w:bidi w:val="0"/>
        <w:spacing w:before="240" w:after="0"/>
        <w:jc w:val="left"/>
        <w:rPr>
          <w:rFonts w:ascii="Times New Roman" w:hAnsi="Times New Roman"/>
          <w:sz w:val="20"/>
        </w:rPr>
      </w:pPr>
      <w:r>
        <w:rPr>
          <w:rFonts w:ascii="Times New Roman" w:hAnsi="Times New Roman"/>
          <w:b/>
          <w:i/>
          <w:sz w:val="20"/>
        </w:rPr>
        <w:t>Gross Profit.</w:t>
      </w:r>
      <w:r>
        <w:rPr>
          <w:rFonts w:ascii="Times New Roman" w:hAnsi="Times New Roman"/>
          <w:sz w:val="20"/>
        </w:rPr>
        <w:t xml:space="preserve"> Our overall gross profit generally fluctuates as a result of changes in overall sales volumes 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 </w:t>
      </w:r>
    </w:p>
    <w:p>
      <w:pPr>
        <w:pStyle w:val="TextBody"/>
        <w:bidi w:val="0"/>
        <w:spacing w:before="240" w:after="0"/>
        <w:jc w:val="left"/>
        <w:rPr>
          <w:rFonts w:ascii="Times New Roman" w:hAnsi="Times New Roman"/>
          <w:sz w:val="20"/>
        </w:rPr>
      </w:pPr>
      <w:r>
        <w:rPr>
          <w:rFonts w:ascii="Times New Roman" w:hAnsi="Times New Roman"/>
          <w:b/>
          <w:i/>
          <w:sz w:val="20"/>
        </w:rPr>
        <w:t>Average</w:t>
      </w:r>
      <w:r>
        <w:rPr>
          <w:rFonts w:ascii="Times New Roman" w:hAnsi="Times New Roman"/>
          <w:sz w:val="20"/>
        </w:rPr>
        <w:t xml:space="preserve"> </w:t>
      </w: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Prices.</w:t>
      </w:r>
      <w:r>
        <w:rPr>
          <w:rFonts w:ascii="Times New Roman" w:hAnsi="Times New Roman"/>
          <w:sz w:val="20"/>
        </w:rPr>
        <w:t xml:space="preserve"> Average selling prices for our products tend to be highest at the time of introduction of new products which utilize the 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 </w:t>
      </w:r>
    </w:p>
    <w:p>
      <w:pPr>
        <w:pStyle w:val="TextBody"/>
        <w:bidi w:val="0"/>
        <w:spacing w:before="240" w:after="0"/>
        <w:jc w:val="left"/>
        <w:rPr>
          <w:rFonts w:ascii="Times New Roman" w:hAnsi="Times New Roman"/>
          <w:sz w:val="20"/>
        </w:rPr>
      </w:pPr>
      <w:r>
        <w:rPr>
          <w:rFonts w:ascii="Times New Roman" w:hAnsi="Times New Roman"/>
          <w:b/>
          <w:i/>
          <w:sz w:val="20"/>
        </w:rPr>
        <w:t>Material Costs.</w:t>
      </w:r>
      <w:r>
        <w:rPr>
          <w:rFonts w:ascii="Times New Roman" w:hAnsi="Times New Roman"/>
          <w:sz w:val="20"/>
        </w:rPr>
        <w:t xml:space="preserve"> Our material costs consist of costs of raw materials, such as silicon wafers, chemicals, gases and tape and packaging supplies. We use processes that require specialized raw materials, such as silicon wafers, that are generally available from a limited number of suppliers. If demand increases or supplies decrease, the costs of our raw materials could increase significantly. </w:t>
      </w:r>
    </w:p>
    <w:p>
      <w:pPr>
        <w:pStyle w:val="TextBody"/>
        <w:bidi w:val="0"/>
        <w:spacing w:before="240" w:after="0"/>
        <w:jc w:val="left"/>
        <w:rPr>
          <w:rFonts w:ascii="Times New Roman" w:hAnsi="Times New Roman"/>
          <w:sz w:val="20"/>
        </w:rPr>
      </w:pPr>
      <w:r>
        <w:rPr>
          <w:rFonts w:ascii="Times New Roman" w:hAnsi="Times New Roman"/>
          <w:b/>
          <w:i/>
          <w:sz w:val="20"/>
        </w:rPr>
        <w:t>Labor</w:t>
      </w:r>
      <w:r>
        <w:rPr>
          <w:rFonts w:ascii="Times New Roman" w:hAnsi="Times New Roman"/>
          <w:sz w:val="20"/>
        </w:rPr>
        <w:t xml:space="preserve"> </w:t>
      </w:r>
      <w:r>
        <w:rPr>
          <w:rFonts w:ascii="Times New Roman" w:hAnsi="Times New Roman"/>
          <w:b/>
          <w:i/>
          <w:sz w:val="20"/>
        </w:rPr>
        <w:t>Costs.</w:t>
      </w:r>
      <w:r>
        <w:rPr>
          <w:rFonts w:ascii="Times New Roman" w:hAnsi="Times New Roman"/>
          <w:sz w:val="20"/>
        </w:rPr>
        <w:t xml:space="preserve"> A significant portion of our employees are located in Korea. Under Korean labor laws, most employees and certain executive officers with one or more years of service are entitled to severance benefits upon the termination of their employment based on their length of service and rate of pay. As of June 30, 2024, 96% of our employees were eligible for severance benefits. </w:t>
      </w:r>
    </w:p>
    <w:p>
      <w:pPr>
        <w:pStyle w:val="TextBody"/>
        <w:bidi w:val="0"/>
        <w:spacing w:before="240" w:after="0"/>
        <w:jc w:val="left"/>
        <w:rPr>
          <w:rFonts w:ascii="Times New Roman" w:hAnsi="Times New Roman"/>
          <w:sz w:val="20"/>
        </w:rPr>
      </w:pPr>
      <w:r>
        <w:rPr>
          <w:rFonts w:ascii="Times New Roman" w:hAnsi="Times New Roman"/>
          <w:b/>
          <w:i/>
          <w:sz w:val="20"/>
        </w:rPr>
        <w:t>Depreciation Expense.</w:t>
      </w:r>
      <w:r>
        <w:rPr>
          <w:rFonts w:ascii="Times New Roman" w:hAnsi="Times New Roman"/>
          <w:sz w:val="20"/>
        </w:rPr>
        <w:t xml:space="preserve"> We periodically evaluate the carrying values of long-lived assets, including property, plant and equipment and intangible assets, as well as the related depreciation periods. We depreciated our property, plant and equipment using the straight-line method over the estimated useful lives of our assets. Depreciation rates vary from 30-40 years on buildings to 3-12 years for certain equipment and assets. Our evaluation of carrying values is based on various analyses including cash flow and profitability projections. If our projections indicate that future undiscounted cash flows are not sufficient to recover the carrying value of the related long-lived assets, the carrying value of the assets is impaired and will be reduced, with the reduction charged to expense so that the carrying value is equal to fair value. </w:t>
      </w:r>
    </w:p>
    <w:p>
      <w:pPr>
        <w:pStyle w:val="TextBody"/>
        <w:bidi w:val="0"/>
        <w:spacing w:before="24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We sell our products worldwide through a direct sales force as well as a network of sales 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w:t>
      </w:r>
    </w:p>
    <w:p>
      <w:pPr>
        <w:pStyle w:val="TextBody"/>
        <w:bidi w:val="0"/>
        <w:spacing w:before="24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General and administrative expenses consist of the costs of various corporate operations, including finance, legal, human resources and other administrative functions. These expenses primarily consist of payroll-related expenses, consulting and other professional fees and office facility-related expenses.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The rapid technological change and product obsolescence that characterize our industry require us 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IC business are material and design-related costs for OLED display driver IC product development involving 28-nanometer or finer processes. The majority of research and development expenses of our power IC business are material and design-related costs for power IC products. Power IC uses standard BCD process technologies which can be sourced from multiple foundries. The majority of research and development expenses of our power discrete business are certain equipment, material and design-related costs for power discrete products. </w:t>
      </w:r>
    </w:p>
    <w:p>
      <w:pPr>
        <w:pStyle w:val="TextBody"/>
        <w:bidi w:val="0"/>
        <w:spacing w:before="240" w:after="0"/>
        <w:jc w:val="left"/>
        <w:rPr>
          <w:rFonts w:ascii="Times New Roman" w:hAnsi="Times New Roman"/>
          <w:sz w:val="20"/>
        </w:rPr>
      </w:pPr>
      <w:r>
        <w:rPr>
          <w:rFonts w:ascii="Times New Roman" w:hAnsi="Times New Roman"/>
          <w:b/>
          <w:i/>
          <w:sz w:val="20"/>
        </w:rPr>
        <w:t>Impact of Foreign Currency Exchange Rates on Reported Results of Operations.</w:t>
      </w:r>
      <w:r>
        <w:rPr>
          <w:rFonts w:ascii="Times New Roman" w:hAnsi="Times New Roman"/>
          <w:sz w:val="20"/>
        </w:rPr>
        <w:t xml:space="preserve"> Historically, a portion of our revenues and cost of sales and 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one of our Korean subsidiaries, Magnachip Semiconductor, Ltd. or MSK, which is denominated in U.S. dollars. As of June 30, 2024, the outstanding intercompany loan balance including accrued interest between MSK and our Dutch subsidiary was $261.5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w:t>
      </w:r>
    </w:p>
    <w:p>
      <w:pPr>
        <w:pStyle w:val="TextBody"/>
        <w:bidi w:val="0"/>
        <w:spacing w:before="240" w:after="0"/>
        <w:jc w:val="left"/>
        <w:rPr>
          <w:rFonts w:ascii="Times New Roman" w:hAnsi="Times New Roman"/>
          <w:sz w:val="20"/>
        </w:rPr>
      </w:pPr>
      <w:r>
        <w:rPr>
          <w:rFonts w:ascii="Times New Roman" w:hAnsi="Times New Roman"/>
          <w:b/>
          <w:i/>
          <w:sz w:val="20"/>
        </w:rPr>
        <w:t>Foreign Currency Gain or Loss.</w:t>
      </w:r>
      <w:r>
        <w:rPr>
          <w:rFonts w:ascii="Times New Roman" w:hAnsi="Times New Roman"/>
          <w:sz w:val="20"/>
        </w:rPr>
        <w:t xml:space="preserve"> Foreign currency translation gains or losses on transactions by us or our subsidiaries in a currency other than our 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Magnachip Semiconductor, Ltd., that are denominated in U.S. dollars. This gain or loss results from fluctuations in the exchange rate between the Korean won and U.S. dollar. </w:t>
      </w:r>
    </w:p>
    <w:p>
      <w:pPr>
        <w:pStyle w:val="TextBody"/>
        <w:bidi w:val="0"/>
        <w:spacing w:before="240" w:after="0"/>
        <w:jc w:val="left"/>
        <w:rPr>
          <w:rFonts w:ascii="Times New Roman" w:hAnsi="Times New Roman"/>
          <w:sz w:val="20"/>
        </w:rPr>
      </w:pPr>
      <w:r>
        <w:rPr>
          <w:rFonts w:ascii="Times New Roman" w:hAnsi="Times New Roman"/>
          <w:b/>
          <w:i/>
          <w:sz w:val="20"/>
        </w:rPr>
        <w:t>Income Taxes.</w:t>
      </w:r>
      <w:r>
        <w:rPr>
          <w:rFonts w:ascii="Times New Roman" w:hAnsi="Times New Roman"/>
          <w:sz w:val="20"/>
        </w:rPr>
        <w:t xml:space="preserve"> We record our income taxes in each of the tax jurisdictions in which we operate. This process involves using an 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income-or non-income-based tax examinations by tax authorities of the U.S., Korea and multiple other foreign jurisdictions for all open tax years. Significant estimates and judgments are required in determining our worldwide provision for income-or non-income based taxes. Some of these estimates are based on interpretations of existing tax laws or regulations. The ultimate amount of tax liability may be uncertain as a result. </w:t>
      </w:r>
    </w:p>
    <w:p>
      <w:pPr>
        <w:pStyle w:val="TextBody"/>
        <w:bidi w:val="0"/>
        <w:spacing w:before="240" w:after="0"/>
        <w:jc w:val="left"/>
        <w:rPr>
          <w:rFonts w:ascii="Times New Roman" w:hAnsi="Times New Roman"/>
          <w:sz w:val="20"/>
        </w:rPr>
      </w:pPr>
      <w:r>
        <w:rPr>
          <w:rFonts w:ascii="Times New Roman" w:hAnsi="Times New Roman"/>
          <w:b/>
          <w:i/>
          <w:sz w:val="20"/>
        </w:rPr>
        <w:t>Capital</w:t>
      </w:r>
      <w:r>
        <w:rPr>
          <w:rFonts w:ascii="Times New Roman" w:hAnsi="Times New Roman"/>
          <w:sz w:val="20"/>
        </w:rPr>
        <w:t xml:space="preserve"> </w:t>
      </w:r>
      <w:r>
        <w:rPr>
          <w:rFonts w:ascii="Times New Roman" w:hAnsi="Times New Roman"/>
          <w:b/>
          <w:i/>
          <w:sz w:val="20"/>
        </w:rPr>
        <w:t>Expenditures.</w:t>
      </w:r>
      <w:r>
        <w:rPr>
          <w:rFonts w:ascii="Times New Roman" w:hAnsi="Times New Roman"/>
          <w:sz w:val="20"/>
        </w:rPr>
        <w:t xml:space="preserve"> We primarily invest in manufacturing equipment, software design tools and other 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Inventories.</w:t>
      </w:r>
      <w:r>
        <w:rPr>
          <w:rFonts w:ascii="Times New Roman" w:hAnsi="Times New Roman"/>
          <w:sz w:val="20"/>
        </w:rPr>
        <w:t xml:space="preserve"> We monitor our inventory levels in light of product development changes and market expectations. We may be 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 Comparison of Three Months Ended June 30, 2024 and 2023 </w:t>
      </w:r>
    </w:p>
    <w:p>
      <w:pPr>
        <w:pStyle w:val="TextBody"/>
        <w:bidi w:val="0"/>
        <w:spacing w:before="120" w:after="0"/>
        <w:jc w:val="left"/>
        <w:rPr>
          <w:rFonts w:ascii="Times New Roman" w:hAnsi="Times New Roman"/>
          <w:sz w:val="20"/>
        </w:rPr>
      </w:pPr>
      <w:r>
        <w:rPr>
          <w:rFonts w:ascii="Times New Roman" w:hAnsi="Times New Roman"/>
          <w:sz w:val="20"/>
        </w:rPr>
        <w:t xml:space="preserve">In previous reporting periods, we categorized revenues from two business lines in our standard products business: the Display Solutions business line and the Power Solutions business line. As part of the Reorganization, we regrouped our standard products business into the Mixed-Signal Solutions business line, which comprises the display IC and power IC businesses, and the Power Analog Solutions business line, which comprises the power discrete business. Accordingly, effective as of the first quarter of fiscal 2024, we categorize our standard product business revenue by those two regrouped business lines. Certain reclassifications have been made to the prior period revenue presentation to conform to the current period revenue presentation.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consolidated results of operations for the three months ended June 30, 2024 and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1"/>
        <w:gridCol w:w="120"/>
        <w:gridCol w:w="207"/>
        <w:gridCol w:w="763"/>
        <w:gridCol w:w="229"/>
        <w:gridCol w:w="88"/>
        <w:gridCol w:w="152"/>
        <w:gridCol w:w="1443"/>
        <w:gridCol w:w="275"/>
        <w:gridCol w:w="60"/>
        <w:gridCol w:w="207"/>
        <w:gridCol w:w="763"/>
        <w:gridCol w:w="229"/>
        <w:gridCol w:w="88"/>
        <w:gridCol w:w="152"/>
        <w:gridCol w:w="1443"/>
        <w:gridCol w:w="275"/>
        <w:gridCol w:w="60"/>
        <w:gridCol w:w="225"/>
        <w:gridCol w:w="635"/>
        <w:gridCol w:w="170"/>
      </w:tblGrid>
      <w:tr>
        <w:trPr/>
        <w:tc>
          <w:tcPr>
            <w:tcW w:w="26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94"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50.8</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95.6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51.4</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84.3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(0.5</w:t>
            </w:r>
          </w:p>
        </w:tc>
        <w:tc>
          <w:tcPr>
            <w:tcW w:w="170" w:type="dxa"/>
            <w:tcBorders/>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2.3</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9.6</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53.2</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61.0</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(7.8</w:t>
            </w:r>
          </w:p>
        </w:tc>
        <w:tc>
          <w:tcPr>
            <w:tcW w:w="170" w:type="dxa"/>
            <w:tcBorders/>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standard products business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39.1</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37.9</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62.1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2.5</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9.6</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(7.1</w:t>
            </w:r>
          </w:p>
        </w:tc>
        <w:tc>
          <w:tcPr>
            <w:tcW w:w="170" w:type="dxa"/>
            <w:tcBorders/>
            <w:shd w:fill="CCEEFF" w:val="clear"/>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41.6</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47.4</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(5.9</w:t>
            </w:r>
          </w:p>
        </w:tc>
        <w:tc>
          <w:tcPr>
            <w:tcW w:w="170" w:type="dxa"/>
            <w:tcBorders/>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11.6</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13.5</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w:t>
            </w:r>
          </w:p>
        </w:tc>
        <w:tc>
          <w:tcPr>
            <w:tcW w:w="170" w:type="dxa"/>
            <w:tcBorders/>
            <w:shd w:fill="CCEEFF" w:val="clear"/>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11.7</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12.1</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19.9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(0.4</w:t>
            </w:r>
          </w:p>
        </w:tc>
        <w:tc>
          <w:tcPr>
            <w:tcW w:w="170" w:type="dxa"/>
            <w:tcBorders/>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12.7</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11.3</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charges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0.8</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(0.8</w:t>
            </w:r>
          </w:p>
        </w:tc>
        <w:tc>
          <w:tcPr>
            <w:tcW w:w="170" w:type="dxa"/>
            <w:tcBorders/>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(12.8</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(10.7</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(2.2</w:t>
            </w:r>
          </w:p>
        </w:tc>
        <w:tc>
          <w:tcPr>
            <w:tcW w:w="170" w:type="dxa"/>
            <w:tcBorders/>
            <w:shd w:fill="CCEEFF" w:val="clear"/>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2.2</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2.7</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(0.5</w:t>
            </w:r>
          </w:p>
        </w:tc>
        <w:tc>
          <w:tcPr>
            <w:tcW w:w="170" w:type="dxa"/>
            <w:tcBorders/>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(0.6</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(0.2</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(0.4</w:t>
            </w:r>
          </w:p>
        </w:tc>
        <w:tc>
          <w:tcPr>
            <w:tcW w:w="170" w:type="dxa"/>
            <w:tcBorders/>
            <w:shd w:fill="CCEEFF" w:val="clear"/>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(3.6</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1.2</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(4.8</w:t>
            </w:r>
          </w:p>
        </w:tc>
        <w:tc>
          <w:tcPr>
            <w:tcW w:w="170" w:type="dxa"/>
            <w:tcBorders/>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0.1</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0.0</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(1.8</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3.7</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(5.5</w:t>
            </w:r>
          </w:p>
        </w:tc>
        <w:tc>
          <w:tcPr>
            <w:tcW w:w="170" w:type="dxa"/>
            <w:tcBorders/>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benefit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(14.6</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(6.9</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(7.7</w:t>
            </w:r>
          </w:p>
        </w:tc>
        <w:tc>
          <w:tcPr>
            <w:tcW w:w="170" w:type="dxa"/>
            <w:tcBorders/>
            <w:shd w:fill="CCEEFF" w:val="clear"/>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(1.6</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(3.0</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1.4</w:t>
            </w:r>
          </w:p>
        </w:tc>
        <w:tc>
          <w:tcPr>
            <w:tcW w:w="170" w:type="dxa"/>
            <w:tcBorders/>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(13.0</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(3.9</w:t>
            </w:r>
          </w:p>
        </w:tc>
        <w:tc>
          <w:tcPr>
            <w:tcW w:w="229"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(9.1</w:t>
            </w:r>
          </w:p>
        </w:tc>
        <w:tc>
          <w:tcPr>
            <w:tcW w:w="170" w:type="dxa"/>
            <w:tcBorders/>
            <w:shd w:fill="CCEEFF" w:val="clear"/>
            <w:vAlign w:val="center"/>
          </w:tcPr>
          <w:p>
            <w:pPr>
              <w:pStyle w:val="TableContents"/>
              <w:bidi w:val="0"/>
              <w:spacing w:before="0" w:after="283"/>
              <w:jc w:val="left"/>
              <w:rPr/>
            </w:pPr>
            <w:r>
              <w:rPr/>
              <w:t>) </w:t>
            </w:r>
          </w:p>
        </w:tc>
      </w:tr>
      <w:tr>
        <w:trPr/>
        <w:tc>
          <w:tcPr>
            <w:tcW w:w="26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763" w:type="dxa"/>
            <w:tcBorders/>
            <w:vAlign w:val="center"/>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763" w:type="dxa"/>
            <w:tcBorders/>
            <w:vAlign w:val="center"/>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3"/>
        <w:gridCol w:w="120"/>
        <w:gridCol w:w="224"/>
        <w:gridCol w:w="704"/>
        <w:gridCol w:w="96"/>
        <w:gridCol w:w="192"/>
        <w:gridCol w:w="154"/>
        <w:gridCol w:w="1441"/>
        <w:gridCol w:w="275"/>
        <w:gridCol w:w="60"/>
        <w:gridCol w:w="224"/>
        <w:gridCol w:w="704"/>
        <w:gridCol w:w="96"/>
        <w:gridCol w:w="192"/>
        <w:gridCol w:w="154"/>
        <w:gridCol w:w="1441"/>
        <w:gridCol w:w="275"/>
        <w:gridCol w:w="60"/>
        <w:gridCol w:w="225"/>
        <w:gridCol w:w="635"/>
        <w:gridCol w:w="170"/>
      </w:tblGrid>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1"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5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11.6</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12.4</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(0.8</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39.2</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39.0</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64.0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50.8</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95.6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51.4</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(0.5</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2.3</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9.6</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(7.3</w:t>
            </w:r>
          </w:p>
        </w:tc>
        <w:tc>
          <w:tcPr>
            <w:tcW w:w="170" w:type="dxa"/>
            <w:tcBorders/>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53.2</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61.0</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(7.8</w:t>
            </w:r>
          </w:p>
        </w:tc>
        <w:tc>
          <w:tcPr>
            <w:tcW w:w="170" w:type="dxa"/>
            <w:tcBorders/>
            <w:shd w:fill="CCEEFF" w:val="clear"/>
            <w:vAlign w:val="center"/>
          </w:tcPr>
          <w:p>
            <w:pPr>
              <w:pStyle w:val="TableContents"/>
              <w:bidi w:val="0"/>
              <w:spacing w:before="0" w:after="283"/>
              <w:jc w:val="left"/>
              <w:rPr/>
            </w:pPr>
            <w:r>
              <w:rPr/>
              <w:t>) </w:t>
            </w:r>
          </w:p>
        </w:tc>
      </w:tr>
      <w:tr>
        <w:trPr/>
        <w:tc>
          <w:tcPr>
            <w:tcW w:w="2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800"/>
        <w:gridCol w:w="120"/>
        <w:gridCol w:w="238"/>
        <w:gridCol w:w="750"/>
        <w:gridCol w:w="264"/>
        <w:gridCol w:w="102"/>
        <w:gridCol w:w="113"/>
        <w:gridCol w:w="837"/>
        <w:gridCol w:w="275"/>
        <w:gridCol w:w="60"/>
        <w:gridCol w:w="245"/>
        <w:gridCol w:w="771"/>
        <w:gridCol w:w="105"/>
        <w:gridCol w:w="210"/>
        <w:gridCol w:w="113"/>
        <w:gridCol w:w="837"/>
        <w:gridCol w:w="275"/>
        <w:gridCol w:w="60"/>
        <w:gridCol w:w="225"/>
        <w:gridCol w:w="635"/>
        <w:gridCol w:w="170"/>
      </w:tblGrid>
      <w:tr>
        <w:trPr/>
        <w:tc>
          <w:tcPr>
            <w:tcW w:w="3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4"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1"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pBdr>
                <w:bottom w:val="single" w:sz="8"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15"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750" w:type="dxa"/>
            <w:tcBorders/>
            <w:shd w:fill="CCEEFF" w:val="clear"/>
            <w:vAlign w:val="center"/>
          </w:tcPr>
          <w:p>
            <w:pPr>
              <w:pStyle w:val="TableContents"/>
              <w:bidi w:val="0"/>
              <w:spacing w:before="0" w:after="283"/>
              <w:jc w:val="left"/>
              <w:rPr>
                <w:sz w:val="4"/>
                <w:szCs w:val="4"/>
              </w:rPr>
            </w:pPr>
            <w:r>
              <w:rPr>
                <w:sz w:val="4"/>
                <w:szCs w:val="4"/>
              </w:rPr>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102"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771" w:type="dxa"/>
            <w:tcBorders/>
            <w:shd w:fill="CCEEFF" w:val="clear"/>
            <w:vAlign w:val="center"/>
          </w:tcPr>
          <w:p>
            <w:pPr>
              <w:pStyle w:val="TableContents"/>
              <w:bidi w:val="0"/>
              <w:spacing w:before="0" w:after="283"/>
              <w:jc w:val="left"/>
              <w:rPr>
                <w:sz w:val="4"/>
                <w:szCs w:val="4"/>
              </w:rPr>
            </w:pPr>
            <w:r>
              <w:rPr>
                <w:sz w:val="4"/>
                <w:szCs w:val="4"/>
              </w:rPr>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standard products business</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4.0</w:t>
            </w:r>
          </w:p>
        </w:tc>
        <w:tc>
          <w:tcPr>
            <w:tcW w:w="26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34.6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771" w:type="dxa"/>
            <w:tcBorders/>
            <w:shd w:fill="CCEEFF" w:val="clear"/>
            <w:vAlign w:val="center"/>
          </w:tcPr>
          <w:p>
            <w:pPr>
              <w:pStyle w:val="TableContents"/>
              <w:bidi w:val="0"/>
              <w:spacing w:before="0" w:after="283"/>
              <w:jc w:val="right"/>
              <w:rPr/>
            </w:pPr>
            <w:r>
              <w:rPr/>
              <w:t>4.5</w:t>
            </w:r>
          </w:p>
        </w:tc>
        <w:tc>
          <w:tcPr>
            <w:tcW w:w="105"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36.4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(0.5</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7.7</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19.7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9.0</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pBdr>
                <w:top w:val="single" w:sz="2" w:space="1" w:color="000000"/>
              </w:pBdr>
              <w:bidi w:val="0"/>
              <w:spacing w:before="0" w:after="0"/>
              <w:jc w:val="left"/>
              <w:rPr/>
            </w:pPr>
            <w:r>
              <w:rPr/>
              <w:t> </w:t>
            </w:r>
          </w:p>
        </w:tc>
        <w:tc>
          <w:tcPr>
            <w:tcW w:w="750" w:type="dxa"/>
            <w:tcBorders/>
            <w:vAlign w:val="center"/>
          </w:tcPr>
          <w:p>
            <w:pPr>
              <w:pStyle w:val="TableContents"/>
              <w:pBdr>
                <w:top w:val="single" w:sz="2"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pBdr>
                <w:top w:val="single" w:sz="2" w:space="1" w:color="000000"/>
              </w:pBdr>
              <w:bidi w:val="0"/>
              <w:spacing w:before="0" w:after="0"/>
              <w:jc w:val="left"/>
              <w:rPr/>
            </w:pPr>
            <w:r>
              <w:rPr/>
              <w:t> </w:t>
            </w:r>
          </w:p>
        </w:tc>
        <w:tc>
          <w:tcPr>
            <w:tcW w:w="771" w:type="dxa"/>
            <w:tcBorders/>
            <w:vAlign w:val="center"/>
          </w:tcPr>
          <w:p>
            <w:pPr>
              <w:pStyle w:val="TableContents"/>
              <w:pBdr>
                <w:top w:val="single" w:sz="2" w:space="1" w:color="000000"/>
              </w:pBdr>
              <w:bidi w:val="0"/>
              <w:spacing w:before="0" w:after="0"/>
              <w:jc w:val="left"/>
              <w:rPr/>
            </w:pPr>
            <w:r>
              <w:rPr/>
              <w:t> </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11.7</w:t>
            </w:r>
          </w:p>
        </w:tc>
        <w:tc>
          <w:tcPr>
            <w:tcW w:w="26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771" w:type="dxa"/>
            <w:tcBorders/>
            <w:shd w:fill="CCEEFF" w:val="clear"/>
            <w:vAlign w:val="center"/>
          </w:tcPr>
          <w:p>
            <w:pPr>
              <w:pStyle w:val="TableContents"/>
              <w:bidi w:val="0"/>
              <w:spacing w:before="0" w:after="283"/>
              <w:jc w:val="right"/>
              <w:rPr/>
            </w:pPr>
            <w:r>
              <w:rPr/>
              <w:t>13.5</w:t>
            </w:r>
          </w:p>
        </w:tc>
        <w:tc>
          <w:tcPr>
            <w:tcW w:w="105"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26.3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(1.8</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transitional Fab 3 foundry services</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(0.1</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0.0</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pBdr>
                <w:top w:val="single" w:sz="2" w:space="1" w:color="000000"/>
              </w:pBdr>
              <w:bidi w:val="0"/>
              <w:spacing w:before="0" w:after="0"/>
              <w:jc w:val="left"/>
              <w:rPr/>
            </w:pPr>
            <w:r>
              <w:rPr/>
              <w:t> </w:t>
            </w:r>
          </w:p>
        </w:tc>
        <w:tc>
          <w:tcPr>
            <w:tcW w:w="750" w:type="dxa"/>
            <w:tcBorders/>
            <w:vAlign w:val="center"/>
          </w:tcPr>
          <w:p>
            <w:pPr>
              <w:pStyle w:val="TableContents"/>
              <w:pBdr>
                <w:top w:val="single" w:sz="2"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pBdr>
                <w:top w:val="single" w:sz="2" w:space="1" w:color="000000"/>
              </w:pBdr>
              <w:bidi w:val="0"/>
              <w:spacing w:before="0" w:after="0"/>
              <w:jc w:val="left"/>
              <w:rPr/>
            </w:pPr>
            <w:r>
              <w:rPr/>
              <w:t> </w:t>
            </w:r>
          </w:p>
        </w:tc>
        <w:tc>
          <w:tcPr>
            <w:tcW w:w="771" w:type="dxa"/>
            <w:tcBorders/>
            <w:vAlign w:val="center"/>
          </w:tcPr>
          <w:p>
            <w:pPr>
              <w:pStyle w:val="TableContents"/>
              <w:pBdr>
                <w:top w:val="single" w:sz="2" w:space="1" w:color="000000"/>
              </w:pBdr>
              <w:bidi w:val="0"/>
              <w:spacing w:before="0" w:after="0"/>
              <w:jc w:val="left"/>
              <w:rPr/>
            </w:pPr>
            <w:r>
              <w:rPr/>
              <w:t> </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11.6</w:t>
            </w:r>
          </w:p>
        </w:tc>
        <w:tc>
          <w:tcPr>
            <w:tcW w:w="26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771" w:type="dxa"/>
            <w:tcBorders/>
            <w:shd w:fill="CCEEFF" w:val="clear"/>
            <w:vAlign w:val="center"/>
          </w:tcPr>
          <w:p>
            <w:pPr>
              <w:pStyle w:val="TableContents"/>
              <w:bidi w:val="0"/>
              <w:spacing w:before="0" w:after="283"/>
              <w:jc w:val="right"/>
              <w:rPr/>
            </w:pPr>
            <w:r>
              <w:rPr/>
              <w:t>13.5</w:t>
            </w:r>
          </w:p>
        </w:tc>
        <w:tc>
          <w:tcPr>
            <w:tcW w:w="105"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(1.9</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pBdr>
                <w:top w:val="double" w:sz="6" w:space="1" w:color="000000"/>
              </w:pBdr>
              <w:bidi w:val="0"/>
              <w:spacing w:before="0" w:after="0"/>
              <w:jc w:val="left"/>
              <w:rPr/>
            </w:pPr>
            <w:r>
              <w:rPr/>
              <w:t> </w:t>
            </w:r>
          </w:p>
        </w:tc>
        <w:tc>
          <w:tcPr>
            <w:tcW w:w="750" w:type="dxa"/>
            <w:tcBorders/>
            <w:vAlign w:val="center"/>
          </w:tcPr>
          <w:p>
            <w:pPr>
              <w:pStyle w:val="TableContents"/>
              <w:pBdr>
                <w:top w:val="double" w:sz="6" w:space="1" w:color="000000"/>
              </w:pBdr>
              <w:bidi w:val="0"/>
              <w:spacing w:before="0" w:after="0"/>
              <w:jc w:val="left"/>
              <w:rPr/>
            </w:pPr>
            <w:r>
              <w:rPr/>
              <w:t> </w:t>
            </w:r>
          </w:p>
        </w:tc>
        <w:tc>
          <w:tcPr>
            <w:tcW w:w="264"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pBdr>
                <w:top w:val="double" w:sz="6" w:space="1" w:color="000000"/>
              </w:pBdr>
              <w:bidi w:val="0"/>
              <w:spacing w:before="0" w:after="0"/>
              <w:jc w:val="left"/>
              <w:rPr/>
            </w:pPr>
            <w:r>
              <w:rPr/>
              <w:t> </w:t>
            </w:r>
          </w:p>
        </w:tc>
        <w:tc>
          <w:tcPr>
            <w:tcW w:w="771" w:type="dxa"/>
            <w:tcBorders/>
            <w:vAlign w:val="center"/>
          </w:tcPr>
          <w:p>
            <w:pPr>
              <w:pStyle w:val="TableContents"/>
              <w:pBdr>
                <w:top w:val="double" w:sz="6" w:space="1" w:color="000000"/>
              </w:pBdr>
              <w:bidi w:val="0"/>
              <w:spacing w:before="0" w:after="0"/>
              <w:jc w:val="left"/>
              <w:rPr/>
            </w:pPr>
            <w:r>
              <w:rPr/>
              <w:t> </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$53.2 million for the three months ended June 30, 2024, a $7.8 million, or 12.8%, decrease compared to $61.0 million for the three months ended June 30, 2023. </w:t>
      </w:r>
    </w:p>
    <w:p>
      <w:pPr>
        <w:pStyle w:val="TextBody"/>
        <w:bidi w:val="0"/>
        <w:spacing w:before="240" w:after="0"/>
        <w:jc w:val="left"/>
        <w:rPr>
          <w:rFonts w:ascii="Times New Roman" w:hAnsi="Times New Roman"/>
          <w:sz w:val="20"/>
        </w:rPr>
      </w:pPr>
      <w:r>
        <w:rPr>
          <w:rFonts w:ascii="Times New Roman" w:hAnsi="Times New Roman"/>
          <w:b/>
          <w:i/>
          <w:sz w:val="20"/>
        </w:rPr>
        <w:t>The standard products business.</w:t>
      </w:r>
      <w:r>
        <w:rPr>
          <w:rFonts w:ascii="Times New Roman" w:hAnsi="Times New Roman"/>
          <w:sz w:val="20"/>
        </w:rPr>
        <w:t xml:space="preserve"> Net sales from our standard products business were $50.8 million for the three months ended June 30, 2024, a $0.5 million, or 1.1%, decrease compared to $51.4 million for the three months ended June 30, 2023.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Mixed-Signal Solutions business line decreased from $12.4 million for the three months ended June 30, 2023 to $11.6 million for the three months ended June 30, 2024. The decrease in net sales from our Mixed-Signal Solutions business line was primarily attributable to a decrease in revenue from our mobile OLED display driver ICs stemmed from slower than expected new design-wins and lower customer demand for legacy products, and weak demand for our auto-LCD display driver ICs also had an unfavorable impact on net sales. This decrease was offset in part by a higher demand for our Power IC products, primarily for televisions and OLED IT devices.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Power Analog Solutions business line increased slightly to $39.2 million for the three months ended June 30, 2024 compared to $39.0 million for the three months ended June 30, 2023. The increase in net sales from our Power Analog Solutions business line was attributable to a higher demand for premium power products such as high-end MOSFETs in the consumer application, especially home appliance. This increase was offset in part by a lower demand for power products such as MOSFETs in the industrial application, especially e-bikes. </w:t>
      </w:r>
    </w:p>
    <w:p>
      <w:pPr>
        <w:pStyle w:val="TextBody"/>
        <w:bidi w:val="0"/>
        <w:spacing w:before="240" w:after="0"/>
        <w:jc w:val="left"/>
        <w:rPr>
          <w:rFonts w:ascii="Times New Roman" w:hAnsi="Times New Roman"/>
          <w:sz w:val="20"/>
        </w:rPr>
      </w:pPr>
      <w:r>
        <w:rPr>
          <w:rFonts w:ascii="Times New Roman" w:hAnsi="Times New Roman"/>
          <w:b/>
          <w:i/>
          <w:sz w:val="20"/>
        </w:rPr>
        <w:t>The transitional Fab 3 foundry services.</w:t>
      </w:r>
      <w:r>
        <w:rPr>
          <w:rFonts w:ascii="Times New Roman" w:hAnsi="Times New Roman"/>
          <w:sz w:val="20"/>
        </w:rPr>
        <w:t xml:space="preserve"> Net sales from the transitional Fab 3 foundry services were $2.3 million and $9.6 million for the three months ended June 30,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Total gross profit was $11.6 million for the three months ended June 30, 2024 compared to $13.5 million for the three months ended June 30, 2023, a $1.9 million, or 14.3%, decrease. Gross profit as a percentage of net sales for the three months ended June 30, 2024 decreased to 21.8% compared to 22.2% for the three months ended June 30, 2023. The decrease in gross profit and gross profit as a percentage of net sales was primarily due to our standard products business as further described below. </w:t>
      </w:r>
    </w:p>
    <w:p>
      <w:pPr>
        <w:pStyle w:val="TextBody"/>
        <w:bidi w:val="0"/>
        <w:spacing w:before="240" w:after="0"/>
        <w:jc w:val="left"/>
        <w:rPr>
          <w:rFonts w:ascii="Times New Roman" w:hAnsi="Times New Roman"/>
          <w:sz w:val="20"/>
        </w:rPr>
      </w:pPr>
      <w:r>
        <w:rPr>
          <w:rFonts w:ascii="Times New Roman" w:hAnsi="Times New Roman"/>
          <w:b/>
          <w:i/>
          <w:sz w:val="20"/>
        </w:rPr>
        <w:t>The standard products business.</w:t>
      </w:r>
      <w:r>
        <w:rPr>
          <w:rFonts w:ascii="Times New Roman" w:hAnsi="Times New Roman"/>
          <w:sz w:val="20"/>
        </w:rPr>
        <w:t xml:space="preserve"> Gross profit from our standard products business was $11.7 million for the three months ended June 30, 2024, which represented a $1.8 million, or 13.2%, decrease from gross profit of $13.5 million for the three months ended June 30, 2023. Gross profit as a percentage of net sales for the three months ended June 30, 2024 decreased to 23.1% compared to 26.3% for the three months ended June 30, 2023. </w:t>
      </w:r>
    </w:p>
    <w:p>
      <w:pPr>
        <w:pStyle w:val="TextBody"/>
        <w:bidi w:val="0"/>
        <w:spacing w:before="240" w:after="0"/>
        <w:jc w:val="left"/>
        <w:rPr>
          <w:rFonts w:ascii="Times New Roman" w:hAnsi="Times New Roman"/>
          <w:sz w:val="20"/>
        </w:rPr>
      </w:pPr>
      <w:r>
        <w:rPr>
          <w:rFonts w:ascii="Times New Roman" w:hAnsi="Times New Roman"/>
          <w:sz w:val="20"/>
        </w:rPr>
        <w:t xml:space="preserve">Gross profit from our Mixed-Signal Solutions business line was $4.0 million for the three months ended June 30, 2024, which represented a $0.5 million, or 10.8%, decrease from gross profit of $4.5 million for the three months ended June 30, 2023. Gross profit as a percentage of net sales for the three months ended June 30, 2024 decreased to 34.6% compared to 36.4% for the three months ended June 30, 2023. The year-over-year decrease in gross profit as a percentage of net sales was primarily attributable to an unfavorable product mix.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Gross profit from our Power Analog Solutions business line was $7.7 million for the three months ended June 30, 2024, which represented a $1.3 million, or 14.4%, decrease from gross profit of $9.0 million for the three months ended June 30, 2023. Gross profit as a percentage of net sales for the three months ended June 30, 2024 decreased to 19.7% compared to 23.1% for the three months ended June 30, 2023. The year-over-year decrease in gross profit as a percentage of net sales was primarily attributable to a lower utilization rate of our internal fabrication facility in Gumi from the wind-down of transitional foundry services and an unfavorable product mix.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Sales – Standard Products Business by Geographic Region </w:t>
      </w:r>
    </w:p>
    <w:p>
      <w:pPr>
        <w:pStyle w:val="TextBody"/>
        <w:bidi w:val="0"/>
        <w:spacing w:before="120" w:after="0"/>
        <w:jc w:val="left"/>
        <w:rPr>
          <w:rFonts w:ascii="Times New Roman" w:hAnsi="Times New Roman"/>
          <w:sz w:val="20"/>
        </w:rPr>
      </w:pPr>
      <w:r>
        <w:rPr>
          <w:rFonts w:ascii="Times New Roman" w:hAnsi="Times New Roman"/>
          <w:sz w:val="20"/>
        </w:rPr>
        <w:t xml:space="preserve">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June 30, 2024 and 2023: </w:t>
      </w:r>
    </w:p>
    <w:p>
      <w:pPr>
        <w:pStyle w:val="TextBody"/>
        <w:bidi w:val="0"/>
        <w:spacing w:before="0" w:after="0"/>
        <w:jc w:val="left"/>
        <w:rPr/>
      </w:pPr>
      <w:r>
        <w:rPr/>
        <w:t> </w:t>
      </w:r>
    </w:p>
    <w:tbl>
      <w:tblPr>
        <w:tblW w:w="9022" w:type="dxa"/>
        <w:jc w:val="left"/>
        <w:tblInd w:w="0" w:type="dxa"/>
        <w:tblLayout w:type="fixed"/>
        <w:tblCellMar>
          <w:top w:w="0" w:type="dxa"/>
          <w:left w:w="0" w:type="dxa"/>
          <w:bottom w:w="0" w:type="dxa"/>
          <w:right w:w="0" w:type="dxa"/>
        </w:tblCellMar>
      </w:tblPr>
      <w:tblGrid>
        <w:gridCol w:w="2510"/>
        <w:gridCol w:w="120"/>
        <w:gridCol w:w="224"/>
        <w:gridCol w:w="704"/>
        <w:gridCol w:w="96"/>
        <w:gridCol w:w="192"/>
        <w:gridCol w:w="109"/>
        <w:gridCol w:w="1021"/>
        <w:gridCol w:w="275"/>
        <w:gridCol w:w="60"/>
        <w:gridCol w:w="224"/>
        <w:gridCol w:w="704"/>
        <w:gridCol w:w="96"/>
        <w:gridCol w:w="192"/>
        <w:gridCol w:w="109"/>
        <w:gridCol w:w="1021"/>
        <w:gridCol w:w="275"/>
        <w:gridCol w:w="60"/>
        <w:gridCol w:w="225"/>
        <w:gridCol w:w="635"/>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standard</w:t>
            </w:r>
            <w:r>
              <w:rPr/>
              <w:br/>
            </w:r>
            <w:r>
              <w:rPr>
                <w:b/>
              </w:rPr>
              <w:t>products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standard</w:t>
            </w:r>
            <w:r>
              <w:rPr/>
              <w:br/>
            </w:r>
            <w:r>
              <w:rPr>
                <w:b/>
              </w:rPr>
              <w:t>products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2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20.0</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14.4</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5.6</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29.2</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35.0</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68.2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(5.8</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0.3</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0.2</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1.3</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1.7</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(0.4</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50.8</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51.4</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(0.5</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Korea increased from $14.4 million for the three months ended June 30, 2023 to $20.0 million for the three months ended June 30, 2024, or by $5.6 million, or 39.2%, primarily due to a higher demand for power products such as MOSFETs, including high-end MOSFETs, primarily for smartphone and home appliance. A higher demand for our Power IC products, primarily for televisions and OLED IT devices, also had a 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Asia Pacific (other than Korea) decreased from $35.0 million in the three months ended June 30, 2023 to $29.2 million for the three months ended June 30, 2024, or by $5.8 million, or 16.6%, primarily due to weak demand for our auto-LCD display driver ICs and mobile OLED display driver ICs. A lower demand for power products such as MOSFETs in the industrial application, especially e-bikes, also had an unfavorable impact on net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Selling, general and administrative expenses were $11.7 million, or 22.1% of total revenues, for the three months ended June 30, 2024, compared to $12.1 million, or 19.9% of total revenues, for the three months ended June 30, 2023. The decrease of $0.4 million, or 3.3%, was primarily attributable to a decrease in employee compensation including certain incentives and benefit related accruals, which was offset in part by an increase in professional fees mainly comprised of legal and consulting fees.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Research and development expenses were $12.7 million, or 23.9% of total revenues, for the three months ended June 30, 2024, compared to $11.3 million, or 18.5% of total revenues, for the three months ended June 30, 2023. The increase of $1.4 million, or 12.8%, was primarily attributable to an increase in material costs for our 28-nanometer OLED display driver ICs based on the timing of development activities. </w:t>
      </w:r>
    </w:p>
    <w:p>
      <w:pPr>
        <w:pStyle w:val="TextBody"/>
        <w:bidi w:val="0"/>
        <w:spacing w:before="240" w:after="0"/>
        <w:jc w:val="left"/>
        <w:rPr>
          <w:rFonts w:ascii="Times New Roman" w:hAnsi="Times New Roman"/>
          <w:sz w:val="20"/>
        </w:rPr>
      </w:pPr>
      <w:r>
        <w:rPr>
          <w:rFonts w:ascii="Times New Roman" w:hAnsi="Times New Roman"/>
          <w:b/>
          <w:i/>
          <w:sz w:val="20"/>
        </w:rPr>
        <w:t>Other Charges.</w:t>
      </w:r>
      <w:r>
        <w:rPr>
          <w:rFonts w:ascii="Times New Roman" w:hAnsi="Times New Roman"/>
          <w:sz w:val="20"/>
        </w:rPr>
        <w:t xml:space="preserve"> For the three months ended June 30, 2023, we recorded $0.8 million of one-time employee incentives.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operating loss of $12.8 million was recorded for the three months ended June 30, 2024 compared to operating loss of $10.7 million for the three months ended June 30, 2023. As discussed above, the increase in operating loss of $2.2 million resulted primarily from a $1.9 million decrease in gross profit and a $1.4 million increase in research and development expenses, which was offset in part by a $0.8 million decrease in other charges and a $0.4 million decrease in selling, general and administrative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Income.</w:t>
      </w:r>
      <w:r>
        <w:rPr>
          <w:rFonts w:ascii="Times New Roman" w:hAnsi="Times New Roman"/>
          <w:sz w:val="20"/>
        </w:rPr>
        <w:t xml:space="preserve"> Interest income was $2.2 million and $2.7 million for the three months ended June 30, 2024 and June 30, 2023, respectively.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Expense.</w:t>
      </w:r>
      <w:r>
        <w:rPr>
          <w:rFonts w:ascii="Times New Roman" w:hAnsi="Times New Roman"/>
          <w:sz w:val="20"/>
        </w:rPr>
        <w:t xml:space="preserve"> Interest expense was $0.6 million and $0.2 million for the three months ended June 30, 2024 and June 30, 2023, respectively. </w:t>
      </w:r>
    </w:p>
    <w:p>
      <w:pPr>
        <w:pStyle w:val="TextBody"/>
        <w:bidi w:val="0"/>
        <w:spacing w:before="240" w:after="0"/>
        <w:jc w:val="left"/>
        <w:rPr>
          <w:rFonts w:ascii="Times New Roman" w:hAnsi="Times New Roman"/>
          <w:sz w:val="20"/>
        </w:rPr>
      </w:pPr>
      <w:r>
        <w:rPr>
          <w:rFonts w:ascii="Times New Roman" w:hAnsi="Times New Roman"/>
          <w:b/>
          <w:i/>
          <w:sz w:val="20"/>
        </w:rPr>
        <w:t>Foreign</w:t>
      </w:r>
      <w:r>
        <w:rPr>
          <w:rFonts w:ascii="Times New Roman" w:hAnsi="Times New Roman"/>
          <w:sz w:val="20"/>
        </w:rPr>
        <w:t xml:space="preserve"> </w:t>
      </w:r>
      <w:r>
        <w:rPr>
          <w:rFonts w:ascii="Times New Roman" w:hAnsi="Times New Roman"/>
          <w:b/>
          <w:i/>
          <w:sz w:val="20"/>
        </w:rPr>
        <w:t>Currency</w:t>
      </w:r>
      <w:r>
        <w:rPr>
          <w:rFonts w:ascii="Times New Roman" w:hAnsi="Times New Roman"/>
          <w:sz w:val="20"/>
        </w:rPr>
        <w:t xml:space="preserve"> </w:t>
      </w:r>
      <w:r>
        <w:rPr>
          <w:rFonts w:ascii="Times New Roman" w:hAnsi="Times New Roman"/>
          <w:b/>
          <w:i/>
          <w:sz w:val="20"/>
        </w:rPr>
        <w:t>Loss,</w:t>
      </w:r>
      <w:r>
        <w:rPr>
          <w:rFonts w:ascii="Times New Roman" w:hAnsi="Times New Roman"/>
          <w:sz w:val="20"/>
        </w:rPr>
        <w:t xml:space="preserve"> </w:t>
      </w:r>
      <w:r>
        <w:rPr>
          <w:rFonts w:ascii="Times New Roman" w:hAnsi="Times New Roman"/>
          <w:b/>
          <w:i/>
          <w:sz w:val="20"/>
        </w:rPr>
        <w:t>Net.</w:t>
      </w:r>
      <w:r>
        <w:rPr>
          <w:rFonts w:ascii="Times New Roman" w:hAnsi="Times New Roman"/>
          <w:sz w:val="20"/>
        </w:rPr>
        <w:t xml:space="preserve"> Net foreign currency loss for the three months ended June 30, 2024 was $3.6 million compared to net foreign currency gain of $1.2 million for the three months ended June 30, 2023.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non-cash translation gain or loss associated with intercompany long-term loans to one of our Korean subsidiaries, which are denominated in U.S. dollars, and are affected by changes in the exchange rate between the Korean won and the U.S. dollar. As of June 30, 2024 and June 30, 2023, the outstanding intercompany loan balances, including accrued interest between our Korean subsidiary, Magnachip Semiconductor, Ltd., and our Dutch subsidiary, were $261.5 million and $293.1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Benefit </w:t>
      </w:r>
    </w:p>
    <w:p>
      <w:pPr>
        <w:pStyle w:val="TextBody"/>
        <w:bidi w:val="0"/>
        <w:spacing w:before="120" w:after="0"/>
        <w:jc w:val="left"/>
        <w:rPr>
          <w:rFonts w:ascii="Times New Roman" w:hAnsi="Times New Roman"/>
          <w:sz w:val="20"/>
        </w:rPr>
      </w:pPr>
      <w:r>
        <w:rPr>
          <w:rFonts w:ascii="Times New Roman" w:hAnsi="Times New Roman"/>
          <w:sz w:val="20"/>
        </w:rPr>
        <w:t xml:space="preserve">Income tax benefit was $1.6 million for the three months ended June 30, 2024, which was primarily attributable to the estimated taxable loss in one of our operating entities in Korea, offset in part by a valuation allowance established for the other operating entity in Korea as a result of its assessment of realizability of the deferred tax assets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Income tax benefit was $3.0 million for the three months ended June 30, 2023, which was primarily attributable to the estimated taxable loss in our then primary operating entity in Korea for the respective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a net loss of $13.0 million was recorded for the three months ended June 30, 2024 compared to a net loss of $3.9 million for the three months ended June 30, 2023. As discussed above, the $9.1 million increase in net loss was primarily attributable to a $4.8 million increase in net foreign currency loss, a $2.2 million increase in operating loss and a $1.4 million decrease in income tax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 Comparison of Six Months Ended June 30, 2024 and 2023 </w:t>
      </w:r>
    </w:p>
    <w:p>
      <w:pPr>
        <w:pStyle w:val="TextBody"/>
        <w:bidi w:val="0"/>
        <w:spacing w:before="120" w:after="0"/>
        <w:jc w:val="left"/>
        <w:rPr>
          <w:rFonts w:ascii="Times New Roman" w:hAnsi="Times New Roman"/>
          <w:sz w:val="20"/>
        </w:rPr>
      </w:pPr>
      <w:r>
        <w:rPr>
          <w:rFonts w:ascii="Times New Roman" w:hAnsi="Times New Roman"/>
          <w:sz w:val="20"/>
        </w:rPr>
        <w:t xml:space="preserve">In previous reporting periods, we categorized revenues from two business lines in our standard products business: the Display Solutions business line and the Power Solutions business line. As part of the Reorganization, we regrouped our standard products business into the Mixed-Signal Solutions business line, which comprises the display IC and power IC businesses, and the Power Analog Solutions business line, which comprises the power discrete business. Accordingly, effective as of the first quarter of fiscal 2024, we categorize our standard product business revenue by those two regrouped business lines. Certain reclassifications have been made to the prior period revenue presentation to conform to the current period revenue presentation.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consolidated results of operations for the six months ended June 30, 2024 and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3"/>
        <w:gridCol w:w="120"/>
        <w:gridCol w:w="174"/>
        <w:gridCol w:w="696"/>
        <w:gridCol w:w="192"/>
        <w:gridCol w:w="74"/>
        <w:gridCol w:w="152"/>
        <w:gridCol w:w="1443"/>
        <w:gridCol w:w="275"/>
        <w:gridCol w:w="60"/>
        <w:gridCol w:w="174"/>
        <w:gridCol w:w="696"/>
        <w:gridCol w:w="192"/>
        <w:gridCol w:w="74"/>
        <w:gridCol w:w="152"/>
        <w:gridCol w:w="1443"/>
        <w:gridCol w:w="275"/>
        <w:gridCol w:w="60"/>
        <w:gridCol w:w="183"/>
        <w:gridCol w:w="677"/>
        <w:gridCol w:w="170"/>
      </w:tblGrid>
      <w:tr>
        <w:trPr/>
        <w:tc>
          <w:tcPr>
            <w:tcW w:w="29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2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31"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9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696" w:type="dxa"/>
            <w:tcBorders/>
            <w:vAlign w:val="center"/>
          </w:tcPr>
          <w:p>
            <w:pPr>
              <w:pStyle w:val="TableContents"/>
              <w:bidi w:val="0"/>
              <w:spacing w:before="0" w:after="283"/>
              <w:jc w:val="right"/>
              <w:rPr/>
            </w:pPr>
            <w:r>
              <w:rPr/>
              <w:t>96.4</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94.3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696" w:type="dxa"/>
            <w:tcBorders/>
            <w:vAlign w:val="center"/>
          </w:tcPr>
          <w:p>
            <w:pPr>
              <w:pStyle w:val="TableContents"/>
              <w:bidi w:val="0"/>
              <w:spacing w:before="0" w:after="283"/>
              <w:jc w:val="right"/>
              <w:rPr/>
            </w:pPr>
            <w:r>
              <w:rPr/>
              <w:t>102.9</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87.2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283"/>
              <w:jc w:val="right"/>
              <w:rPr/>
            </w:pPr>
            <w:r>
              <w:rPr/>
              <w:t>(6.5</w:t>
            </w:r>
          </w:p>
        </w:tc>
        <w:tc>
          <w:tcPr>
            <w:tcW w:w="170" w:type="dxa"/>
            <w:tcBorders/>
            <w:vAlign w:val="center"/>
          </w:tcPr>
          <w:p>
            <w:pPr>
              <w:pStyle w:val="TableContents"/>
              <w:bidi w:val="0"/>
              <w:spacing w:before="0" w:after="283"/>
              <w:jc w:val="left"/>
              <w:rPr/>
            </w:pPr>
            <w:r>
              <w:rPr/>
              <w:t>) </w:t>
            </w:r>
          </w:p>
        </w:tc>
      </w:tr>
      <w:tr>
        <w:trPr/>
        <w:tc>
          <w:tcPr>
            <w:tcW w:w="29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5.9</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15.1</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(9.2</w:t>
            </w:r>
          </w:p>
        </w:tc>
        <w:tc>
          <w:tcPr>
            <w:tcW w:w="170" w:type="dxa"/>
            <w:tcBorders/>
            <w:shd w:fill="CCEEFF" w:val="clear"/>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102.2</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118.0</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(15.7</w:t>
            </w:r>
          </w:p>
        </w:tc>
        <w:tc>
          <w:tcPr>
            <w:tcW w:w="170" w:type="dxa"/>
            <w:tcBorders/>
            <w:vAlign w:val="center"/>
          </w:tcPr>
          <w:p>
            <w:pPr>
              <w:pStyle w:val="TableContents"/>
              <w:bidi w:val="0"/>
              <w:spacing w:before="0" w:after="283"/>
              <w:jc w:val="left"/>
              <w:rPr/>
            </w:pPr>
            <w:r>
              <w:rPr/>
              <w:t>) </w:t>
            </w:r>
          </w:p>
        </w:tc>
      </w:tr>
      <w:tr>
        <w:trPr/>
        <w:tc>
          <w:tcPr>
            <w:tcW w:w="29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144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standard products business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75.0</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73.4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75.2</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63.7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29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6.7</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6.5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17.2</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14.6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(10.5</w:t>
            </w:r>
          </w:p>
        </w:tc>
        <w:tc>
          <w:tcPr>
            <w:tcW w:w="170" w:type="dxa"/>
            <w:tcBorders/>
            <w:shd w:fill="CCEEFF" w:val="clear"/>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81.7</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79.9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92.4</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(10.7</w:t>
            </w:r>
          </w:p>
        </w:tc>
        <w:tc>
          <w:tcPr>
            <w:tcW w:w="170" w:type="dxa"/>
            <w:tcBorders/>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20.6</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25.6</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(5.1</w:t>
            </w:r>
          </w:p>
        </w:tc>
        <w:tc>
          <w:tcPr>
            <w:tcW w:w="170" w:type="dxa"/>
            <w:tcBorders/>
            <w:shd w:fill="CCEEFF" w:val="clear"/>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23.0</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24.3</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29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23.9</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24.6</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(0.7</w:t>
            </w:r>
          </w:p>
        </w:tc>
        <w:tc>
          <w:tcPr>
            <w:tcW w:w="170" w:type="dxa"/>
            <w:tcBorders/>
            <w:shd w:fill="CCEEFF" w:val="clear"/>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9.3</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(9.3</w:t>
            </w:r>
          </w:p>
        </w:tc>
        <w:tc>
          <w:tcPr>
            <w:tcW w:w="170" w:type="dxa"/>
            <w:tcBorders/>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(26.3</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(32.5</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6.2</w:t>
            </w:r>
          </w:p>
        </w:tc>
        <w:tc>
          <w:tcPr>
            <w:tcW w:w="170" w:type="dxa"/>
            <w:tcBorders/>
            <w:shd w:fill="CCEEFF" w:val="clear"/>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4.4</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5.5</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 </w:t>
            </w:r>
          </w:p>
        </w:tc>
      </w:tr>
      <w:tr>
        <w:trPr/>
        <w:tc>
          <w:tcPr>
            <w:tcW w:w="29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(0.8</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(0.5</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(0.3</w:t>
            </w:r>
          </w:p>
        </w:tc>
        <w:tc>
          <w:tcPr>
            <w:tcW w:w="170" w:type="dxa"/>
            <w:tcBorders/>
            <w:shd w:fill="CCEEFF" w:val="clear"/>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net</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(8.6</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(2.2</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(6.4</w:t>
            </w:r>
          </w:p>
        </w:tc>
        <w:tc>
          <w:tcPr>
            <w:tcW w:w="170" w:type="dxa"/>
            <w:tcBorders/>
            <w:vAlign w:val="center"/>
          </w:tcPr>
          <w:p>
            <w:pPr>
              <w:pStyle w:val="TableContents"/>
              <w:bidi w:val="0"/>
              <w:spacing w:before="0" w:after="283"/>
              <w:jc w:val="left"/>
              <w:rPr/>
            </w:pPr>
            <w:r>
              <w:rPr/>
              <w:t>) </w:t>
            </w:r>
          </w:p>
        </w:tc>
      </w:tr>
      <w:tr>
        <w:trPr/>
        <w:tc>
          <w:tcPr>
            <w:tcW w:w="29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0.2</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(0.0</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0.2</w:t>
            </w:r>
          </w:p>
        </w:tc>
        <w:tc>
          <w:tcPr>
            <w:tcW w:w="170" w:type="dxa"/>
            <w:tcBorders/>
            <w:shd w:fill="CCEEFF" w:val="clear"/>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(4.8</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2.9</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(7.6</w:t>
            </w:r>
          </w:p>
        </w:tc>
        <w:tc>
          <w:tcPr>
            <w:tcW w:w="170" w:type="dxa"/>
            <w:tcBorders/>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benefit</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(31.0</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(30.4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(29.6</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(2.6</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(4.2</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283"/>
              <w:jc w:val="right"/>
              <w:rPr/>
            </w:pPr>
            <w:r>
              <w:rPr/>
              <w:t>(3.6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1.6</w:t>
            </w:r>
          </w:p>
        </w:tc>
        <w:tc>
          <w:tcPr>
            <w:tcW w:w="170" w:type="dxa"/>
            <w:tcBorders/>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2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696" w:type="dxa"/>
            <w:tcBorders/>
            <w:shd w:fill="CCEEFF" w:val="clear"/>
            <w:vAlign w:val="center"/>
          </w:tcPr>
          <w:p>
            <w:pPr>
              <w:pStyle w:val="TableContents"/>
              <w:bidi w:val="0"/>
              <w:spacing w:before="0" w:after="283"/>
              <w:jc w:val="right"/>
              <w:rPr/>
            </w:pPr>
            <w:r>
              <w:rPr/>
              <w:t>(28.4</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696" w:type="dxa"/>
            <w:tcBorders/>
            <w:shd w:fill="CCEEFF" w:val="clear"/>
            <w:vAlign w:val="center"/>
          </w:tcPr>
          <w:p>
            <w:pPr>
              <w:pStyle w:val="TableContents"/>
              <w:bidi w:val="0"/>
              <w:spacing w:before="0" w:after="283"/>
              <w:jc w:val="right"/>
              <w:rPr/>
            </w:pPr>
            <w:r>
              <w:rPr/>
              <w:t>(25.4</w:t>
            </w:r>
          </w:p>
        </w:tc>
        <w:tc>
          <w:tcPr>
            <w:tcW w:w="192"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43" w:type="dxa"/>
            <w:tcBorders/>
            <w:shd w:fill="CCEEFF" w:val="clear"/>
            <w:vAlign w:val="center"/>
          </w:tcPr>
          <w:p>
            <w:pPr>
              <w:pStyle w:val="TableContents"/>
              <w:bidi w:val="0"/>
              <w:spacing w:before="0" w:after="283"/>
              <w:jc w:val="right"/>
              <w:rPr/>
            </w:pPr>
            <w:r>
              <w:rPr/>
              <w:t>(21.5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double" w:sz="6" w:space="1" w:color="000000"/>
              </w:pBdr>
              <w:bidi w:val="0"/>
              <w:spacing w:before="0" w:after="0"/>
              <w:jc w:val="left"/>
              <w:rPr/>
            </w:pPr>
            <w:r>
              <w:rPr/>
              <w:t> </w:t>
            </w:r>
          </w:p>
        </w:tc>
        <w:tc>
          <w:tcPr>
            <w:tcW w:w="696" w:type="dxa"/>
            <w:tcBorders/>
            <w:vAlign w:val="center"/>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double" w:sz="6" w:space="1" w:color="000000"/>
              </w:pBdr>
              <w:bidi w:val="0"/>
              <w:spacing w:before="0" w:after="0"/>
              <w:jc w:val="left"/>
              <w:rPr/>
            </w:pPr>
            <w:r>
              <w:rPr/>
              <w:t> </w:t>
            </w:r>
          </w:p>
        </w:tc>
        <w:tc>
          <w:tcPr>
            <w:tcW w:w="696" w:type="dxa"/>
            <w:tcBorders/>
            <w:vAlign w:val="center"/>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67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7"/>
        <w:gridCol w:w="120"/>
        <w:gridCol w:w="178"/>
        <w:gridCol w:w="713"/>
        <w:gridCol w:w="76"/>
        <w:gridCol w:w="152"/>
        <w:gridCol w:w="153"/>
        <w:gridCol w:w="1442"/>
        <w:gridCol w:w="275"/>
        <w:gridCol w:w="60"/>
        <w:gridCol w:w="178"/>
        <w:gridCol w:w="713"/>
        <w:gridCol w:w="76"/>
        <w:gridCol w:w="152"/>
        <w:gridCol w:w="153"/>
        <w:gridCol w:w="1442"/>
        <w:gridCol w:w="275"/>
        <w:gridCol w:w="60"/>
        <w:gridCol w:w="183"/>
        <w:gridCol w:w="677"/>
        <w:gridCol w:w="170"/>
      </w:tblGrid>
      <w:tr>
        <w:trPr/>
        <w:tc>
          <w:tcPr>
            <w:tcW w:w="29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5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4"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4"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95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95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8"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95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5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713"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c>
          <w:tcPr>
            <w:tcW w:w="15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20.6</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25.2</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(4.6</w:t>
            </w:r>
          </w:p>
        </w:tc>
        <w:tc>
          <w:tcPr>
            <w:tcW w:w="170" w:type="dxa"/>
            <w:tcBorders/>
            <w:shd w:fill="CCEEFF" w:val="clear"/>
            <w:vAlign w:val="center"/>
          </w:tcPr>
          <w:p>
            <w:pPr>
              <w:pStyle w:val="TableContents"/>
              <w:bidi w:val="0"/>
              <w:spacing w:before="0" w:after="283"/>
              <w:jc w:val="left"/>
              <w:rPr/>
            </w:pPr>
            <w:r>
              <w:rPr/>
              <w:t>) </w:t>
            </w:r>
          </w:p>
        </w:tc>
      </w:tr>
      <w:tr>
        <w:trPr/>
        <w:tc>
          <w:tcPr>
            <w:tcW w:w="2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75.8</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74.1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77.7</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65.9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(2.0</w:t>
            </w:r>
          </w:p>
        </w:tc>
        <w:tc>
          <w:tcPr>
            <w:tcW w:w="170" w:type="dxa"/>
            <w:tcBorders/>
            <w:vAlign w:val="center"/>
          </w:tcPr>
          <w:p>
            <w:pPr>
              <w:pStyle w:val="TableContents"/>
              <w:bidi w:val="0"/>
              <w:spacing w:before="0" w:after="283"/>
              <w:jc w:val="left"/>
              <w:rPr/>
            </w:pPr>
            <w:r>
              <w:rPr/>
              <w:t>) </w:t>
            </w:r>
          </w:p>
        </w:tc>
      </w:tr>
      <w:tr>
        <w:trPr/>
        <w:tc>
          <w:tcPr>
            <w:tcW w:w="29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96.4</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94.3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102.9</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87.2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(6.5</w:t>
            </w:r>
          </w:p>
        </w:tc>
        <w:tc>
          <w:tcPr>
            <w:tcW w:w="170" w:type="dxa"/>
            <w:tcBorders/>
            <w:shd w:fill="CCEEFF" w:val="clear"/>
            <w:vAlign w:val="center"/>
          </w:tcPr>
          <w:p>
            <w:pPr>
              <w:pStyle w:val="TableContents"/>
              <w:bidi w:val="0"/>
              <w:spacing w:before="0" w:after="283"/>
              <w:jc w:val="left"/>
              <w:rPr/>
            </w:pPr>
            <w:r>
              <w:rPr/>
              <w:t>) </w:t>
            </w:r>
          </w:p>
        </w:tc>
      </w:tr>
      <w:tr>
        <w:trPr/>
        <w:tc>
          <w:tcPr>
            <w:tcW w:w="2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5.9</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15.1</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(9.2</w:t>
            </w:r>
          </w:p>
        </w:tc>
        <w:tc>
          <w:tcPr>
            <w:tcW w:w="170" w:type="dxa"/>
            <w:tcBorders/>
            <w:vAlign w:val="center"/>
          </w:tcPr>
          <w:p>
            <w:pPr>
              <w:pStyle w:val="TableContents"/>
              <w:bidi w:val="0"/>
              <w:spacing w:before="0" w:after="283"/>
              <w:jc w:val="left"/>
              <w:rPr/>
            </w:pPr>
            <w:r>
              <w:rPr/>
              <w:t>) </w:t>
            </w:r>
          </w:p>
        </w:tc>
      </w:tr>
      <w:tr>
        <w:trPr/>
        <w:tc>
          <w:tcPr>
            <w:tcW w:w="29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102.2</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118.0</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(15.7</w:t>
            </w:r>
          </w:p>
        </w:tc>
        <w:tc>
          <w:tcPr>
            <w:tcW w:w="170" w:type="dxa"/>
            <w:tcBorders/>
            <w:shd w:fill="CCEEFF" w:val="clear"/>
            <w:vAlign w:val="center"/>
          </w:tcPr>
          <w:p>
            <w:pPr>
              <w:pStyle w:val="TableContents"/>
              <w:bidi w:val="0"/>
              <w:spacing w:before="0" w:after="283"/>
              <w:jc w:val="left"/>
              <w:rPr/>
            </w:pPr>
            <w:r>
              <w:rPr/>
              <w:t>) </w:t>
            </w:r>
          </w:p>
        </w:tc>
      </w:tr>
      <w:tr>
        <w:trPr/>
        <w:tc>
          <w:tcPr>
            <w:tcW w:w="29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pBdr>
                <w:top w:val="double" w:sz="6" w:space="1" w:color="000000"/>
              </w:pBdr>
              <w:bidi w:val="0"/>
              <w:spacing w:before="0" w:after="0"/>
              <w:jc w:val="left"/>
              <w:rPr/>
            </w:pPr>
            <w:r>
              <w:rPr/>
              <w:t> </w:t>
            </w:r>
          </w:p>
        </w:tc>
        <w:tc>
          <w:tcPr>
            <w:tcW w:w="713" w:type="dxa"/>
            <w:tcBorders/>
            <w:vAlign w:val="center"/>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pBdr>
                <w:top w:val="double" w:sz="6" w:space="1" w:color="000000"/>
              </w:pBdr>
              <w:bidi w:val="0"/>
              <w:spacing w:before="0" w:after="0"/>
              <w:jc w:val="left"/>
              <w:rPr/>
            </w:pPr>
            <w:r>
              <w:rPr/>
              <w:t> </w:t>
            </w:r>
          </w:p>
        </w:tc>
        <w:tc>
          <w:tcPr>
            <w:tcW w:w="713" w:type="dxa"/>
            <w:tcBorders/>
            <w:vAlign w:val="center"/>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67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tbl>
      <w:tblPr>
        <w:tblW w:w="10018" w:type="dxa"/>
        <w:jc w:val="left"/>
        <w:tblInd w:w="0" w:type="dxa"/>
        <w:tblLayout w:type="fixed"/>
        <w:tblCellMar>
          <w:top w:w="0" w:type="dxa"/>
          <w:left w:w="0" w:type="dxa"/>
          <w:bottom w:w="0" w:type="dxa"/>
          <w:right w:w="0" w:type="dxa"/>
        </w:tblCellMar>
      </w:tblPr>
      <w:tblGrid>
        <w:gridCol w:w="3980"/>
        <w:gridCol w:w="120"/>
        <w:gridCol w:w="207"/>
        <w:gridCol w:w="653"/>
        <w:gridCol w:w="216"/>
        <w:gridCol w:w="83"/>
        <w:gridCol w:w="98"/>
        <w:gridCol w:w="852"/>
        <w:gridCol w:w="275"/>
        <w:gridCol w:w="60"/>
        <w:gridCol w:w="207"/>
        <w:gridCol w:w="653"/>
        <w:gridCol w:w="216"/>
        <w:gridCol w:w="83"/>
        <w:gridCol w:w="98"/>
        <w:gridCol w:w="852"/>
        <w:gridCol w:w="275"/>
        <w:gridCol w:w="60"/>
        <w:gridCol w:w="225"/>
        <w:gridCol w:w="635"/>
        <w:gridCol w:w="170"/>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9"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9"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48"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standard products business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Mixed-Signal Solutions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8.0</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39.0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8.4</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33.2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(0.3</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13.3</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19.3</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24.9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21.4</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22.2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27.7</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26.9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(6.3</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transitional Fab 3 foundry services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(0.8</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(2.1</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20.6</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20.1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25.6</w:t>
            </w:r>
          </w:p>
        </w:tc>
        <w:tc>
          <w:tcPr>
            <w:tcW w:w="21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21.7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(5.1</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$102.2 million for the six months ended June 30, 2024, a $15.7 million, or 13.3%, decrease compared to $118.0 million for the six months ended June 30, 2023. </w:t>
      </w:r>
    </w:p>
    <w:p>
      <w:pPr>
        <w:pStyle w:val="TextBody"/>
        <w:bidi w:val="0"/>
        <w:spacing w:before="240" w:after="0"/>
        <w:jc w:val="left"/>
        <w:rPr>
          <w:rFonts w:ascii="Times New Roman" w:hAnsi="Times New Roman"/>
          <w:sz w:val="20"/>
        </w:rPr>
      </w:pPr>
      <w:r>
        <w:rPr>
          <w:rFonts w:ascii="Times New Roman" w:hAnsi="Times New Roman"/>
          <w:b/>
          <w:i/>
          <w:sz w:val="20"/>
        </w:rPr>
        <w:t>The standard products business.</w:t>
      </w:r>
      <w:r>
        <w:rPr>
          <w:rFonts w:ascii="Times New Roman" w:hAnsi="Times New Roman"/>
          <w:sz w:val="20"/>
        </w:rPr>
        <w:t xml:space="preserve"> Net sales from our standard products business were $96.4 million for the six months ended June 30, 2024, a $6.5 million, or 6.3%, decrease compared to $102.9 million for the six months ended June 30, 2023.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Mixed-Signal Solutions business line decreased from $25.2 million for the six months ended June 30, 2023 to $20.6 million for the six months ended June 30, 2024. The decrease in net sales from our Mixed-Signal Solutions business line was primarily attributable to a decrease in revenue from our mobile OLED display driver ICs stemmed from slower than expected new design-wins and lower customer demand for legacy products, and weak demand for our auto-LCD display driver ICs also had an unfavorable impact on net sales. This decrease was offset in part by a higher demand for our Power IC products, primarily for televisions and OLED IT devices, and a higher demand for automotive OLED display driver ICs.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Power Analog Solutions business line decreased from $77.7 million for the six months ended June 30, 2023 to $75.8 million for the six months ended June 30, 2024. The decrease in net sales from our Power Analog Solutions business line was attributable to lower demand for premium power products such as high-end MOSFETs and IGBTs in the industrial application, especially solar inverter and LED lighting. This decrease was offset in part by a higher demand for power products such as MOSFETs in the communication application. </w:t>
      </w:r>
    </w:p>
    <w:p>
      <w:pPr>
        <w:pStyle w:val="TextBody"/>
        <w:bidi w:val="0"/>
        <w:spacing w:before="240" w:after="0"/>
        <w:jc w:val="left"/>
        <w:rPr>
          <w:rFonts w:ascii="Times New Roman" w:hAnsi="Times New Roman"/>
          <w:sz w:val="20"/>
        </w:rPr>
      </w:pPr>
      <w:r>
        <w:rPr>
          <w:rFonts w:ascii="Times New Roman" w:hAnsi="Times New Roman"/>
          <w:b/>
          <w:i/>
          <w:sz w:val="20"/>
        </w:rPr>
        <w:t>The transitional Fab 3 foundry services.</w:t>
      </w:r>
      <w:r>
        <w:rPr>
          <w:rFonts w:ascii="Times New Roman" w:hAnsi="Times New Roman"/>
          <w:sz w:val="20"/>
        </w:rPr>
        <w:t xml:space="preserve"> Net sales from the transitional Fab 3 foundry services were $5.9 million and $15.1 million for the six months ended June 30,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Total gross profit was $20.6 million for the six months ended June 30, 2024 compared to $25.6 million for the six months ended June 30, 2023, a $5.1 million, or 19.8%, decrease. Gross profit as a percentage of net sales for the six months ended June 30, 2024 decreased to 20.1% compared to 21.7% for the six months ended June 30, 2023. The decrease in gross profit and gross profit as a percentage of net sales was primarily due to our standard products business as further described below. </w:t>
      </w:r>
    </w:p>
    <w:p>
      <w:pPr>
        <w:pStyle w:val="TextBody"/>
        <w:bidi w:val="0"/>
        <w:spacing w:before="240" w:after="0"/>
        <w:jc w:val="left"/>
        <w:rPr>
          <w:rFonts w:ascii="Times New Roman" w:hAnsi="Times New Roman"/>
          <w:sz w:val="20"/>
        </w:rPr>
      </w:pPr>
      <w:r>
        <w:rPr>
          <w:rFonts w:ascii="Times New Roman" w:hAnsi="Times New Roman"/>
          <w:b/>
          <w:i/>
          <w:sz w:val="20"/>
        </w:rPr>
        <w:t>The standard products business.</w:t>
      </w:r>
      <w:r>
        <w:rPr>
          <w:rFonts w:ascii="Times New Roman" w:hAnsi="Times New Roman"/>
          <w:sz w:val="20"/>
        </w:rPr>
        <w:t xml:space="preserve"> Gross profit from our standard products business was $21.4 million for the six months ended June 30, 2024, which represented a $6.3 million, or 22.9%, decrease from gross profit of $27.7 million for the six months ended June 30, 2023. Gross profit as a percentage of net sales for the six months ended June 30, 2024 decreased to 22.2% compared to 26.9% for the six months ended June 30, 2023. </w:t>
      </w:r>
    </w:p>
    <w:p>
      <w:pPr>
        <w:pStyle w:val="TextBody"/>
        <w:bidi w:val="0"/>
        <w:spacing w:before="240" w:after="0"/>
        <w:jc w:val="left"/>
        <w:rPr>
          <w:rFonts w:ascii="Times New Roman" w:hAnsi="Times New Roman"/>
          <w:sz w:val="20"/>
        </w:rPr>
      </w:pPr>
      <w:r>
        <w:rPr>
          <w:rFonts w:ascii="Times New Roman" w:hAnsi="Times New Roman"/>
          <w:sz w:val="20"/>
        </w:rPr>
        <w:t xml:space="preserve">Gross profit from our Mixed-Signal Solutions business line was $8.0 million for the six months ended June 30, 2024, which represented a $0.3 million, or 4.0%, decrease from gross profit of $8.4 million for the six months ended June 30, 2023. Gross profit as a percentage of net sales for the six months ended June 30, 2024 increased to 39.0% compared to 33.2% for the six months ended June 30, 2023. The year-over-year increase in gross profit as a percentage of net sales was primarily attributable to a reversal of certain inventory write-down as such reserved inventory was subsequently sold to a certain other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Gross profit from our Power Analog Solutions business line was $13.3 million for the six months ended June 30, 2024, which represented a $6.0 million, or 31.0%, decrease from gross profit of $19.3 million for the six months ended June 30, 2023. Gross profit as a percentage of net sales for the six months ended June 30, 2024 decreased to 17.6% compared to 24.9% for the six months ended June 30, 2023. The year-over-year decrease in gross profit as a percentage of net sales was primarily attributable to a lower utilization rate of our internal fabrication facility in Gumi from the wind-down of transitional foundry services and an unfavorable product mix.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Sales – Standard Products Business by Geographic Region </w:t>
      </w:r>
    </w:p>
    <w:p>
      <w:pPr>
        <w:pStyle w:val="TextBody"/>
        <w:bidi w:val="0"/>
        <w:spacing w:before="120" w:after="0"/>
        <w:jc w:val="left"/>
        <w:rPr>
          <w:rFonts w:ascii="Times New Roman" w:hAnsi="Times New Roman"/>
          <w:sz w:val="20"/>
        </w:rPr>
      </w:pPr>
      <w:r>
        <w:rPr>
          <w:rFonts w:ascii="Times New Roman" w:hAnsi="Times New Roman"/>
          <w:sz w:val="20"/>
        </w:rPr>
        <w:t xml:space="preserve">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six months ended June 30, 2024 and 2023: </w:t>
      </w:r>
    </w:p>
    <w:p>
      <w:pPr>
        <w:pStyle w:val="TextBody"/>
        <w:bidi w:val="0"/>
        <w:spacing w:before="0" w:after="0"/>
        <w:jc w:val="left"/>
        <w:rPr/>
      </w:pPr>
      <w:r>
        <w:rPr/>
        <w:t> </w:t>
      </w:r>
    </w:p>
    <w:tbl>
      <w:tblPr>
        <w:tblW w:w="8818" w:type="dxa"/>
        <w:jc w:val="left"/>
        <w:tblInd w:w="0" w:type="dxa"/>
        <w:tblLayout w:type="fixed"/>
        <w:tblCellMar>
          <w:top w:w="0" w:type="dxa"/>
          <w:left w:w="0" w:type="dxa"/>
          <w:bottom w:w="0" w:type="dxa"/>
          <w:right w:w="0" w:type="dxa"/>
        </w:tblCellMar>
      </w:tblPr>
      <w:tblGrid>
        <w:gridCol w:w="2510"/>
        <w:gridCol w:w="120"/>
        <w:gridCol w:w="207"/>
        <w:gridCol w:w="653"/>
        <w:gridCol w:w="83"/>
        <w:gridCol w:w="166"/>
        <w:gridCol w:w="109"/>
        <w:gridCol w:w="1021"/>
        <w:gridCol w:w="275"/>
        <w:gridCol w:w="60"/>
        <w:gridCol w:w="178"/>
        <w:gridCol w:w="713"/>
        <w:gridCol w:w="76"/>
        <w:gridCol w:w="152"/>
        <w:gridCol w:w="108"/>
        <w:gridCol w:w="1022"/>
        <w:gridCol w:w="275"/>
        <w:gridCol w:w="60"/>
        <w:gridCol w:w="183"/>
        <w:gridCol w:w="677"/>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9"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9"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standard</w:t>
            </w:r>
            <w:r>
              <w:rPr/>
              <w:br/>
            </w:r>
            <w:r>
              <w:rPr>
                <w:b/>
              </w:rPr>
              <w:t>products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standard</w:t>
            </w:r>
            <w:r>
              <w:rPr/>
              <w:br/>
            </w:r>
            <w:r>
              <w:rPr>
                <w:b/>
              </w:rPr>
              <w:t>products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18"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38.2</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39.6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30.9</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30.0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54.9</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66.9</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65.0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(12.0</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0.6</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1.3</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(0.6</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2.7</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3.8</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653" w:type="dxa"/>
            <w:tcBorders/>
            <w:vAlign w:val="center"/>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8" w:type="dxa"/>
            <w:tcBorders/>
            <w:vAlign w:val="center"/>
          </w:tcPr>
          <w:p>
            <w:pPr>
              <w:pStyle w:val="TableContents"/>
              <w:pBdr>
                <w:top w:val="single" w:sz="2" w:space="1" w:color="000000"/>
              </w:pBdr>
              <w:bidi w:val="0"/>
              <w:spacing w:before="0" w:after="0"/>
              <w:jc w:val="left"/>
              <w:rPr/>
            </w:pPr>
            <w:r>
              <w:rPr/>
              <w:t> </w:t>
            </w:r>
          </w:p>
        </w:tc>
        <w:tc>
          <w:tcPr>
            <w:tcW w:w="1022"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96.4</w:t>
            </w:r>
          </w:p>
        </w:tc>
        <w:tc>
          <w:tcPr>
            <w:tcW w:w="8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102.9</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(6.5</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double" w:sz="6" w:space="1" w:color="000000"/>
              </w:pBdr>
              <w:bidi w:val="0"/>
              <w:spacing w:before="0" w:after="0"/>
              <w:jc w:val="left"/>
              <w:rPr/>
            </w:pPr>
            <w:r>
              <w:rPr/>
              <w:t> </w:t>
            </w:r>
          </w:p>
        </w:tc>
        <w:tc>
          <w:tcPr>
            <w:tcW w:w="653" w:type="dxa"/>
            <w:tcBorders/>
            <w:vAlign w:val="center"/>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pBdr>
                <w:top w:val="double" w:sz="6" w:space="1" w:color="000000"/>
              </w:pBdr>
              <w:bidi w:val="0"/>
              <w:spacing w:before="0" w:after="0"/>
              <w:jc w:val="left"/>
              <w:rPr/>
            </w:pPr>
            <w:r>
              <w:rPr/>
              <w:t> </w:t>
            </w:r>
          </w:p>
        </w:tc>
        <w:tc>
          <w:tcPr>
            <w:tcW w:w="713" w:type="dxa"/>
            <w:tcBorders/>
            <w:vAlign w:val="center"/>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8" w:type="dxa"/>
            <w:tcBorders/>
            <w:vAlign w:val="center"/>
          </w:tcPr>
          <w:p>
            <w:pPr>
              <w:pStyle w:val="TableContents"/>
              <w:pBdr>
                <w:top w:val="double" w:sz="6" w:space="1" w:color="000000"/>
              </w:pBdr>
              <w:bidi w:val="0"/>
              <w:spacing w:before="0" w:after="0"/>
              <w:jc w:val="left"/>
              <w:rPr/>
            </w:pPr>
            <w:r>
              <w:rPr/>
              <w:t> </w:t>
            </w:r>
          </w:p>
        </w:tc>
        <w:tc>
          <w:tcPr>
            <w:tcW w:w="1022"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67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Korea increased from $30.9 million for the six months ended June 30, 2023 to $38.2 million for the six months ended June 30, 2024, or by $7.3 million, or 23.6%, primarily due to a higher demand for power products such as MOSFETs, primarily for smartphone applications, which was offset in part by a lower demand for our mobile OLED display driver ICs. A higher demand for our Power IC products, primarily for televisions and OLED IT devices, also had a 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Asia Pacific (other than Korea) decreased from $66.9 million in the six months ended June 30, 2023 to $54.9 million for the six months ended June 30, 2024, or by $12.0 million, or 18.0%, primarily due to a decrease in revenue from our mobile OLED display driver ICs and auto-LCD display driver ICs. The decreased demand for our power products such as MOSFETs, mainly for e-bikes, and IGBTs, primarily for solar inverters, also had an unfavorable impact on net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Selling, general and administrative expenses were $23.0 million, or 22.5% of total revenues, for the six months ended June 30, 2024, compared to $24.3 million, or 20.6% of total revenues, for the six months ended June 30, 2023. The decrease of $1.3 million, or 5.4%, was primarily attributable to a decrease in employee compensation including certain incentives and benefit related accruals, which was offset in part by an increase in professional fees mainly comprised of legal and consulting fees.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Research and development expenses were $23.9 million, or 23.3% of total revenues, for the six months ended June 30, 2024, compared to $24.6 million, or 20.8% of total revenues, for the six months ended June 30, 2023. The decrease of $0.7 million, or 2.8%, was primarily attributable to a decrease in various overhead expenses. </w:t>
      </w:r>
    </w:p>
    <w:p>
      <w:pPr>
        <w:pStyle w:val="TextBody"/>
        <w:bidi w:val="0"/>
        <w:spacing w:before="240" w:after="0"/>
        <w:jc w:val="left"/>
        <w:rPr>
          <w:rFonts w:ascii="Times New Roman" w:hAnsi="Times New Roman"/>
          <w:sz w:val="20"/>
        </w:rPr>
      </w:pPr>
      <w:r>
        <w:rPr>
          <w:rFonts w:ascii="Times New Roman" w:hAnsi="Times New Roman"/>
          <w:b/>
          <w:i/>
          <w:sz w:val="20"/>
        </w:rPr>
        <w:t>Early Termination and Other Charges.</w:t>
      </w:r>
      <w:r>
        <w:rPr>
          <w:rFonts w:ascii="Times New Roman" w:hAnsi="Times New Roman"/>
          <w:sz w:val="20"/>
        </w:rPr>
        <w:t xml:space="preserve"> For the six months ended June 30, 2023, we recorded $8.4 million of termination related charges in connection with the Program that we offered to certain employees during the first quarter of 2023. During the same period, we also recorded $0.8 million of one-time employee incentives.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operating loss of $26.3 million was recorded for the six months ended June 30, 2024 compared to operating loss of $32.5 million for the six months ended June 30, 2023. As discussed above, the decrease in operating loss of $6.2 million resulted primarily from a $9.3 million decrease in early termination and other charges, a $1.3 million decrease in selling, general and administrative expenses and a $0.7 million decrease in research and development expenses, which was offset in part by a $5.1 million decrease in gross profit.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Income.</w:t>
      </w:r>
      <w:r>
        <w:rPr>
          <w:rFonts w:ascii="Times New Roman" w:hAnsi="Times New Roman"/>
          <w:sz w:val="20"/>
        </w:rPr>
        <w:t xml:space="preserve"> Interest income was $4.4 million and $5.5 million for the six months ended June 30, 2024 and June 30, 2023, respectively.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Expense.</w:t>
      </w:r>
      <w:r>
        <w:rPr>
          <w:rFonts w:ascii="Times New Roman" w:hAnsi="Times New Roman"/>
          <w:sz w:val="20"/>
        </w:rPr>
        <w:t xml:space="preserve"> Interest expense was $0.8 million and $0.5 million for the six months ended June 30, 2024 and June 30, 2023, respectively. </w:t>
      </w:r>
    </w:p>
    <w:p>
      <w:pPr>
        <w:pStyle w:val="TextBody"/>
        <w:bidi w:val="0"/>
        <w:spacing w:before="240" w:after="0"/>
        <w:jc w:val="left"/>
        <w:rPr>
          <w:rFonts w:ascii="Times New Roman" w:hAnsi="Times New Roman"/>
          <w:sz w:val="20"/>
        </w:rPr>
      </w:pPr>
      <w:r>
        <w:rPr>
          <w:rFonts w:ascii="Times New Roman" w:hAnsi="Times New Roman"/>
          <w:b/>
          <w:i/>
          <w:sz w:val="20"/>
        </w:rPr>
        <w:t>Foreign</w:t>
      </w:r>
      <w:r>
        <w:rPr>
          <w:rFonts w:ascii="Times New Roman" w:hAnsi="Times New Roman"/>
          <w:sz w:val="20"/>
        </w:rPr>
        <w:t xml:space="preserve"> </w:t>
      </w:r>
      <w:r>
        <w:rPr>
          <w:rFonts w:ascii="Times New Roman" w:hAnsi="Times New Roman"/>
          <w:b/>
          <w:i/>
          <w:sz w:val="20"/>
        </w:rPr>
        <w:t>Currency</w:t>
      </w:r>
      <w:r>
        <w:rPr>
          <w:rFonts w:ascii="Times New Roman" w:hAnsi="Times New Roman"/>
          <w:sz w:val="20"/>
        </w:rPr>
        <w:t xml:space="preserve"> </w:t>
      </w:r>
      <w:r>
        <w:rPr>
          <w:rFonts w:ascii="Times New Roman" w:hAnsi="Times New Roman"/>
          <w:b/>
          <w:i/>
          <w:sz w:val="20"/>
        </w:rPr>
        <w:t>Loss,</w:t>
      </w:r>
      <w:r>
        <w:rPr>
          <w:rFonts w:ascii="Times New Roman" w:hAnsi="Times New Roman"/>
          <w:sz w:val="20"/>
        </w:rPr>
        <w:t xml:space="preserve"> </w:t>
      </w:r>
      <w:r>
        <w:rPr>
          <w:rFonts w:ascii="Times New Roman" w:hAnsi="Times New Roman"/>
          <w:b/>
          <w:i/>
          <w:sz w:val="20"/>
        </w:rPr>
        <w:t>Net.</w:t>
      </w:r>
      <w:r>
        <w:rPr>
          <w:rFonts w:ascii="Times New Roman" w:hAnsi="Times New Roman"/>
          <w:sz w:val="20"/>
        </w:rPr>
        <w:t xml:space="preserve"> Net foreign currency loss for the six months ended June 30, 2024 was $8.6 million compared to net foreign currency loss of $2.2 million for the six months ended June 30, 2023. The net foreign currency loss for the six months ended June 30, 2024 and June 30, 2023 was due to the depreciation in value of the Korean won relative to the U.S. dollar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non-cash translation gain or loss associated with intercompany long-term loans to one of our Korean subsidiaries, which are denominated in U.S. dollars, and are affected by changes in the exchange rate between the Korean won and the U.S. dollar. As of June 30, 2024 and June 30, 2023, the outstanding intercompany loan balances, including accrued interest between our Korean subsidiary, Magnachip Semiconductor, Ltd., and our Dutch subsidiary, were $261.5 million and $293.1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Benefit </w:t>
      </w:r>
    </w:p>
    <w:p>
      <w:pPr>
        <w:pStyle w:val="TextBody"/>
        <w:bidi w:val="0"/>
        <w:spacing w:before="120" w:after="0"/>
        <w:jc w:val="left"/>
        <w:rPr>
          <w:rFonts w:ascii="Times New Roman" w:hAnsi="Times New Roman"/>
          <w:sz w:val="20"/>
        </w:rPr>
      </w:pPr>
      <w:r>
        <w:rPr>
          <w:rFonts w:ascii="Times New Roman" w:hAnsi="Times New Roman"/>
          <w:sz w:val="20"/>
        </w:rPr>
        <w:t xml:space="preserve">Income tax benefit was $2.6 million for the six months ended June 30, 2024, which was primarily attributable to the estimated taxable loss in one of our operating entities in Korea, offset in part by a valuation allowance established for the other operating entity in Korea as a result of its assessment of realizability of the deferred tax assets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Income tax benefit was $4.2 million for the six months ended June 30, 2023, which was primarily attributable to the estimated taxable loss in our then primary operating entity in Korea for the respective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a net loss of $28.4 million was recorded for the six months ended June 30, 2024 compared to a net loss of $25.4 million for the six months ended June 30, 2023. As discussed above, the $3.0 million increase in net loss was primarily attributable to a $6.4 million increase in net foreign currency loss, a $1.6 million decrease in income tax benefit and a $1.1 million decrease in interest income, which was offset in part by a $6.2 million decrease in operating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capital requirements are to fund sales and marketing, invest in research and development and capital equipment, to make debt service payments and to fund working capital needs. We calculate working capital as current assets less 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June 30, 2024, we did not have any accounts payable on extended terms or payment deferment with our vendors. </w:t>
      </w:r>
    </w:p>
    <w:p>
      <w:pPr>
        <w:pStyle w:val="TextBody"/>
        <w:bidi w:val="0"/>
        <w:spacing w:before="240" w:after="0"/>
        <w:jc w:val="left"/>
        <w:rPr>
          <w:rFonts w:ascii="Times New Roman" w:hAnsi="Times New Roman"/>
          <w:sz w:val="20"/>
        </w:rPr>
      </w:pPr>
      <w:r>
        <w:rPr>
          <w:rFonts w:ascii="Times New Roman" w:hAnsi="Times New Roman"/>
          <w:sz w:val="20"/>
        </w:rPr>
        <w:t xml:space="preserve">As of June 29, 2018, our Korean subsidiary, Magnachip Semiconductor, Ltd.,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June 30, 2024, the outstanding obligation of this arrangement is approximately $17.1 million for remaining service term through 2028.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2024, our Korean subsidiary, Magnachip Semiconductor, Ltd., executed a Standard Credit Agreement (together with its General Terms and Conditions, the “Loan Agreement”) with Korea Development Bank (“KDB”). The Loan Agreement provides for a working capital term loan (the “Term Loan”) of KRW 40,000,000,000 (approximately $28.8 million based on the KRW/USD exchange rate of 1,389.2:1 as of June 30, 2024 as quoted by KEB Hana Bank). The Term Loan requires monthly interest-only payments and matures on March 26, 2027, at which time the full principal balance will be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2024, cash and cash equivalents held by our Korean subsidiaries were $117.6 million, which represents 89% of our total cash and cash equivalents on a consolidated basis. We also have invested $30.0 million in short-term financial instruments, which has a maturity date in November 2024. We currently believe that we will have sufficient cash reserves from cash on hand and from a short-term investment to fund our operations as well as capital expenditures for the next 12 months and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Our working capital balance as of June 30, 2024 was $203.7 million compared to $198.5 million as of December 31, 2023. The increase in working capital balance was mainly attributable to a $4.4 million increase in cash and cash equivalents and short-term financial instruments, resulted mainly from $29.7 million of Term Loan with KDB, which was funded in full to MSK on March 26, 2024. This increase in cash and cash equivalents along with an increase in short-term financial instruments was offset in part by a $6.4 million of continued execution of stock repurchase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operating activities totaled $5.1 million for the six months ended June 30, 2024, compared to $1.9 million of cash outflow used in operating activities for the six months ended June 30, 2023. The net operating cash outflow for the six months ended June 30, 2024 reflects our net loss of $28.4 million, as adjusted favorably by $32.6 million, which mainly consisted of depreciation and amortization, provision for severance benefits, provision for inventory reserves, net foreign currency loss and stock-based compensation, and net unfavorable impact of $9.3 million from changes of operating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investing activities totaled $33.1 million for the six months ended June 30, 2024, compared to $6.4 million of cash outflow used in investing activities for the six months ended June 30, 2023. The $26.7 million increase in cash outflow was primarily attributable to a $30.0 million increase in short-term financial instruments, which was offset in part by a $4.7 million net decrease in guarantee deposits.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inflow provided by financing activities totaled $22.9 million for the six months ended June 30, 2024, compared to $37.1 million of cash outflow used in financing activities for the six months ended June 30, 2023. The financing cash inflow for the six months ended June 30, 2024 was primarily attributable to the $30.1 million of proceeds received from the new Term Loan with KDB, which was offset in part by a payment of $6.3 million for the repurchases of our common stock pursuant to our stock repurchase program and a payment of $0.5 million for the repurchase of our common stock to satisfy tax withholding obligations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vesting of restricted stock units. The financing cash outflow for the six months ended June 30, 2023 was primarily attributable to a payment of $36.4 million for the repurchases of our common stock pursuant to our stock repurchase program and a payment of $0.4 million for the repurchase of our common stock to satisfy tax withholding obligations in connection with the vesting of restricted stock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We routinely make capital expenditures for fabrication facility maintenance, enhancement of our existing facility and reinforcement of our global research and development capability. For the six months ended June 30, 2024, capital expenditures for property, plant and equipment were $1.6 million, which remained almost flat, compared to $1.5 million for the six months ended June 30, 2023. The capital expenditures for the six months ended June 30, 2024 also included expenditures related to setting up our newly established operating entity in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significant accounting policies, which are described further in Note 1 to our consolidated financial statements in our Annual Report on Form 10-K for our fiscal year ended December 31, 2023, or our 2023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our critical accounting policies that involve significant management judgement appears in our 2023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2023 Form 10-K.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tbl>
      <w:tblPr>
        <w:tblW w:w="5890" w:type="dxa"/>
        <w:jc w:val="left"/>
        <w:tblInd w:w="0" w:type="dxa"/>
        <w:tblLayout w:type="fixed"/>
        <w:tblCellMar>
          <w:top w:w="0" w:type="dxa"/>
          <w:left w:w="0" w:type="dxa"/>
          <w:bottom w:w="0" w:type="dxa"/>
          <w:right w:w="0" w:type="dxa"/>
        </w:tblCellMar>
      </w:tblPr>
      <w:tblGrid>
        <w:gridCol w:w="725"/>
        <w:gridCol w:w="5165"/>
      </w:tblGrid>
      <w:tr>
        <w:trPr/>
        <w:tc>
          <w:tcPr>
            <w:tcW w:w="725" w:type="dxa"/>
            <w:tcBorders/>
            <w:vAlign w:val="center"/>
          </w:tcPr>
          <w:p>
            <w:pPr>
              <w:pStyle w:val="TableContents"/>
              <w:bidi w:val="0"/>
              <w:spacing w:before="0" w:after="283"/>
              <w:jc w:val="left"/>
              <w:rPr>
                <w:b/>
              </w:rPr>
            </w:pPr>
            <w:bookmarkStart w:id="5" w:name="tx820102_10"/>
            <w:bookmarkEnd w:id="5"/>
            <w:r>
              <w:rPr>
                <w:b/>
              </w:rPr>
              <w:t>Item 3.</w:t>
            </w:r>
          </w:p>
        </w:tc>
        <w:tc>
          <w:tcPr>
            <w:tcW w:w="51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Exposures </w:t>
      </w:r>
    </w:p>
    <w:p>
      <w:pPr>
        <w:pStyle w:val="TextBody"/>
        <w:bidi w:val="0"/>
        <w:spacing w:before="120" w:after="0"/>
        <w:jc w:val="left"/>
        <w:rPr>
          <w:rFonts w:ascii="Times New Roman" w:hAnsi="Times New Roman"/>
          <w:sz w:val="20"/>
        </w:rPr>
      </w:pPr>
      <w:r>
        <w:rPr>
          <w:rFonts w:ascii="Times New Roman" w:hAnsi="Times New Roman"/>
          <w:sz w:val="20"/>
        </w:rPr>
        <w:t xml:space="preserve">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June 30, 2024 for our Korean subsidiaries, a 10% devaluation of the Korean won against the U.S. dollar would have resulted in a decrease of $2.2 million in our U.S. dollar financial instruments and cash balances. </w:t>
      </w:r>
    </w:p>
    <w:p>
      <w:pPr>
        <w:pStyle w:val="TextBody"/>
        <w:bidi w:val="0"/>
        <w:spacing w:before="240" w:after="0"/>
        <w:jc w:val="left"/>
        <w:rPr>
          <w:rFonts w:ascii="Times New Roman" w:hAnsi="Times New Roman"/>
          <w:sz w:val="20"/>
        </w:rPr>
      </w:pPr>
      <w:r>
        <w:rPr>
          <w:rFonts w:ascii="Times New Roman" w:hAnsi="Times New Roman"/>
          <w:sz w:val="20"/>
        </w:rPr>
        <w:t xml:space="preserve">See “Note 6.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Exposures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2024, $28.8 million aggregate principal amount of our Term Loan was outstanding. The Term Loan bears interest at a variable rate equal to the 3-month CD rate quoted by KDB, plus 1.21%, which rate is adjusted quarterly until the Term Loan mature on March 26, 2027. We have interest rate exposure with respect to the $28.8 million of our variable interest rate debt outstanding under our Term Loan as of June 30, 2024. A 50 basis point increase in interest rates would increase our expected annual interest expense for the next 12 months by approximately $0.1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tbl>
      <w:tblPr>
        <w:tblW w:w="2905" w:type="dxa"/>
        <w:jc w:val="left"/>
        <w:tblInd w:w="0" w:type="dxa"/>
        <w:tblLayout w:type="fixed"/>
        <w:tblCellMar>
          <w:top w:w="0" w:type="dxa"/>
          <w:left w:w="0" w:type="dxa"/>
          <w:bottom w:w="0" w:type="dxa"/>
          <w:right w:w="0" w:type="dxa"/>
        </w:tblCellMar>
      </w:tblPr>
      <w:tblGrid>
        <w:gridCol w:w="725"/>
        <w:gridCol w:w="2180"/>
      </w:tblGrid>
      <w:tr>
        <w:trPr/>
        <w:tc>
          <w:tcPr>
            <w:tcW w:w="725" w:type="dxa"/>
            <w:tcBorders/>
            <w:vAlign w:val="center"/>
          </w:tcPr>
          <w:p>
            <w:pPr>
              <w:pStyle w:val="TableContents"/>
              <w:bidi w:val="0"/>
              <w:spacing w:before="0" w:after="283"/>
              <w:jc w:val="left"/>
              <w:rPr>
                <w:b/>
              </w:rPr>
            </w:pPr>
            <w:bookmarkStart w:id="6" w:name="tx820102_11"/>
            <w:bookmarkEnd w:id="6"/>
            <w:r>
              <w:rPr>
                <w:b/>
              </w:rPr>
              <w:t>Item 4.</w:t>
            </w:r>
          </w:p>
        </w:tc>
        <w:tc>
          <w:tcPr>
            <w:tcW w:w="21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preparation of this Report, we carried out an evaluation under the supervision of and with the participation of our management, including our Chief Executive Officer and Chief Financial Officer, as of June 30, 2024,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June 30,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changes in our internal control over financial reporting during the quarter ended June 30, 2024 that have materially affected, or are reasonably likely to materially affect, our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x820102_12"/>
      <w:bookmarkEnd w:id="7"/>
      <w:r>
        <w:rPr>
          <w:rFonts w:ascii="Times New Roman" w:hAnsi="Times New Roman"/>
          <w:b/>
          <w:sz w:val="20"/>
        </w:rPr>
        <w:t xml:space="preserve">PART II. OTHER INFORMATION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25"/>
        <w:gridCol w:w="1655"/>
      </w:tblGrid>
      <w:tr>
        <w:trPr/>
        <w:tc>
          <w:tcPr>
            <w:tcW w:w="725" w:type="dxa"/>
            <w:tcBorders/>
            <w:vAlign w:val="center"/>
          </w:tcPr>
          <w:p>
            <w:pPr>
              <w:pStyle w:val="TableContents"/>
              <w:bidi w:val="0"/>
              <w:spacing w:before="0" w:after="283"/>
              <w:jc w:val="left"/>
              <w:rPr>
                <w:b/>
              </w:rPr>
            </w:pPr>
            <w:bookmarkStart w:id="8" w:name="tx820102_13"/>
            <w:bookmarkEnd w:id="8"/>
            <w:r>
              <w:rPr>
                <w:b/>
              </w:rPr>
              <w:t>Item 1.</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Legal Proceedings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a discussion of legal proceedings, see “Part I: Item 3. Legal Proceedings” of our 2023 Form 10-K. </w:t>
      </w:r>
    </w:p>
    <w:p>
      <w:pPr>
        <w:pStyle w:val="TextBody"/>
        <w:bidi w:val="0"/>
        <w:spacing w:before="240" w:after="0"/>
        <w:jc w:val="left"/>
        <w:rPr>
          <w:rFonts w:ascii="Times New Roman" w:hAnsi="Times New Roman"/>
          <w:sz w:val="20"/>
        </w:rPr>
      </w:pPr>
      <w:r>
        <w:rPr>
          <w:rFonts w:ascii="Times New Roman" w:hAnsi="Times New Roman"/>
          <w:sz w:val="20"/>
        </w:rPr>
        <w:t xml:space="preserve">See also “Item 1A. Risk Factors” in this Report and “Part I: Item 1A. Risk Factors” of our 2023 Form 10-K for additional information.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905"/>
        <w:gridCol w:w="1145"/>
      </w:tblGrid>
      <w:tr>
        <w:trPr/>
        <w:tc>
          <w:tcPr>
            <w:tcW w:w="905" w:type="dxa"/>
            <w:tcBorders/>
            <w:vAlign w:val="center"/>
          </w:tcPr>
          <w:p>
            <w:pPr>
              <w:pStyle w:val="TableContents"/>
              <w:bidi w:val="0"/>
              <w:spacing w:before="0" w:after="283"/>
              <w:jc w:val="left"/>
              <w:rPr>
                <w:b/>
              </w:rPr>
            </w:pPr>
            <w:bookmarkStart w:id="9" w:name="tx820102_14"/>
            <w:bookmarkEnd w:id="9"/>
            <w:r>
              <w:rPr>
                <w:b/>
              </w:rPr>
              <w:t>Item 1A.</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Risk Factors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and uncertainties, any of which could have a significant or material adverse effect on our business, financial condition, liquidity or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other information contained in this Report and the other reports and materials the Company files with the SEC, investors should carefully consider the risk factors disclosed in Part I, Item 1A of our 2023 Form 10-K as well as in our subsequent filings with the SEC. The risks described herein and therein are not the only ones we face.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changes to the risk factors disclosed in Part I, Item 1A of our 2023 Form 10-K and Part II, Item 1A of our Quarterly Report on Form 10-Q filed on May 10,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tbl>
      <w:tblPr>
        <w:tblW w:w="5845" w:type="dxa"/>
        <w:jc w:val="left"/>
        <w:tblInd w:w="0" w:type="dxa"/>
        <w:tblLayout w:type="fixed"/>
        <w:tblCellMar>
          <w:top w:w="0" w:type="dxa"/>
          <w:left w:w="0" w:type="dxa"/>
          <w:bottom w:w="0" w:type="dxa"/>
          <w:right w:w="0" w:type="dxa"/>
        </w:tblCellMar>
      </w:tblPr>
      <w:tblGrid>
        <w:gridCol w:w="725"/>
        <w:gridCol w:w="5120"/>
      </w:tblGrid>
      <w:tr>
        <w:trPr/>
        <w:tc>
          <w:tcPr>
            <w:tcW w:w="725" w:type="dxa"/>
            <w:tcBorders/>
            <w:vAlign w:val="center"/>
          </w:tcPr>
          <w:p>
            <w:pPr>
              <w:pStyle w:val="TableContents"/>
              <w:bidi w:val="0"/>
              <w:spacing w:before="0" w:after="0"/>
              <w:jc w:val="left"/>
              <w:rPr>
                <w:b/>
                <w:spacing w:val="0"/>
              </w:rPr>
            </w:pPr>
            <w:bookmarkStart w:id="10" w:name="tx820102_15"/>
            <w:bookmarkEnd w:id="10"/>
            <w:r>
              <w:rPr>
                <w:b/>
                <w:spacing w:val="0"/>
              </w:rPr>
              <w:t>Item 2.</w:t>
            </w:r>
          </w:p>
        </w:tc>
        <w:tc>
          <w:tcPr>
            <w:tcW w:w="512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Unregistered Sales of Equity Securities and Use of Proceeds.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following table shows the monthly activity related to our repurchases of common stock for the quarter ended June 30, 2024. </w:t>
      </w:r>
    </w:p>
    <w:p>
      <w:pPr>
        <w:pStyle w:val="TextBody"/>
        <w:bidi w:val="0"/>
        <w:spacing w:before="0" w:after="0"/>
        <w:ind w:left="0" w:right="0" w:hanging="0"/>
        <w:jc w:val="left"/>
        <w:rPr>
          <w:spacing w:val="0"/>
        </w:rPr>
      </w:pPr>
      <w:r>
        <w:rPr>
          <w:spacing w:val="0"/>
        </w:rPr>
        <w:t> </w:t>
      </w:r>
    </w:p>
    <w:tbl>
      <w:tblPr>
        <w:tblW w:w="8230" w:type="dxa"/>
        <w:jc w:val="left"/>
        <w:tblInd w:w="0" w:type="dxa"/>
        <w:tblLayout w:type="fixed"/>
        <w:tblCellMar>
          <w:top w:w="0" w:type="dxa"/>
          <w:left w:w="0" w:type="dxa"/>
          <w:bottom w:w="0" w:type="dxa"/>
          <w:right w:w="0" w:type="dxa"/>
        </w:tblCellMar>
      </w:tblPr>
      <w:tblGrid>
        <w:gridCol w:w="920"/>
        <w:gridCol w:w="120"/>
        <w:gridCol w:w="102"/>
        <w:gridCol w:w="1373"/>
        <w:gridCol w:w="60"/>
        <w:gridCol w:w="120"/>
        <w:gridCol w:w="258"/>
        <w:gridCol w:w="812"/>
        <w:gridCol w:w="60"/>
        <w:gridCol w:w="120"/>
        <w:gridCol w:w="131"/>
        <w:gridCol w:w="1749"/>
        <w:gridCol w:w="60"/>
        <w:gridCol w:w="120"/>
        <w:gridCol w:w="367"/>
        <w:gridCol w:w="1783"/>
        <w:gridCol w:w="75"/>
      </w:tblGrid>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Period</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Total Number</w:t>
            </w:r>
          </w:p>
          <w:p>
            <w:pPr>
              <w:pStyle w:val="TableContents"/>
              <w:bidi w:val="0"/>
              <w:spacing w:before="0" w:after="0"/>
              <w:jc w:val="center"/>
              <w:rPr/>
            </w:pPr>
            <w:r>
              <w:rPr/>
            </w:r>
          </w:p>
          <w:p>
            <w:pPr>
              <w:pStyle w:val="TableContents"/>
              <w:bidi w:val="0"/>
              <w:spacing w:before="0" w:after="0"/>
              <w:jc w:val="center"/>
              <w:rPr>
                <w:b/>
                <w:spacing w:val="0"/>
              </w:rPr>
            </w:pPr>
            <w:r>
              <w:rPr>
                <w:b/>
                <w:spacing w:val="0"/>
              </w:rPr>
              <w:t>of Shares</w:t>
            </w:r>
          </w:p>
          <w:p>
            <w:pPr>
              <w:pStyle w:val="TableContents"/>
              <w:bidi w:val="0"/>
              <w:spacing w:before="0" w:after="0"/>
              <w:jc w:val="center"/>
              <w:rPr/>
            </w:pPr>
            <w:r>
              <w:rPr/>
            </w:r>
          </w:p>
          <w:p>
            <w:pPr>
              <w:pStyle w:val="TableContents"/>
              <w:bidi w:val="0"/>
              <w:spacing w:before="0" w:after="0"/>
              <w:jc w:val="center"/>
              <w:rPr>
                <w:b/>
                <w:spacing w:val="0"/>
              </w:rPr>
            </w:pPr>
            <w:r>
              <w:rPr>
                <w:b/>
                <w:spacing w:val="0"/>
              </w:rPr>
              <w:t>Purchased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Price Paid</w:t>
            </w:r>
          </w:p>
          <w:p>
            <w:pPr>
              <w:pStyle w:val="TableContents"/>
              <w:bidi w:val="0"/>
              <w:spacing w:before="0" w:after="0"/>
              <w:jc w:val="center"/>
              <w:rPr/>
            </w:pPr>
            <w:r>
              <w:rPr/>
            </w:r>
          </w:p>
          <w:p>
            <w:pPr>
              <w:pStyle w:val="TableContents"/>
              <w:bidi w:val="0"/>
              <w:spacing w:before="0" w:after="0"/>
              <w:jc w:val="center"/>
              <w:rPr>
                <w:b/>
                <w:spacing w:val="0"/>
              </w:rPr>
            </w:pPr>
            <w:r>
              <w:rPr>
                <w:b/>
                <w:spacing w:val="0"/>
              </w:rPr>
              <w:t>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vAlign w:val="center"/>
          </w:tcPr>
          <w:p>
            <w:pPr>
              <w:pStyle w:val="TableContents"/>
              <w:bidi w:val="0"/>
              <w:spacing w:before="0" w:after="0"/>
              <w:jc w:val="center"/>
              <w:rPr>
                <w:b/>
                <w:spacing w:val="0"/>
              </w:rPr>
            </w:pPr>
            <w:r>
              <w:rPr>
                <w:b/>
                <w:spacing w:val="0"/>
              </w:rPr>
              <w:t>Total Number</w:t>
            </w:r>
          </w:p>
          <w:p>
            <w:pPr>
              <w:pStyle w:val="TableContents"/>
              <w:bidi w:val="0"/>
              <w:spacing w:before="0" w:after="0"/>
              <w:jc w:val="center"/>
              <w:rPr/>
            </w:pPr>
            <w:r>
              <w:rPr/>
            </w:r>
          </w:p>
          <w:p>
            <w:pPr>
              <w:pStyle w:val="TableContents"/>
              <w:bidi w:val="0"/>
              <w:spacing w:before="0" w:after="0"/>
              <w:jc w:val="center"/>
              <w:rPr>
                <w:b/>
                <w:spacing w:val="0"/>
              </w:rPr>
            </w:pPr>
            <w:r>
              <w:rPr>
                <w:b/>
                <w:spacing w:val="0"/>
              </w:rPr>
              <w:t>of Shares</w:t>
            </w:r>
          </w:p>
          <w:p>
            <w:pPr>
              <w:pStyle w:val="TableContents"/>
              <w:bidi w:val="0"/>
              <w:spacing w:before="0" w:after="0"/>
              <w:jc w:val="center"/>
              <w:rPr/>
            </w:pPr>
            <w:r>
              <w:rPr/>
            </w:r>
          </w:p>
          <w:p>
            <w:pPr>
              <w:pStyle w:val="TableContents"/>
              <w:bidi w:val="0"/>
              <w:spacing w:before="0" w:after="0"/>
              <w:jc w:val="center"/>
              <w:rPr>
                <w:b/>
                <w:spacing w:val="0"/>
              </w:rPr>
            </w:pPr>
            <w:r>
              <w:rPr>
                <w:b/>
                <w:spacing w:val="0"/>
              </w:rPr>
              <w:t>Purchased as Part</w:t>
            </w:r>
          </w:p>
          <w:p>
            <w:pPr>
              <w:pStyle w:val="TableContents"/>
              <w:bidi w:val="0"/>
              <w:spacing w:before="0" w:after="0"/>
              <w:jc w:val="center"/>
              <w:rPr/>
            </w:pPr>
            <w:r>
              <w:rPr/>
            </w:r>
          </w:p>
          <w:p>
            <w:pPr>
              <w:pStyle w:val="TableContents"/>
              <w:bidi w:val="0"/>
              <w:spacing w:before="0" w:after="0"/>
              <w:jc w:val="center"/>
              <w:rPr>
                <w:b/>
                <w:spacing w:val="0"/>
              </w:rPr>
            </w:pPr>
            <w:r>
              <w:rPr>
                <w:b/>
                <w:spacing w:val="0"/>
              </w:rPr>
              <w:t>of Publicly</w:t>
            </w:r>
          </w:p>
          <w:p>
            <w:pPr>
              <w:pStyle w:val="TableContents"/>
              <w:bidi w:val="0"/>
              <w:spacing w:before="0" w:after="0"/>
              <w:jc w:val="center"/>
              <w:rPr/>
            </w:pPr>
            <w:r>
              <w:rPr/>
            </w:r>
          </w:p>
          <w:p>
            <w:pPr>
              <w:pStyle w:val="TableContents"/>
              <w:bidi w:val="0"/>
              <w:spacing w:before="0" w:after="0"/>
              <w:jc w:val="center"/>
              <w:rPr>
                <w:b/>
                <w:spacing w:val="0"/>
              </w:rPr>
            </w:pPr>
            <w:r>
              <w:rPr>
                <w:b/>
                <w:spacing w:val="0"/>
              </w:rPr>
              <w:t>Announced Plans</w:t>
            </w:r>
          </w:p>
          <w:p>
            <w:pPr>
              <w:pStyle w:val="TableContents"/>
              <w:bidi w:val="0"/>
              <w:spacing w:before="0" w:after="0"/>
              <w:jc w:val="center"/>
              <w:rPr/>
            </w:pPr>
            <w:r>
              <w:rPr/>
            </w:r>
          </w:p>
          <w:p>
            <w:pPr>
              <w:pStyle w:val="TableContents"/>
              <w:bidi w:val="0"/>
              <w:spacing w:before="0" w:after="0"/>
              <w:jc w:val="center"/>
              <w:rPr>
                <w:b/>
                <w:spacing w:val="0"/>
              </w:rPr>
            </w:pPr>
            <w:r>
              <w:rPr>
                <w:b/>
                <w:spacing w:val="0"/>
              </w:rPr>
              <w:t>or Programs(1)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vAlign w:val="center"/>
          </w:tcPr>
          <w:p>
            <w:pPr>
              <w:pStyle w:val="TableContents"/>
              <w:bidi w:val="0"/>
              <w:spacing w:before="0" w:after="0"/>
              <w:jc w:val="center"/>
              <w:rPr>
                <w:b/>
                <w:spacing w:val="0"/>
              </w:rPr>
            </w:pPr>
            <w:r>
              <w:rPr>
                <w:b/>
                <w:spacing w:val="0"/>
              </w:rPr>
              <w:t>Approximate dollar</w:t>
            </w:r>
          </w:p>
          <w:p>
            <w:pPr>
              <w:pStyle w:val="TableContents"/>
              <w:bidi w:val="0"/>
              <w:spacing w:before="0" w:after="0"/>
              <w:jc w:val="center"/>
              <w:rPr/>
            </w:pPr>
            <w:r>
              <w:rPr/>
            </w:r>
          </w:p>
          <w:p>
            <w:pPr>
              <w:pStyle w:val="TableContents"/>
              <w:bidi w:val="0"/>
              <w:spacing w:before="0" w:after="0"/>
              <w:jc w:val="center"/>
              <w:rPr>
                <w:b/>
                <w:spacing w:val="0"/>
              </w:rPr>
            </w:pPr>
            <w:r>
              <w:rPr>
                <w:b/>
                <w:spacing w:val="0"/>
              </w:rPr>
              <w:t>value of Shares that</w:t>
            </w:r>
          </w:p>
          <w:p>
            <w:pPr>
              <w:pStyle w:val="TableContents"/>
              <w:bidi w:val="0"/>
              <w:spacing w:before="0" w:after="0"/>
              <w:jc w:val="center"/>
              <w:rPr/>
            </w:pPr>
            <w:r>
              <w:rPr/>
            </w:r>
          </w:p>
          <w:p>
            <w:pPr>
              <w:pStyle w:val="TableContents"/>
              <w:bidi w:val="0"/>
              <w:spacing w:before="0" w:after="0"/>
              <w:jc w:val="center"/>
              <w:rPr>
                <w:b/>
                <w:spacing w:val="0"/>
              </w:rPr>
            </w:pPr>
            <w:r>
              <w:rPr>
                <w:b/>
                <w:spacing w:val="0"/>
              </w:rPr>
              <w:t>may yet be</w:t>
            </w:r>
          </w:p>
          <w:p>
            <w:pPr>
              <w:pStyle w:val="TableContents"/>
              <w:bidi w:val="0"/>
              <w:spacing w:before="0" w:after="0"/>
              <w:jc w:val="center"/>
              <w:rPr/>
            </w:pPr>
            <w:r>
              <w:rPr/>
            </w:r>
          </w:p>
          <w:p>
            <w:pPr>
              <w:pStyle w:val="TableContents"/>
              <w:bidi w:val="0"/>
              <w:spacing w:before="0" w:after="0"/>
              <w:jc w:val="center"/>
              <w:rPr>
                <w:b/>
                <w:spacing w:val="0"/>
              </w:rPr>
            </w:pPr>
            <w:r>
              <w:rPr>
                <w:b/>
                <w:spacing w:val="0"/>
              </w:rPr>
              <w:t>Purchased under the</w:t>
            </w:r>
          </w:p>
          <w:p>
            <w:pPr>
              <w:pStyle w:val="TableContents"/>
              <w:bidi w:val="0"/>
              <w:spacing w:before="0" w:after="0"/>
              <w:jc w:val="center"/>
              <w:rPr/>
            </w:pPr>
            <w:r>
              <w:rPr/>
            </w:r>
          </w:p>
          <w:p>
            <w:pPr>
              <w:pStyle w:val="TableContents"/>
              <w:bidi w:val="0"/>
              <w:spacing w:before="0" w:after="0"/>
              <w:jc w:val="center"/>
              <w:rPr>
                <w:b/>
                <w:spacing w:val="0"/>
              </w:rPr>
            </w:pPr>
            <w:r>
              <w:rPr>
                <w:b/>
                <w:spacing w:val="0"/>
              </w:rPr>
              <w:t>Plans or Programs</w:t>
            </w:r>
          </w:p>
          <w:p>
            <w:pPr>
              <w:pStyle w:val="TableContents"/>
              <w:bidi w:val="0"/>
              <w:spacing w:before="0" w:after="0"/>
              <w:jc w:val="center"/>
              <w:rPr/>
            </w:pPr>
            <w:r>
              <w:rPr/>
            </w:r>
          </w:p>
          <w:p>
            <w:pPr>
              <w:pStyle w:val="TableContents"/>
              <w:bidi w:val="0"/>
              <w:spacing w:before="0" w:after="0"/>
              <w:jc w:val="center"/>
              <w:rPr>
                <w:b/>
                <w:spacing w:val="0"/>
              </w:rPr>
            </w:pPr>
            <w:r>
              <w:rPr>
                <w:b/>
                <w:spacing w:val="0"/>
              </w:rPr>
              <w:t>(in thousands)(1)</w:t>
            </w:r>
          </w:p>
        </w:tc>
        <w:tc>
          <w:tcPr>
            <w:tcW w:w="7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April 2024</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783" w:type="dxa"/>
            <w:tcBorders/>
            <w:shd w:fill="CCEEFF" w:val="clear"/>
            <w:vAlign w:val="center"/>
          </w:tcPr>
          <w:p>
            <w:pPr>
              <w:pStyle w:val="TableContents"/>
              <w:bidi w:val="0"/>
              <w:spacing w:before="0" w:after="283"/>
              <w:jc w:val="right"/>
              <w:rPr/>
            </w:pPr>
            <w:r>
              <w:rPr/>
              <w:t>32,323</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May 2024</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56,652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4.97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56,652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32,041</w:t>
            </w:r>
          </w:p>
        </w:tc>
        <w:tc>
          <w:tcPr>
            <w:tcW w:w="7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June 2024</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414,504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4.92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414,504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783" w:type="dxa"/>
            <w:tcBorders/>
            <w:shd w:fill="CCEEFF" w:val="clear"/>
            <w:vAlign w:val="center"/>
          </w:tcPr>
          <w:p>
            <w:pPr>
              <w:pStyle w:val="TableContents"/>
              <w:bidi w:val="0"/>
              <w:spacing w:before="0" w:after="283"/>
              <w:jc w:val="right"/>
              <w:rPr/>
            </w:pPr>
            <w:r>
              <w:rPr/>
              <w:t>30,003</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471,156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4.92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471,156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30,003</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19, 2023, the Company’s Board of Directors authorized a new $50 million stock buyback program. Purchases have been and will be made in the open market or through privately negotiated transactions, depending upon market conditions and other factors. In connection with the repurchase program, the Company established a stock trading plan with Needham &amp; Company, LLC in accordance with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10b5-1</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w:t>
            </w:r>
          </w:p>
        </w:tc>
      </w:tr>
    </w:tbl>
    <w:p>
      <w:pPr>
        <w:pStyle w:val="TextBody"/>
        <w:bidi w:val="0"/>
        <w:spacing w:before="0" w:after="0"/>
        <w:ind w:left="0" w:right="0" w:hanging="0"/>
        <w:jc w:val="left"/>
        <w:rPr>
          <w:spacing w:val="0"/>
        </w:rPr>
      </w:pPr>
      <w:r>
        <w:rPr>
          <w:spacing w:val="0"/>
        </w:rPr>
        <w:t> </w:t>
      </w:r>
    </w:p>
    <w:tbl>
      <w:tblPr>
        <w:tblW w:w="3460" w:type="dxa"/>
        <w:jc w:val="left"/>
        <w:tblInd w:w="0" w:type="dxa"/>
        <w:tblLayout w:type="fixed"/>
        <w:tblCellMar>
          <w:top w:w="0" w:type="dxa"/>
          <w:left w:w="0" w:type="dxa"/>
          <w:bottom w:w="0" w:type="dxa"/>
          <w:right w:w="0" w:type="dxa"/>
        </w:tblCellMar>
      </w:tblPr>
      <w:tblGrid>
        <w:gridCol w:w="725"/>
        <w:gridCol w:w="2735"/>
      </w:tblGrid>
      <w:tr>
        <w:trPr/>
        <w:tc>
          <w:tcPr>
            <w:tcW w:w="725" w:type="dxa"/>
            <w:tcBorders/>
            <w:vAlign w:val="center"/>
          </w:tcPr>
          <w:p>
            <w:pPr>
              <w:pStyle w:val="TableContents"/>
              <w:bidi w:val="0"/>
              <w:spacing w:before="0" w:after="0"/>
              <w:jc w:val="left"/>
              <w:rPr>
                <w:b/>
                <w:spacing w:val="0"/>
              </w:rPr>
            </w:pPr>
            <w:bookmarkStart w:id="11" w:name="tx820102_16"/>
            <w:bookmarkEnd w:id="11"/>
            <w:r>
              <w:rPr>
                <w:b/>
                <w:spacing w:val="0"/>
              </w:rPr>
              <w:t>Item 3.</w:t>
            </w:r>
          </w:p>
        </w:tc>
        <w:tc>
          <w:tcPr>
            <w:tcW w:w="273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Defaults Upon Senior Securities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Not applicable. </w:t>
      </w:r>
    </w:p>
    <w:p>
      <w:pPr>
        <w:pStyle w:val="TextBody"/>
        <w:bidi w:val="0"/>
        <w:spacing w:before="0" w:after="0"/>
        <w:ind w:left="0" w:right="0" w:hanging="0"/>
        <w:jc w:val="left"/>
        <w:rPr>
          <w:spacing w:val="0"/>
        </w:rPr>
      </w:pPr>
      <w:r>
        <w:rPr>
          <w:spacing w:val="0"/>
        </w:rPr>
        <w:t> </w:t>
      </w:r>
    </w:p>
    <w:tbl>
      <w:tblPr>
        <w:tblW w:w="2815" w:type="dxa"/>
        <w:jc w:val="left"/>
        <w:tblInd w:w="0" w:type="dxa"/>
        <w:tblLayout w:type="fixed"/>
        <w:tblCellMar>
          <w:top w:w="0" w:type="dxa"/>
          <w:left w:w="0" w:type="dxa"/>
          <w:bottom w:w="0" w:type="dxa"/>
          <w:right w:w="0" w:type="dxa"/>
        </w:tblCellMar>
      </w:tblPr>
      <w:tblGrid>
        <w:gridCol w:w="725"/>
        <w:gridCol w:w="2090"/>
      </w:tblGrid>
      <w:tr>
        <w:trPr/>
        <w:tc>
          <w:tcPr>
            <w:tcW w:w="725" w:type="dxa"/>
            <w:tcBorders/>
            <w:vAlign w:val="center"/>
          </w:tcPr>
          <w:p>
            <w:pPr>
              <w:pStyle w:val="TableContents"/>
              <w:bidi w:val="0"/>
              <w:spacing w:before="0" w:after="0"/>
              <w:jc w:val="left"/>
              <w:rPr>
                <w:b/>
                <w:spacing w:val="0"/>
              </w:rPr>
            </w:pPr>
            <w:bookmarkStart w:id="12" w:name="tx820102_17"/>
            <w:bookmarkEnd w:id="12"/>
            <w:r>
              <w:rPr>
                <w:b/>
                <w:spacing w:val="0"/>
              </w:rPr>
              <w:t>Item 4.</w:t>
            </w:r>
          </w:p>
        </w:tc>
        <w:tc>
          <w:tcPr>
            <w:tcW w:w="20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Mine Safety Disclosures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Not applicable. </w:t>
      </w:r>
    </w:p>
    <w:p>
      <w:pPr>
        <w:pStyle w:val="TextBody"/>
        <w:bidi w:val="0"/>
        <w:spacing w:before="0" w:after="0"/>
        <w:ind w:left="0" w:right="0" w:hanging="0"/>
        <w:jc w:val="left"/>
        <w:rPr>
          <w:spacing w:val="0"/>
        </w:rPr>
      </w:pPr>
      <w:r>
        <w:rPr>
          <w:spacing w:val="0"/>
        </w:rPr>
        <w:t> </w:t>
      </w:r>
    </w:p>
    <w:tbl>
      <w:tblPr>
        <w:tblW w:w="2380" w:type="dxa"/>
        <w:jc w:val="left"/>
        <w:tblInd w:w="0" w:type="dxa"/>
        <w:tblLayout w:type="fixed"/>
        <w:tblCellMar>
          <w:top w:w="0" w:type="dxa"/>
          <w:left w:w="0" w:type="dxa"/>
          <w:bottom w:w="0" w:type="dxa"/>
          <w:right w:w="0" w:type="dxa"/>
        </w:tblCellMar>
      </w:tblPr>
      <w:tblGrid>
        <w:gridCol w:w="725"/>
        <w:gridCol w:w="1655"/>
      </w:tblGrid>
      <w:tr>
        <w:trPr/>
        <w:tc>
          <w:tcPr>
            <w:tcW w:w="725" w:type="dxa"/>
            <w:tcBorders/>
            <w:vAlign w:val="center"/>
          </w:tcPr>
          <w:p>
            <w:pPr>
              <w:pStyle w:val="TableContents"/>
              <w:bidi w:val="0"/>
              <w:spacing w:before="0" w:after="0"/>
              <w:jc w:val="left"/>
              <w:rPr>
                <w:b/>
                <w:spacing w:val="0"/>
              </w:rPr>
            </w:pPr>
            <w:bookmarkStart w:id="13" w:name="tx820102_18"/>
            <w:bookmarkEnd w:id="13"/>
            <w:r>
              <w:rPr>
                <w:b/>
                <w:spacing w:val="0"/>
              </w:rPr>
              <w:t>Item 5.</w:t>
            </w:r>
          </w:p>
        </w:tc>
        <w:tc>
          <w:tcPr>
            <w:tcW w:w="16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Other Information </w:t>
            </w:r>
          </w:p>
        </w:tc>
      </w:tr>
    </w:tbl>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Securities Trading Plans of Directors and Executive Officers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During our last fiscal quarter, no director or officer, as defined in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16a-1(f),</w:t>
      </w:r>
    </w:p>
    <w:p>
      <w:pPr>
        <w:pStyle w:val="TextBody"/>
        <w:bidi w:val="0"/>
        <w:spacing w:before="120" w:after="0"/>
        <w:jc w:val="left"/>
        <w:rPr>
          <w:rFonts w:ascii="Times New Roman" w:hAnsi="Times New Roman"/>
          <w:sz w:val="20"/>
        </w:rPr>
      </w:pPr>
      <w:r>
        <w:rPr>
          <w:rFonts w:ascii="Times New Roman" w:hAnsi="Times New Roman"/>
          <w:sz w:val="20"/>
        </w:rPr>
        <w:t xml:space="preserve">adopted or terminated a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or a </w:t>
      </w:r>
    </w:p>
    <w:p>
      <w:pPr>
        <w:pStyle w:val="TextBody"/>
        <w:bidi w:val="0"/>
        <w:spacing w:before="120" w:after="0"/>
        <w:jc w:val="left"/>
        <w:rPr>
          <w:spacing w:val="0"/>
        </w:rPr>
      </w:pPr>
      <w:r>
        <w:rPr>
          <w:spacing w:val="0"/>
        </w:rPr>
        <w:t>“</w:t>
      </w:r>
      <w:r>
        <w:rPr>
          <w:rFonts w:ascii="Times New Roman" w:hAnsi="Times New Roman"/>
          <w:spacing w:val="0"/>
          <w:sz w:val="20"/>
        </w:rPr>
        <w:t>non-Rule</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each as defined in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Item 408. </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53 </w:t>
      </w:r>
      <w:r>
        <w:br w:type="page"/>
      </w:r>
    </w:p>
    <w:p>
      <w:pPr>
        <w:pStyle w:val="HorizontalLine"/>
        <w:bidi w:val="0"/>
        <w:jc w:val="left"/>
        <w:rPr/>
      </w:pPr>
      <w:r>
        <w:rPr/>
      </w:r>
    </w:p>
    <w:tbl>
      <w:tblPr>
        <w:tblW w:w="1555" w:type="dxa"/>
        <w:jc w:val="left"/>
        <w:tblInd w:w="0" w:type="dxa"/>
        <w:tblLayout w:type="fixed"/>
        <w:tblCellMar>
          <w:top w:w="0" w:type="dxa"/>
          <w:left w:w="0" w:type="dxa"/>
          <w:bottom w:w="0" w:type="dxa"/>
          <w:right w:w="0" w:type="dxa"/>
        </w:tblCellMar>
      </w:tblPr>
      <w:tblGrid>
        <w:gridCol w:w="725"/>
        <w:gridCol w:w="830"/>
      </w:tblGrid>
      <w:tr>
        <w:trPr/>
        <w:tc>
          <w:tcPr>
            <w:tcW w:w="725" w:type="dxa"/>
            <w:tcBorders/>
            <w:vAlign w:val="center"/>
          </w:tcPr>
          <w:p>
            <w:pPr>
              <w:pStyle w:val="TableContents"/>
              <w:bidi w:val="0"/>
              <w:spacing w:before="0" w:after="283"/>
              <w:jc w:val="left"/>
              <w:rPr>
                <w:b/>
              </w:rPr>
            </w:pPr>
            <w:bookmarkStart w:id="14" w:name="tx820102_19"/>
            <w:bookmarkEnd w:id="14"/>
            <w:r>
              <w:rPr>
                <w:b/>
              </w:rPr>
              <w:t>Item 6.</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78"/>
        <w:gridCol w:w="120"/>
        <w:gridCol w:w="9207"/>
      </w:tblGrid>
      <w:tr>
        <w:trPr/>
        <w:tc>
          <w:tcPr>
            <w:tcW w:w="8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7" w:type="dxa"/>
            <w:tcBorders/>
            <w:vAlign w:val="center"/>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20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878" w:type="dxa"/>
            <w:tcBorders/>
            <w:vAlign w:val="center"/>
          </w:tcPr>
          <w:p>
            <w:pPr>
              <w:pStyle w:val="TableContents"/>
              <w:bidi w:val="0"/>
              <w:spacing w:before="0" w:after="283"/>
              <w:jc w:val="left"/>
              <w:rPr/>
            </w:pPr>
            <w:r>
              <w:rPr/>
              <w:t> </w:t>
            </w:r>
            <w:r>
              <w:rPr/>
              <w:t>31.1#</w:t>
            </w:r>
          </w:p>
        </w:tc>
        <w:tc>
          <w:tcPr>
            <w:tcW w:w="120" w:type="dxa"/>
            <w:tcBorders/>
            <w:vAlign w:val="center"/>
          </w:tcPr>
          <w:p>
            <w:pPr>
              <w:pStyle w:val="TableContents"/>
              <w:bidi w:val="0"/>
              <w:spacing w:before="0" w:after="283"/>
              <w:jc w:val="left"/>
              <w:rPr/>
            </w:pPr>
            <w:r>
              <w:rPr/>
              <w:t>  </w:t>
            </w:r>
          </w:p>
        </w:tc>
        <w:tc>
          <w:tcPr>
            <w:tcW w:w="9207" w:type="dxa"/>
            <w:tcBorders/>
            <w:vAlign w:val="center"/>
          </w:tcPr>
          <w:p>
            <w:pPr>
              <w:pStyle w:val="TableContents"/>
              <w:bidi w:val="0"/>
              <w:spacing w:before="0" w:after="283"/>
              <w:jc w:val="left"/>
              <w:rPr/>
            </w:pPr>
            <w:hyperlink w:anchor="d820102dex311.htm">
              <w:r>
                <w:rPr>
                  <w:rStyle w:val="InternetLink"/>
                </w:rPr>
                <w:t xml:space="preserve">Certification pursuant to Rule 13a-14(a) or Rule 15d-14(a) of the Securities Exchange Act of 1934 of the Principal Executive Officer. </w:t>
              </w:r>
            </w:hyperlink>
          </w:p>
        </w:tc>
      </w:tr>
      <w:tr>
        <w:trPr/>
        <w:tc>
          <w:tcPr>
            <w:tcW w:w="878" w:type="dxa"/>
            <w:tcBorders/>
            <w:vAlign w:val="center"/>
          </w:tcPr>
          <w:p>
            <w:pPr>
              <w:pStyle w:val="TableContents"/>
              <w:bidi w:val="0"/>
              <w:spacing w:before="0" w:after="283"/>
              <w:jc w:val="left"/>
              <w:rPr>
                <w:sz w:val="4"/>
                <w:szCs w:val="4"/>
              </w:rPr>
            </w:pPr>
            <w:r>
              <w:rPr>
                <w:sz w:val="4"/>
                <w:szCs w:val="4"/>
              </w:rPr>
            </w:r>
          </w:p>
        </w:tc>
        <w:tc>
          <w:tcPr>
            <w:tcW w:w="9327" w:type="dxa"/>
            <w:gridSpan w:val="2"/>
            <w:tcBorders/>
            <w:vAlign w:val="center"/>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283"/>
              <w:jc w:val="left"/>
              <w:rPr/>
            </w:pPr>
            <w:r>
              <w:rPr/>
              <w:t> </w:t>
            </w:r>
            <w:r>
              <w:rPr/>
              <w:t>31.2#</w:t>
            </w:r>
          </w:p>
        </w:tc>
        <w:tc>
          <w:tcPr>
            <w:tcW w:w="120" w:type="dxa"/>
            <w:tcBorders/>
            <w:vAlign w:val="center"/>
          </w:tcPr>
          <w:p>
            <w:pPr>
              <w:pStyle w:val="TableContents"/>
              <w:bidi w:val="0"/>
              <w:spacing w:before="0" w:after="283"/>
              <w:jc w:val="left"/>
              <w:rPr/>
            </w:pPr>
            <w:r>
              <w:rPr/>
              <w:t>  </w:t>
            </w:r>
          </w:p>
        </w:tc>
        <w:tc>
          <w:tcPr>
            <w:tcW w:w="9207" w:type="dxa"/>
            <w:tcBorders/>
            <w:vAlign w:val="center"/>
          </w:tcPr>
          <w:p>
            <w:pPr>
              <w:pStyle w:val="TableContents"/>
              <w:bidi w:val="0"/>
              <w:spacing w:before="0" w:after="283"/>
              <w:jc w:val="left"/>
              <w:rPr/>
            </w:pPr>
            <w:hyperlink w:anchor="d820102dex312.htm">
              <w:r>
                <w:rPr>
                  <w:rStyle w:val="InternetLink"/>
                </w:rPr>
                <w:t xml:space="preserve">Certification pursuant to Rule 13a-14(a) or Rule 15d-14(a) of the Securities Exchange Act of 1934 of the Principal Financial Officer. </w:t>
              </w:r>
            </w:hyperlink>
          </w:p>
        </w:tc>
      </w:tr>
      <w:tr>
        <w:trPr/>
        <w:tc>
          <w:tcPr>
            <w:tcW w:w="878" w:type="dxa"/>
            <w:tcBorders/>
            <w:vAlign w:val="center"/>
          </w:tcPr>
          <w:p>
            <w:pPr>
              <w:pStyle w:val="TableContents"/>
              <w:bidi w:val="0"/>
              <w:spacing w:before="0" w:after="283"/>
              <w:jc w:val="left"/>
              <w:rPr>
                <w:sz w:val="4"/>
                <w:szCs w:val="4"/>
              </w:rPr>
            </w:pPr>
            <w:r>
              <w:rPr>
                <w:sz w:val="4"/>
                <w:szCs w:val="4"/>
              </w:rPr>
            </w:r>
          </w:p>
        </w:tc>
        <w:tc>
          <w:tcPr>
            <w:tcW w:w="9327" w:type="dxa"/>
            <w:gridSpan w:val="2"/>
            <w:tcBorders/>
            <w:vAlign w:val="center"/>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283"/>
              <w:jc w:val="left"/>
              <w:rPr/>
            </w:pPr>
            <w:r>
              <w:rPr/>
              <w:t> </w:t>
            </w:r>
            <w:r>
              <w:rPr/>
              <w:t>32.1†</w:t>
            </w:r>
          </w:p>
        </w:tc>
        <w:tc>
          <w:tcPr>
            <w:tcW w:w="120" w:type="dxa"/>
            <w:tcBorders/>
            <w:vAlign w:val="center"/>
          </w:tcPr>
          <w:p>
            <w:pPr>
              <w:pStyle w:val="TableContents"/>
              <w:bidi w:val="0"/>
              <w:spacing w:before="0" w:after="283"/>
              <w:jc w:val="left"/>
              <w:rPr/>
            </w:pPr>
            <w:r>
              <w:rPr/>
              <w:t>  </w:t>
            </w:r>
          </w:p>
        </w:tc>
        <w:tc>
          <w:tcPr>
            <w:tcW w:w="9207" w:type="dxa"/>
            <w:tcBorders/>
            <w:vAlign w:val="center"/>
          </w:tcPr>
          <w:p>
            <w:pPr>
              <w:pStyle w:val="TableContents"/>
              <w:bidi w:val="0"/>
              <w:spacing w:before="0" w:after="283"/>
              <w:jc w:val="left"/>
              <w:rPr/>
            </w:pPr>
            <w:hyperlink w:anchor="d820102dex321.htm">
              <w:r>
                <w:rPr>
                  <w:rStyle w:val="InternetLink"/>
                </w:rPr>
                <w:t xml:space="preserve">Certification pursuant to 18 U.S.C. Section 1350, as adopted pursuant to Section 906 of the Sarbanes-Oxley Act of 2002, of the Principal Executive Officer. </w:t>
              </w:r>
            </w:hyperlink>
          </w:p>
        </w:tc>
      </w:tr>
      <w:tr>
        <w:trPr/>
        <w:tc>
          <w:tcPr>
            <w:tcW w:w="878" w:type="dxa"/>
            <w:tcBorders/>
            <w:vAlign w:val="center"/>
          </w:tcPr>
          <w:p>
            <w:pPr>
              <w:pStyle w:val="TableContents"/>
              <w:bidi w:val="0"/>
              <w:spacing w:before="0" w:after="283"/>
              <w:jc w:val="left"/>
              <w:rPr>
                <w:sz w:val="4"/>
                <w:szCs w:val="4"/>
              </w:rPr>
            </w:pPr>
            <w:r>
              <w:rPr>
                <w:sz w:val="4"/>
                <w:szCs w:val="4"/>
              </w:rPr>
            </w:r>
          </w:p>
        </w:tc>
        <w:tc>
          <w:tcPr>
            <w:tcW w:w="9327" w:type="dxa"/>
            <w:gridSpan w:val="2"/>
            <w:tcBorders/>
            <w:vAlign w:val="center"/>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283"/>
              <w:jc w:val="left"/>
              <w:rPr/>
            </w:pPr>
            <w:r>
              <w:rPr/>
              <w:t> </w:t>
            </w:r>
            <w:r>
              <w:rPr/>
              <w:t>32.2†</w:t>
            </w:r>
          </w:p>
        </w:tc>
        <w:tc>
          <w:tcPr>
            <w:tcW w:w="120" w:type="dxa"/>
            <w:tcBorders/>
            <w:vAlign w:val="center"/>
          </w:tcPr>
          <w:p>
            <w:pPr>
              <w:pStyle w:val="TableContents"/>
              <w:bidi w:val="0"/>
              <w:spacing w:before="0" w:after="283"/>
              <w:jc w:val="left"/>
              <w:rPr/>
            </w:pPr>
            <w:r>
              <w:rPr/>
              <w:t>  </w:t>
            </w:r>
          </w:p>
        </w:tc>
        <w:tc>
          <w:tcPr>
            <w:tcW w:w="9207" w:type="dxa"/>
            <w:tcBorders/>
            <w:vAlign w:val="center"/>
          </w:tcPr>
          <w:p>
            <w:pPr>
              <w:pStyle w:val="TableContents"/>
              <w:bidi w:val="0"/>
              <w:spacing w:before="0" w:after="283"/>
              <w:jc w:val="left"/>
              <w:rPr/>
            </w:pPr>
            <w:hyperlink w:anchor="d820102dex322.htm">
              <w:r>
                <w:rPr>
                  <w:rStyle w:val="InternetLink"/>
                </w:rPr>
                <w:t xml:space="preserve">Certification pursuant to 18 U.S.C. Section 1350, as adopted pursuant to Section 906 of the Sarbanes-Oxley Act of 2002, of the Principal Financial Officer. </w:t>
              </w:r>
            </w:hyperlink>
          </w:p>
        </w:tc>
      </w:tr>
      <w:tr>
        <w:trPr/>
        <w:tc>
          <w:tcPr>
            <w:tcW w:w="878" w:type="dxa"/>
            <w:tcBorders/>
            <w:vAlign w:val="center"/>
          </w:tcPr>
          <w:p>
            <w:pPr>
              <w:pStyle w:val="TableContents"/>
              <w:bidi w:val="0"/>
              <w:spacing w:before="0" w:after="283"/>
              <w:jc w:val="left"/>
              <w:rPr>
                <w:sz w:val="4"/>
                <w:szCs w:val="4"/>
              </w:rPr>
            </w:pPr>
            <w:r>
              <w:rPr>
                <w:sz w:val="4"/>
                <w:szCs w:val="4"/>
              </w:rPr>
            </w:r>
          </w:p>
        </w:tc>
        <w:tc>
          <w:tcPr>
            <w:tcW w:w="9327" w:type="dxa"/>
            <w:gridSpan w:val="2"/>
            <w:tcBorders/>
            <w:vAlign w:val="center"/>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207" w:type="dxa"/>
            <w:tcBorders/>
            <w:vAlign w:val="center"/>
          </w:tcPr>
          <w:p>
            <w:pPr>
              <w:pStyle w:val="TableContents"/>
              <w:bidi w:val="0"/>
              <w:spacing w:before="0" w:after="283"/>
              <w:jc w:val="left"/>
              <w:rPr/>
            </w:pPr>
            <w:r>
              <w:rPr/>
              <w:t>Inline XBRL Instance Document.</w:t>
            </w:r>
          </w:p>
        </w:tc>
      </w:tr>
      <w:tr>
        <w:trPr/>
        <w:tc>
          <w:tcPr>
            <w:tcW w:w="878" w:type="dxa"/>
            <w:tcBorders/>
            <w:vAlign w:val="center"/>
          </w:tcPr>
          <w:p>
            <w:pPr>
              <w:pStyle w:val="TableContents"/>
              <w:bidi w:val="0"/>
              <w:spacing w:before="0" w:after="283"/>
              <w:jc w:val="left"/>
              <w:rPr>
                <w:sz w:val="4"/>
                <w:szCs w:val="4"/>
              </w:rPr>
            </w:pPr>
            <w:r>
              <w:rPr>
                <w:sz w:val="4"/>
                <w:szCs w:val="4"/>
              </w:rPr>
            </w:r>
          </w:p>
        </w:tc>
        <w:tc>
          <w:tcPr>
            <w:tcW w:w="9327" w:type="dxa"/>
            <w:gridSpan w:val="2"/>
            <w:tcBorders/>
            <w:vAlign w:val="center"/>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207" w:type="dxa"/>
            <w:tcBorders/>
            <w:vAlign w:val="center"/>
          </w:tcPr>
          <w:p>
            <w:pPr>
              <w:pStyle w:val="TableContents"/>
              <w:bidi w:val="0"/>
              <w:spacing w:before="0" w:after="283"/>
              <w:jc w:val="left"/>
              <w:rPr/>
            </w:pPr>
            <w:r>
              <w:rPr/>
              <w:t>Inline XBRL Taxonomy Extension Schema Document.</w:t>
            </w:r>
          </w:p>
        </w:tc>
      </w:tr>
      <w:tr>
        <w:trPr/>
        <w:tc>
          <w:tcPr>
            <w:tcW w:w="878" w:type="dxa"/>
            <w:tcBorders/>
            <w:vAlign w:val="center"/>
          </w:tcPr>
          <w:p>
            <w:pPr>
              <w:pStyle w:val="TableContents"/>
              <w:bidi w:val="0"/>
              <w:spacing w:before="0" w:after="283"/>
              <w:jc w:val="left"/>
              <w:rPr>
                <w:sz w:val="4"/>
                <w:szCs w:val="4"/>
              </w:rPr>
            </w:pPr>
            <w:r>
              <w:rPr>
                <w:sz w:val="4"/>
                <w:szCs w:val="4"/>
              </w:rPr>
            </w:r>
          </w:p>
        </w:tc>
        <w:tc>
          <w:tcPr>
            <w:tcW w:w="9327" w:type="dxa"/>
            <w:gridSpan w:val="2"/>
            <w:tcBorders/>
            <w:vAlign w:val="center"/>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207" w:type="dxa"/>
            <w:tcBorders/>
            <w:vAlign w:val="center"/>
          </w:tcPr>
          <w:p>
            <w:pPr>
              <w:pStyle w:val="TableContents"/>
              <w:bidi w:val="0"/>
              <w:spacing w:before="0" w:after="283"/>
              <w:jc w:val="left"/>
              <w:rPr/>
            </w:pPr>
            <w:r>
              <w:rPr/>
              <w:t>Inline XBRL Taxonomy Extension Calculation Linkbase Document.</w:t>
            </w:r>
          </w:p>
        </w:tc>
      </w:tr>
      <w:tr>
        <w:trPr/>
        <w:tc>
          <w:tcPr>
            <w:tcW w:w="878" w:type="dxa"/>
            <w:tcBorders/>
            <w:vAlign w:val="center"/>
          </w:tcPr>
          <w:p>
            <w:pPr>
              <w:pStyle w:val="TableContents"/>
              <w:bidi w:val="0"/>
              <w:spacing w:before="0" w:after="283"/>
              <w:jc w:val="left"/>
              <w:rPr>
                <w:sz w:val="4"/>
                <w:szCs w:val="4"/>
              </w:rPr>
            </w:pPr>
            <w:r>
              <w:rPr>
                <w:sz w:val="4"/>
                <w:szCs w:val="4"/>
              </w:rPr>
            </w:r>
          </w:p>
        </w:tc>
        <w:tc>
          <w:tcPr>
            <w:tcW w:w="9327" w:type="dxa"/>
            <w:gridSpan w:val="2"/>
            <w:tcBorders/>
            <w:vAlign w:val="center"/>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207" w:type="dxa"/>
            <w:tcBorders/>
            <w:vAlign w:val="center"/>
          </w:tcPr>
          <w:p>
            <w:pPr>
              <w:pStyle w:val="TableContents"/>
              <w:bidi w:val="0"/>
              <w:spacing w:before="0" w:after="283"/>
              <w:jc w:val="left"/>
              <w:rPr/>
            </w:pPr>
            <w:r>
              <w:rPr/>
              <w:t>Inline XBRL Taxonomy Extension Definition Linkbase Document.</w:t>
            </w:r>
          </w:p>
        </w:tc>
      </w:tr>
      <w:tr>
        <w:trPr/>
        <w:tc>
          <w:tcPr>
            <w:tcW w:w="878" w:type="dxa"/>
            <w:tcBorders/>
            <w:vAlign w:val="center"/>
          </w:tcPr>
          <w:p>
            <w:pPr>
              <w:pStyle w:val="TableContents"/>
              <w:bidi w:val="0"/>
              <w:spacing w:before="0" w:after="283"/>
              <w:jc w:val="left"/>
              <w:rPr>
                <w:sz w:val="4"/>
                <w:szCs w:val="4"/>
              </w:rPr>
            </w:pPr>
            <w:r>
              <w:rPr>
                <w:sz w:val="4"/>
                <w:szCs w:val="4"/>
              </w:rPr>
            </w:r>
          </w:p>
        </w:tc>
        <w:tc>
          <w:tcPr>
            <w:tcW w:w="9327" w:type="dxa"/>
            <w:gridSpan w:val="2"/>
            <w:tcBorders/>
            <w:vAlign w:val="center"/>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207" w:type="dxa"/>
            <w:tcBorders/>
            <w:vAlign w:val="center"/>
          </w:tcPr>
          <w:p>
            <w:pPr>
              <w:pStyle w:val="TableContents"/>
              <w:bidi w:val="0"/>
              <w:spacing w:before="0" w:after="283"/>
              <w:jc w:val="left"/>
              <w:rPr/>
            </w:pPr>
            <w:r>
              <w:rPr/>
              <w:t>Inline XBRL Taxonomy Extension Label Linkbase Document.</w:t>
            </w:r>
          </w:p>
        </w:tc>
      </w:tr>
      <w:tr>
        <w:trPr/>
        <w:tc>
          <w:tcPr>
            <w:tcW w:w="878" w:type="dxa"/>
            <w:tcBorders/>
            <w:vAlign w:val="center"/>
          </w:tcPr>
          <w:p>
            <w:pPr>
              <w:pStyle w:val="TableContents"/>
              <w:bidi w:val="0"/>
              <w:spacing w:before="0" w:after="283"/>
              <w:jc w:val="left"/>
              <w:rPr>
                <w:sz w:val="4"/>
                <w:szCs w:val="4"/>
              </w:rPr>
            </w:pPr>
            <w:r>
              <w:rPr>
                <w:sz w:val="4"/>
                <w:szCs w:val="4"/>
              </w:rPr>
            </w:r>
          </w:p>
        </w:tc>
        <w:tc>
          <w:tcPr>
            <w:tcW w:w="9327" w:type="dxa"/>
            <w:gridSpan w:val="2"/>
            <w:tcBorders/>
            <w:vAlign w:val="center"/>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207" w:type="dxa"/>
            <w:tcBorders/>
            <w:vAlign w:val="center"/>
          </w:tcPr>
          <w:p>
            <w:pPr>
              <w:pStyle w:val="TableContents"/>
              <w:bidi w:val="0"/>
              <w:spacing w:before="0" w:after="283"/>
              <w:jc w:val="left"/>
              <w:rPr/>
            </w:pPr>
            <w:r>
              <w:rPr/>
              <w:t>Inline XBRL Taxonomy Extension Presentation Linkbase Document.</w:t>
            </w:r>
          </w:p>
        </w:tc>
      </w:tr>
      <w:tr>
        <w:trPr/>
        <w:tc>
          <w:tcPr>
            <w:tcW w:w="878" w:type="dxa"/>
            <w:tcBorders/>
            <w:vAlign w:val="center"/>
          </w:tcPr>
          <w:p>
            <w:pPr>
              <w:pStyle w:val="TableContents"/>
              <w:bidi w:val="0"/>
              <w:spacing w:before="0" w:after="283"/>
              <w:jc w:val="left"/>
              <w:rPr>
                <w:sz w:val="4"/>
                <w:szCs w:val="4"/>
              </w:rPr>
            </w:pPr>
            <w:r>
              <w:rPr>
                <w:sz w:val="4"/>
                <w:szCs w:val="4"/>
              </w:rPr>
            </w:r>
          </w:p>
        </w:tc>
        <w:tc>
          <w:tcPr>
            <w:tcW w:w="9327" w:type="dxa"/>
            <w:gridSpan w:val="2"/>
            <w:tcBorders/>
            <w:vAlign w:val="center"/>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07"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240" w:after="0"/>
        <w:jc w:val="left"/>
        <w:rPr>
          <w:rFonts w:ascii="Times New Roman" w:hAnsi="Times New Roman"/>
          <w:sz w:val="20"/>
        </w:rPr>
      </w:pPr>
      <w:r>
        <w:rPr>
          <w:rFonts w:ascii="Times New Roman" w:hAnsi="Times New Roman"/>
          <w:sz w:val="20"/>
        </w:rPr>
        <w:t xml:space="preserve">Footnotes: </w:t>
      </w:r>
    </w:p>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1795" w:type="dxa"/>
        <w:jc w:val="left"/>
        <w:tblInd w:w="0" w:type="dxa"/>
        <w:tblLayout w:type="fixed"/>
        <w:tblCellMar>
          <w:top w:w="0" w:type="dxa"/>
          <w:left w:w="0" w:type="dxa"/>
          <w:bottom w:w="0" w:type="dxa"/>
          <w:right w:w="0" w:type="dxa"/>
        </w:tblCellMar>
      </w:tblPr>
      <w:tblGrid>
        <w:gridCol w:w="155"/>
        <w:gridCol w:w="1640"/>
      </w:tblGrid>
      <w:tr>
        <w:trPr/>
        <w:tc>
          <w:tcPr>
            <w:tcW w:w="155"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 w:name="tx820102_20"/>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79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503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MAGNACHIP SEMICONDUCTOR CORPORATION</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Dated: August 8,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Young-Joon Kim</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Dated: August 8,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Shin Young Park</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p>
    <w:p>
      <w:pPr>
        <w:pStyle w:val="TextBody"/>
        <w:bidi w:val="0"/>
        <w:spacing w:before="0" w:after="0"/>
        <w:jc w:val="right"/>
        <w:rPr>
          <w:rFonts w:ascii="Times New Roman" w:hAnsi="Times New Roman"/>
          <w:b/>
          <w:sz w:val="20"/>
        </w:rPr>
      </w:pPr>
      <w:bookmarkStart w:id="16" w:name="d820102dex311.htm"/>
      <w:bookmarkStart w:id="17" w:name="ksd820102dex311"/>
      <w:bookmarkEnd w:id="16"/>
      <w:bookmarkEnd w:id="17"/>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Young-Joon Kim,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August 8, 2024</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Young-Joon Kim</w:t>
            </w:r>
          </w:p>
        </w:tc>
      </w:tr>
      <w:tr>
        <w:trPr/>
        <w:tc>
          <w:tcPr>
            <w:tcW w:w="4082" w:type="dxa"/>
            <w:tcBorders/>
          </w:tcPr>
          <w:p>
            <w:pPr>
              <w:pStyle w:val="TableContents"/>
              <w:bidi w:val="0"/>
              <w:spacing w:before="0" w:after="283"/>
              <w:jc w:val="left"/>
              <w:rPr/>
            </w:pPr>
            <w:r>
              <w:rPr/>
              <w:t>Young-Joon Kim</w:t>
            </w:r>
          </w:p>
        </w:tc>
      </w:tr>
      <w:tr>
        <w:trPr/>
        <w:tc>
          <w:tcPr>
            <w:tcW w:w="4082" w:type="dxa"/>
            <w:tcBorders/>
          </w:tcPr>
          <w:p>
            <w:pPr>
              <w:pStyle w:val="TableContents"/>
              <w:bidi w:val="0"/>
              <w:spacing w:before="0" w:after="283"/>
              <w:jc w:val="left"/>
              <w:rPr/>
            </w:pPr>
            <w:r>
              <w:rPr/>
              <w:t>Chief Executive Officer</w:t>
            </w:r>
          </w:p>
        </w:tc>
      </w:tr>
      <w:tr>
        <w:trPr/>
        <w:tc>
          <w:tcPr>
            <w:tcW w:w="4082" w:type="dxa"/>
            <w:tcBorders/>
          </w:tcPr>
          <w:p>
            <w:pPr>
              <w:pStyle w:val="TableContents"/>
              <w:bidi w:val="0"/>
              <w:spacing w:before="0" w:after="283"/>
              <w:jc w:val="left"/>
              <w:rPr/>
            </w:pPr>
            <w:r>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right"/>
        <w:rPr>
          <w:rFonts w:ascii="Times New Roman" w:hAnsi="Times New Roman"/>
          <w:b/>
          <w:sz w:val="20"/>
        </w:rPr>
      </w:pPr>
      <w:bookmarkStart w:id="18" w:name="d820102dex312.htm"/>
      <w:bookmarkStart w:id="19" w:name="ksd820102dex312"/>
      <w:bookmarkEnd w:id="18"/>
      <w:bookmarkEnd w:id="19"/>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Shin Young Park,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Dated: August 8, 2024</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Shin Young Park</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Shin Young Park</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right"/>
        <w:rPr>
          <w:rFonts w:ascii="Times New Roman" w:hAnsi="Times New Roman"/>
          <w:b/>
          <w:sz w:val="20"/>
        </w:rPr>
      </w:pPr>
      <w:bookmarkStart w:id="20" w:name="d820102dex321.htm"/>
      <w:bookmarkStart w:id="21" w:name="ksd820102dex321"/>
      <w:bookmarkEnd w:id="20"/>
      <w:bookmarkEnd w:id="21"/>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(i) the Quarterly Report on Form 10-Q of the Company for the quarterly period ended June 30, 2024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24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3"/>
        <w:gridCol w:w="120"/>
        <w:gridCol w:w="4862"/>
      </w:tblGrid>
      <w:tr>
        <w:trPr/>
        <w:tc>
          <w:tcPr>
            <w:tcW w:w="52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2" w:type="dxa"/>
            <w:tcBorders/>
            <w:vAlign w:val="center"/>
          </w:tcPr>
          <w:p>
            <w:pPr>
              <w:pStyle w:val="TableContents"/>
              <w:bidi w:val="0"/>
              <w:spacing w:before="0" w:after="283"/>
              <w:jc w:val="left"/>
              <w:rPr>
                <w:sz w:val="4"/>
                <w:szCs w:val="4"/>
              </w:rPr>
            </w:pPr>
            <w:r>
              <w:rPr>
                <w:sz w:val="4"/>
                <w:szCs w:val="4"/>
              </w:rPr>
            </w:r>
          </w:p>
        </w:tc>
      </w:tr>
      <w:tr>
        <w:trPr/>
        <w:tc>
          <w:tcPr>
            <w:tcW w:w="5223" w:type="dxa"/>
            <w:tcBorders/>
          </w:tcPr>
          <w:p>
            <w:pPr>
              <w:pStyle w:val="TableContents"/>
              <w:bidi w:val="0"/>
              <w:spacing w:before="0" w:after="283"/>
              <w:jc w:val="left"/>
              <w:rPr/>
            </w:pPr>
            <w:r>
              <w:rPr/>
              <w:t>Dated: August 8, 2024</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862" w:type="dxa"/>
            <w:tcBorders>
              <w:bottom w:val="single" w:sz="2" w:space="0" w:color="000000"/>
            </w:tcBorders>
            <w:tcMar>
              <w:bottom w:w="28" w:type="dxa"/>
            </w:tcMar>
          </w:tcPr>
          <w:p>
            <w:pPr>
              <w:pStyle w:val="TableContents"/>
              <w:bidi w:val="0"/>
              <w:spacing w:before="0" w:after="283"/>
              <w:jc w:val="left"/>
              <w:rPr/>
            </w:pPr>
            <w:r>
              <w:rPr/>
              <w:t>/s/ Young-Joon Kim</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Young-Joon Kim</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(Principal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right"/>
        <w:rPr>
          <w:rFonts w:ascii="Times New Roman" w:hAnsi="Times New Roman"/>
          <w:b/>
          <w:sz w:val="20"/>
        </w:rPr>
      </w:pPr>
      <w:bookmarkStart w:id="22" w:name="d820102dex322.htm"/>
      <w:bookmarkStart w:id="23" w:name="ksd820102dex322"/>
      <w:bookmarkEnd w:id="22"/>
      <w:bookmarkEnd w:id="23"/>
      <w:r>
        <w:rPr>
          <w:rFonts w:ascii="Times New Roman" w:hAnsi="Times New Roman"/>
          <w:b/>
          <w:sz w:val="20"/>
        </w:rPr>
        <w:t xml:space="preserve">Exhibit 32.2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(i) the Quarterly Report on Form 10-Q of the Company for the quarterly period ended June 30, 2024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24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0"/>
        <w:gridCol w:w="4872"/>
      </w:tblGrid>
      <w:tr>
        <w:trPr/>
        <w:tc>
          <w:tcPr>
            <w:tcW w:w="52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72" w:type="dxa"/>
            <w:tcBorders/>
            <w:vAlign w:val="center"/>
          </w:tcPr>
          <w:p>
            <w:pPr>
              <w:pStyle w:val="TableContents"/>
              <w:bidi w:val="0"/>
              <w:spacing w:before="0" w:after="283"/>
              <w:jc w:val="left"/>
              <w:rPr>
                <w:sz w:val="4"/>
                <w:szCs w:val="4"/>
              </w:rPr>
            </w:pPr>
            <w:r>
              <w:rPr>
                <w:sz w:val="4"/>
                <w:szCs w:val="4"/>
              </w:rPr>
            </w:r>
          </w:p>
        </w:tc>
      </w:tr>
      <w:tr>
        <w:trPr/>
        <w:tc>
          <w:tcPr>
            <w:tcW w:w="5213" w:type="dxa"/>
            <w:tcBorders/>
          </w:tcPr>
          <w:p>
            <w:pPr>
              <w:pStyle w:val="TableContents"/>
              <w:bidi w:val="0"/>
              <w:spacing w:before="0" w:after="283"/>
              <w:jc w:val="left"/>
              <w:rPr/>
            </w:pPr>
            <w:r>
              <w:rPr/>
              <w:t>Dated: August 8, 2024</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872" w:type="dxa"/>
            <w:tcBorders>
              <w:bottom w:val="single" w:sz="2" w:space="0" w:color="000000"/>
            </w:tcBorders>
            <w:tcMar>
              <w:bottom w:w="28" w:type="dxa"/>
            </w:tcMar>
          </w:tcPr>
          <w:p>
            <w:pPr>
              <w:pStyle w:val="TableContents"/>
              <w:bidi w:val="0"/>
              <w:spacing w:before="0" w:after="283"/>
              <w:jc w:val="left"/>
              <w:rPr/>
            </w:pPr>
            <w:r>
              <w:rPr/>
              <w:t>/s/ Shin Young Park</w:t>
            </w:r>
          </w:p>
        </w:tc>
      </w:tr>
      <w:tr>
        <w:trPr/>
        <w:tc>
          <w:tcPr>
            <w:tcW w:w="521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72" w:type="dxa"/>
            <w:tcBorders/>
          </w:tcPr>
          <w:p>
            <w:pPr>
              <w:pStyle w:val="TableContents"/>
              <w:bidi w:val="0"/>
              <w:spacing w:before="0" w:after="283"/>
              <w:jc w:val="left"/>
              <w:rPr/>
            </w:pPr>
            <w:r>
              <w:rPr/>
              <w:t>Shin Young Park</w:t>
            </w:r>
          </w:p>
        </w:tc>
      </w:tr>
      <w:tr>
        <w:trPr/>
        <w:tc>
          <w:tcPr>
            <w:tcW w:w="521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72" w:type="dxa"/>
            <w:tcBorders/>
          </w:tcPr>
          <w:p>
            <w:pPr>
              <w:pStyle w:val="TableContents"/>
              <w:bidi w:val="0"/>
              <w:spacing w:before="0" w:after="283"/>
              <w:jc w:val="left"/>
              <w:rPr/>
            </w:pPr>
            <w:r>
              <w:rPr/>
              <w:t>Chief Financial Officer</w:t>
            </w:r>
          </w:p>
        </w:tc>
      </w:tr>
      <w:tr>
        <w:trPr/>
        <w:tc>
          <w:tcPr>
            <w:tcW w:w="521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72" w:type="dxa"/>
            <w:tcBorders/>
          </w:tcPr>
          <w:p>
            <w:pPr>
              <w:pStyle w:val="TableContents"/>
              <w:bidi w:val="0"/>
              <w:spacing w:before="0" w:after="283"/>
              <w:jc w:val="left"/>
              <w:rPr/>
            </w:pPr>
            <w:r>
              <w:rPr/>
              <w:t>(Principal Financial Officer and Principal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24409</Words>
  <Characters>130413</Characters>
  <CharactersWithSpaces>159983</CharactersWithSpaces>
  <Paragraphs>10139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