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12,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220" w:type="dxa"/>
            <w:vAlign w:val="bottom"/>
          </w:tcPr>
          <w:p>
            <w:pPr>
              <w:jc w:val="center"/>
              <w:ind w:right="2458"/>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140"/>
              <w:spacing w:after="0"/>
              <w:rPr>
                <w:sz w:val="20"/>
                <w:szCs w:val="20"/>
                <w:color w:val="auto"/>
              </w:rPr>
            </w:pPr>
            <w:r>
              <w:rPr>
                <w:rFonts w:ascii="Arial" w:cs="Arial" w:eastAsia="Arial" w:hAnsi="Arial"/>
                <w:sz w:val="18"/>
                <w:szCs w:val="18"/>
                <w:b w:val="1"/>
                <w:bCs w:val="1"/>
                <w:color w:val="auto"/>
              </w:rPr>
              <w:t>001-34791</w:t>
            </w:r>
          </w:p>
        </w:tc>
        <w:tc>
          <w:tcPr>
            <w:tcW w:w="2540" w:type="dxa"/>
            <w:vAlign w:val="bottom"/>
          </w:tcPr>
          <w:p>
            <w:pPr>
              <w:jc w:val="center"/>
              <w:ind w:left="1301"/>
              <w:spacing w:after="0"/>
              <w:rPr>
                <w:sz w:val="20"/>
                <w:szCs w:val="20"/>
                <w:color w:val="auto"/>
              </w:rPr>
            </w:pPr>
            <w:r>
              <w:rPr>
                <w:rFonts w:ascii="Arial" w:cs="Arial" w:eastAsia="Arial" w:hAnsi="Arial"/>
                <w:sz w:val="18"/>
                <w:szCs w:val="18"/>
                <w:b w:val="1"/>
                <w:bCs w:val="1"/>
                <w:color w:val="auto"/>
                <w:w w:val="91"/>
              </w:rPr>
              <w:t>83-0406195</w:t>
            </w:r>
          </w:p>
        </w:tc>
      </w:tr>
      <w:tr>
        <w:trPr>
          <w:trHeight w:val="149"/>
        </w:trPr>
        <w:tc>
          <w:tcPr>
            <w:tcW w:w="4220" w:type="dxa"/>
            <w:vAlign w:val="bottom"/>
          </w:tcPr>
          <w:p>
            <w:pPr>
              <w:jc w:val="center"/>
              <w:ind w:right="24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(Commission</w:t>
            </w:r>
          </w:p>
        </w:tc>
        <w:tc>
          <w:tcPr>
            <w:tcW w:w="2540" w:type="dxa"/>
            <w:vAlign w:val="bottom"/>
          </w:tcPr>
          <w:p>
            <w:pPr>
              <w:jc w:val="center"/>
              <w:ind w:left="1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20" w:type="dxa"/>
            <w:vAlign w:val="bottom"/>
          </w:tcPr>
          <w:p>
            <w:pPr>
              <w:jc w:val="center"/>
              <w:ind w:right="2438"/>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00"/>
              <w:spacing w:after="0"/>
              <w:rPr>
                <w:sz w:val="20"/>
                <w:szCs w:val="20"/>
                <w:color w:val="auto"/>
              </w:rPr>
            </w:pPr>
            <w:r>
              <w:rPr>
                <w:rFonts w:ascii="Arial" w:cs="Arial" w:eastAsia="Arial" w:hAnsi="Arial"/>
                <w:sz w:val="14"/>
                <w:szCs w:val="14"/>
                <w:b w:val="1"/>
                <w:bCs w:val="1"/>
                <w:color w:val="auto"/>
              </w:rPr>
              <w:t>File Number)</w:t>
            </w:r>
          </w:p>
        </w:tc>
        <w:tc>
          <w:tcPr>
            <w:tcW w:w="2540" w:type="dxa"/>
            <w:vAlign w:val="bottom"/>
          </w:tcPr>
          <w:p>
            <w:pPr>
              <w:jc w:val="center"/>
              <w:ind w:left="130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220" w:type="dxa"/>
            <w:vAlign w:val="bottom"/>
          </w:tcPr>
          <w:p>
            <w:pPr>
              <w:jc w:val="center"/>
              <w:ind w:left="1178"/>
              <w:spacing w:after="0"/>
              <w:rPr>
                <w:sz w:val="20"/>
                <w:szCs w:val="20"/>
                <w:color w:val="auto"/>
              </w:rPr>
            </w:pPr>
            <w:r>
              <w:rPr>
                <w:rFonts w:ascii="Arial" w:cs="Arial" w:eastAsia="Arial" w:hAnsi="Arial"/>
                <w:sz w:val="18"/>
                <w:szCs w:val="18"/>
                <w:b w:val="1"/>
                <w:bCs w:val="1"/>
                <w:color w:val="auto"/>
                <w:w w:val="90"/>
              </w:rPr>
              <w:t>c/o MagnaChip Semiconductor S.A.</w:t>
            </w:r>
          </w:p>
        </w:tc>
        <w:tc>
          <w:tcPr>
            <w:tcW w:w="232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16"/>
        </w:trPr>
        <w:tc>
          <w:tcPr>
            <w:tcW w:w="4220" w:type="dxa"/>
            <w:vAlign w:val="bottom"/>
          </w:tcPr>
          <w:p>
            <w:pPr>
              <w:jc w:val="center"/>
              <w:ind w:left="1178"/>
              <w:spacing w:after="0"/>
              <w:rPr>
                <w:sz w:val="20"/>
                <w:szCs w:val="20"/>
                <w:color w:val="auto"/>
              </w:rPr>
            </w:pPr>
            <w:r>
              <w:rPr>
                <w:rFonts w:ascii="Arial" w:cs="Arial" w:eastAsia="Arial" w:hAnsi="Arial"/>
                <w:sz w:val="18"/>
                <w:szCs w:val="18"/>
                <w:b w:val="1"/>
                <w:bCs w:val="1"/>
                <w:color w:val="auto"/>
                <w:w w:val="90"/>
              </w:rPr>
              <w:t>1, Allée Scheffer, L-2520</w:t>
            </w:r>
          </w:p>
        </w:tc>
        <w:tc>
          <w:tcPr>
            <w:tcW w:w="23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25"/>
        </w:trPr>
        <w:tc>
          <w:tcPr>
            <w:tcW w:w="6540" w:type="dxa"/>
            <w:vAlign w:val="bottom"/>
            <w:gridSpan w:val="2"/>
          </w:tcPr>
          <w:p>
            <w:pPr>
              <w:jc w:val="center"/>
              <w:ind w:right="1002"/>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540" w:type="dxa"/>
            <w:vAlign w:val="bottom"/>
          </w:tcPr>
          <w:p>
            <w:pPr>
              <w:jc w:val="center"/>
              <w:ind w:left="1301"/>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4220" w:type="dxa"/>
            <w:vAlign w:val="bottom"/>
          </w:tcPr>
          <w:p>
            <w:pPr>
              <w:jc w:val="center"/>
              <w:ind w:left="115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20" w:type="dxa"/>
            <w:vAlign w:val="bottom"/>
          </w:tcPr>
          <w:p>
            <w:pPr>
              <w:spacing w:after="0"/>
              <w:rPr>
                <w:sz w:val="16"/>
                <w:szCs w:val="16"/>
                <w:color w:val="auto"/>
              </w:rPr>
            </w:pPr>
          </w:p>
        </w:tc>
        <w:tc>
          <w:tcPr>
            <w:tcW w:w="2540" w:type="dxa"/>
            <w:vAlign w:val="bottom"/>
          </w:tcPr>
          <w:p>
            <w:pPr>
              <w:jc w:val="center"/>
              <w:ind w:left="130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Corporation (the “Company”) held its 2018 Annual Meeting of Stockholders on June 12, 2018. As of the</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close of business on the record date of April 16, 2018, there were 34,321,175 shares of the Company’s common stock outstanding and entitled to vote at the Annual Meeting. The number of shares of the Company’s common stock present at the meeting, in person or by proxy, was 29,532,483, or 86.05% of the outstanding shares.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At the meeting, the following proposals were submitted to a vote of the Company’s stockholders, with the final voting results indicated below:</w:t>
      </w:r>
    </w:p>
    <w:p>
      <w:pPr>
        <w:spacing w:after="0" w:line="22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u w:val="single" w:color="auto"/>
          <w:color w:val="auto"/>
        </w:rPr>
        <w:t>Proposal 1 – Election of Directors</w:t>
      </w:r>
      <w:r>
        <w:rPr>
          <w:rFonts w:ascii="Arial" w:cs="Arial" w:eastAsia="Arial" w:hAnsi="Arial"/>
          <w:sz w:val="18"/>
          <w:szCs w:val="18"/>
          <w:color w:val="auto"/>
        </w:rPr>
        <w:t>. The Company’s stockholders elected the following seven directors to serve until the 2019 Annual Meetings of Stockholders and until their respective successors are elected and qualified.</w:t>
      </w:r>
    </w:p>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840" w:type="dxa"/>
            <w:vAlign w:val="bottom"/>
            <w:vMerge w:val="restart"/>
          </w:tcPr>
          <w:p>
            <w:pPr>
              <w:spacing w:after="0"/>
              <w:rPr>
                <w:sz w:val="14"/>
                <w:szCs w:val="14"/>
                <w:color w:val="auto"/>
              </w:rPr>
            </w:pPr>
          </w:p>
        </w:tc>
        <w:tc>
          <w:tcPr>
            <w:tcW w:w="7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8"/>
              </w:rPr>
              <w:t>For</w:t>
            </w:r>
          </w:p>
        </w:tc>
        <w:tc>
          <w:tcPr>
            <w:tcW w:w="110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Withheld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2"/>
              </w:rPr>
              <w:t>Broker</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284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4"/>
              </w:rPr>
              <w:t>Non—Votes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Gary Tanner</w:t>
            </w:r>
          </w:p>
        </w:tc>
        <w:tc>
          <w:tcPr>
            <w:tcW w:w="28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vMerge w:val="continue"/>
            <w:shd w:val="clear" w:color="auto" w:fill="CCEEFF"/>
          </w:tcPr>
          <w:p>
            <w:pPr>
              <w:spacing w:after="0"/>
              <w:rPr>
                <w:sz w:val="17"/>
                <w:szCs w:val="17"/>
                <w:color w:val="auto"/>
              </w:rPr>
            </w:pPr>
          </w:p>
        </w:tc>
        <w:tc>
          <w:tcPr>
            <w:tcW w:w="3580" w:type="dxa"/>
            <w:vAlign w:val="bottom"/>
            <w:gridSpan w:val="3"/>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25,125,322</w:t>
            </w:r>
          </w:p>
        </w:tc>
        <w:tc>
          <w:tcPr>
            <w:tcW w:w="1100" w:type="dxa"/>
            <w:vAlign w:val="bottom"/>
            <w:gridSpan w:val="3"/>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103,502</w:t>
            </w:r>
          </w:p>
        </w:tc>
        <w:tc>
          <w:tcPr>
            <w:tcW w:w="1000" w:type="dxa"/>
            <w:vAlign w:val="bottom"/>
            <w:gridSpan w:val="5"/>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4,303,659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Melvin L. Keating</w:t>
            </w:r>
          </w:p>
        </w:tc>
        <w:tc>
          <w:tcPr>
            <w:tcW w:w="3580" w:type="dxa"/>
            <w:vAlign w:val="bottom"/>
            <w:gridSpan w:val="3"/>
          </w:tcPr>
          <w:p>
            <w:pPr>
              <w:jc w:val="right"/>
              <w:ind w:right="200"/>
              <w:spacing w:after="0"/>
              <w:rPr>
                <w:sz w:val="20"/>
                <w:szCs w:val="20"/>
                <w:color w:val="auto"/>
              </w:rPr>
            </w:pPr>
            <w:r>
              <w:rPr>
                <w:rFonts w:ascii="Arial" w:cs="Arial" w:eastAsia="Arial" w:hAnsi="Arial"/>
                <w:sz w:val="18"/>
                <w:szCs w:val="18"/>
                <w:color w:val="auto"/>
              </w:rPr>
              <w:t>24,966,166</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262,658</w:t>
            </w:r>
          </w:p>
        </w:tc>
        <w:tc>
          <w:tcPr>
            <w:tcW w:w="1000" w:type="dxa"/>
            <w:vAlign w:val="bottom"/>
            <w:gridSpan w:val="5"/>
          </w:tcPr>
          <w:p>
            <w:pPr>
              <w:jc w:val="right"/>
              <w:ind w:right="60"/>
              <w:spacing w:after="0"/>
              <w:rPr>
                <w:sz w:val="20"/>
                <w:szCs w:val="20"/>
                <w:color w:val="auto"/>
              </w:rPr>
            </w:pPr>
            <w:r>
              <w:rPr>
                <w:rFonts w:ascii="Arial" w:cs="Arial" w:eastAsia="Arial" w:hAnsi="Arial"/>
                <w:sz w:val="18"/>
                <w:szCs w:val="18"/>
                <w:color w:val="auto"/>
              </w:rPr>
              <w:t>4,303,659</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Young-Joon Kim</w:t>
            </w:r>
          </w:p>
        </w:tc>
        <w:tc>
          <w:tcPr>
            <w:tcW w:w="3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25,170,094</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58,730</w:t>
            </w:r>
          </w:p>
        </w:tc>
        <w:tc>
          <w:tcPr>
            <w:tcW w:w="10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4,303,659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Randal Klein</w:t>
            </w:r>
          </w:p>
        </w:tc>
        <w:tc>
          <w:tcPr>
            <w:tcW w:w="3580" w:type="dxa"/>
            <w:vAlign w:val="bottom"/>
            <w:gridSpan w:val="3"/>
          </w:tcPr>
          <w:p>
            <w:pPr>
              <w:jc w:val="right"/>
              <w:ind w:right="200"/>
              <w:spacing w:after="0"/>
              <w:rPr>
                <w:sz w:val="20"/>
                <w:szCs w:val="20"/>
                <w:color w:val="auto"/>
              </w:rPr>
            </w:pPr>
            <w:r>
              <w:rPr>
                <w:rFonts w:ascii="Arial" w:cs="Arial" w:eastAsia="Arial" w:hAnsi="Arial"/>
                <w:sz w:val="18"/>
                <w:szCs w:val="18"/>
                <w:color w:val="auto"/>
              </w:rPr>
              <w:t>18,651,269</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6,577,555</w:t>
            </w:r>
          </w:p>
        </w:tc>
        <w:tc>
          <w:tcPr>
            <w:tcW w:w="1000" w:type="dxa"/>
            <w:vAlign w:val="bottom"/>
            <w:gridSpan w:val="5"/>
          </w:tcPr>
          <w:p>
            <w:pPr>
              <w:jc w:val="right"/>
              <w:ind w:right="60"/>
              <w:spacing w:after="0"/>
              <w:rPr>
                <w:sz w:val="20"/>
                <w:szCs w:val="20"/>
                <w:color w:val="auto"/>
              </w:rPr>
            </w:pPr>
            <w:r>
              <w:rPr>
                <w:rFonts w:ascii="Arial" w:cs="Arial" w:eastAsia="Arial" w:hAnsi="Arial"/>
                <w:sz w:val="18"/>
                <w:szCs w:val="18"/>
                <w:color w:val="auto"/>
              </w:rPr>
              <w:t>4,303,659</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Ilbok Lee</w:t>
            </w:r>
          </w:p>
        </w:tc>
        <w:tc>
          <w:tcPr>
            <w:tcW w:w="3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24,762,005</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466,819</w:t>
            </w:r>
          </w:p>
        </w:tc>
        <w:tc>
          <w:tcPr>
            <w:tcW w:w="10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4,303,659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Camillo Martino</w:t>
            </w:r>
          </w:p>
        </w:tc>
        <w:tc>
          <w:tcPr>
            <w:tcW w:w="3580" w:type="dxa"/>
            <w:vAlign w:val="bottom"/>
            <w:gridSpan w:val="3"/>
          </w:tcPr>
          <w:p>
            <w:pPr>
              <w:jc w:val="right"/>
              <w:ind w:right="200"/>
              <w:spacing w:after="0"/>
              <w:rPr>
                <w:sz w:val="20"/>
                <w:szCs w:val="20"/>
                <w:color w:val="auto"/>
              </w:rPr>
            </w:pPr>
            <w:r>
              <w:rPr>
                <w:rFonts w:ascii="Arial" w:cs="Arial" w:eastAsia="Arial" w:hAnsi="Arial"/>
                <w:sz w:val="18"/>
                <w:szCs w:val="18"/>
                <w:color w:val="auto"/>
              </w:rPr>
              <w:t>25,168,827</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59,997</w:t>
            </w:r>
          </w:p>
        </w:tc>
        <w:tc>
          <w:tcPr>
            <w:tcW w:w="1000" w:type="dxa"/>
            <w:vAlign w:val="bottom"/>
            <w:gridSpan w:val="5"/>
          </w:tcPr>
          <w:p>
            <w:pPr>
              <w:jc w:val="right"/>
              <w:ind w:right="60"/>
              <w:spacing w:after="0"/>
              <w:rPr>
                <w:sz w:val="20"/>
                <w:szCs w:val="20"/>
                <w:color w:val="auto"/>
              </w:rPr>
            </w:pPr>
            <w:r>
              <w:rPr>
                <w:rFonts w:ascii="Arial" w:cs="Arial" w:eastAsia="Arial" w:hAnsi="Arial"/>
                <w:sz w:val="18"/>
                <w:szCs w:val="18"/>
                <w:color w:val="auto"/>
              </w:rPr>
              <w:t>4,303,659</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Nader Tavakoli</w:t>
            </w:r>
          </w:p>
        </w:tc>
        <w:tc>
          <w:tcPr>
            <w:tcW w:w="3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25,146,467</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82,357</w:t>
            </w:r>
          </w:p>
        </w:tc>
        <w:tc>
          <w:tcPr>
            <w:tcW w:w="10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4,303,659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u w:val="single" w:color="auto"/>
          <w:color w:val="auto"/>
        </w:rPr>
        <w:t>Proposal 2 – Advisory Vote on the Compensation of the Named Executive Officers</w:t>
      </w:r>
      <w:r>
        <w:rPr>
          <w:rFonts w:ascii="Arial" w:cs="Arial" w:eastAsia="Arial" w:hAnsi="Arial"/>
          <w:sz w:val="18"/>
          <w:szCs w:val="18"/>
          <w:color w:val="auto"/>
        </w:rPr>
        <w:t>. The Company’s stockholders approved, on an advisory basis, the compensation of the Company’s named executive officers as disclosed in the Company’s 2018 proxy materials.</w:t>
      </w:r>
    </w:p>
    <w:p>
      <w:pPr>
        <w:spacing w:after="0" w:line="189"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1580" w:type="dxa"/>
            <w:vAlign w:val="bottom"/>
            <w:gridSpan w:val="2"/>
            <w:vMerge w:val="restart"/>
          </w:tcPr>
          <w:p>
            <w:pPr>
              <w:jc w:val="center"/>
              <w:ind w:right="1360"/>
              <w:spacing w:after="0"/>
              <w:rPr>
                <w:sz w:val="20"/>
                <w:szCs w:val="20"/>
                <w:color w:val="auto"/>
              </w:rPr>
            </w:pPr>
            <w:r>
              <w:rPr>
                <w:rFonts w:ascii="Arial" w:cs="Arial" w:eastAsia="Arial" w:hAnsi="Arial"/>
                <w:sz w:val="14"/>
                <w:szCs w:val="14"/>
                <w:b w:val="1"/>
                <w:bCs w:val="1"/>
                <w:color w:val="auto"/>
                <w:w w:val="97"/>
              </w:rPr>
              <w:t>For</w:t>
            </w:r>
          </w:p>
        </w:tc>
        <w:tc>
          <w:tcPr>
            <w:tcW w:w="1180" w:type="dxa"/>
            <w:vAlign w:val="bottom"/>
          </w:tcPr>
          <w:p>
            <w:pPr>
              <w:spacing w:after="0"/>
              <w:rPr>
                <w:sz w:val="14"/>
                <w:szCs w:val="14"/>
                <w:color w:val="auto"/>
              </w:rPr>
            </w:pPr>
          </w:p>
        </w:tc>
        <w:tc>
          <w:tcPr>
            <w:tcW w:w="1380" w:type="dxa"/>
            <w:vAlign w:val="bottom"/>
            <w:gridSpan w:val="2"/>
            <w:vMerge w:val="restart"/>
          </w:tcPr>
          <w:p>
            <w:pPr>
              <w:jc w:val="center"/>
              <w:ind w:right="900"/>
              <w:spacing w:after="0"/>
              <w:rPr>
                <w:sz w:val="20"/>
                <w:szCs w:val="20"/>
                <w:color w:val="auto"/>
              </w:rPr>
            </w:pPr>
            <w:r>
              <w:rPr>
                <w:rFonts w:ascii="Arial" w:cs="Arial" w:eastAsia="Arial" w:hAnsi="Arial"/>
                <w:sz w:val="14"/>
                <w:szCs w:val="14"/>
                <w:b w:val="1"/>
                <w:bCs w:val="1"/>
                <w:color w:val="auto"/>
                <w:w w:val="93"/>
              </w:rPr>
              <w:t>Against</w:t>
            </w:r>
          </w:p>
        </w:tc>
        <w:tc>
          <w:tcPr>
            <w:tcW w:w="216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Abstained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Broker</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580" w:type="dxa"/>
            <w:vAlign w:val="bottom"/>
            <w:gridSpan w:val="2"/>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2160" w:type="dxa"/>
            <w:vAlign w:val="bottom"/>
            <w:gridSpan w:val="3"/>
            <w:vMerge w:val="continu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18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2160" w:type="dxa"/>
            <w:vAlign w:val="bottom"/>
            <w:gridSpan w:val="3"/>
            <w:vMerge w:val="continue"/>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gridSpan w:val="4"/>
          </w:tcPr>
          <w:p>
            <w:pPr>
              <w:jc w:val="center"/>
              <w:ind w:right="40"/>
              <w:spacing w:after="0" w:line="129" w:lineRule="exact"/>
              <w:rPr>
                <w:sz w:val="20"/>
                <w:szCs w:val="20"/>
                <w:color w:val="auto"/>
              </w:rPr>
            </w:pPr>
            <w:r>
              <w:rPr>
                <w:rFonts w:ascii="Arial" w:cs="Arial" w:eastAsia="Arial" w:hAnsi="Arial"/>
                <w:sz w:val="14"/>
                <w:szCs w:val="14"/>
                <w:b w:val="1"/>
                <w:bCs w:val="1"/>
                <w:color w:val="auto"/>
                <w:w w:val="91"/>
              </w:rPr>
              <w:t>Non-Votes</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860" w:type="dxa"/>
            <w:vAlign w:val="bottom"/>
            <w:gridSpan w:val="3"/>
          </w:tcPr>
          <w:p>
            <w:pPr>
              <w:jc w:val="right"/>
              <w:ind w:right="1060"/>
              <w:spacing w:after="0"/>
              <w:rPr>
                <w:sz w:val="20"/>
                <w:szCs w:val="20"/>
                <w:color w:val="auto"/>
              </w:rPr>
            </w:pPr>
            <w:r>
              <w:rPr>
                <w:rFonts w:ascii="Arial" w:cs="Arial" w:eastAsia="Arial" w:hAnsi="Arial"/>
                <w:sz w:val="18"/>
                <w:szCs w:val="18"/>
                <w:color w:val="auto"/>
                <w:w w:val="86"/>
              </w:rPr>
              <w:t>23,153,952</w:t>
            </w:r>
          </w:p>
        </w:tc>
        <w:tc>
          <w:tcPr>
            <w:tcW w:w="2560" w:type="dxa"/>
            <w:vAlign w:val="bottom"/>
            <w:gridSpan w:val="3"/>
          </w:tcPr>
          <w:p>
            <w:pPr>
              <w:jc w:val="right"/>
              <w:ind w:right="780"/>
              <w:spacing w:after="0"/>
              <w:rPr>
                <w:sz w:val="20"/>
                <w:szCs w:val="20"/>
                <w:color w:val="auto"/>
              </w:rPr>
            </w:pPr>
            <w:r>
              <w:rPr>
                <w:rFonts w:ascii="Arial" w:cs="Arial" w:eastAsia="Arial" w:hAnsi="Arial"/>
                <w:sz w:val="18"/>
                <w:szCs w:val="18"/>
                <w:color w:val="auto"/>
              </w:rPr>
              <w:t>1,627,720</w:t>
            </w:r>
          </w:p>
        </w:tc>
        <w:tc>
          <w:tcPr>
            <w:tcW w:w="1400" w:type="dxa"/>
            <w:vAlign w:val="bottom"/>
            <w:gridSpan w:val="2"/>
          </w:tcPr>
          <w:p>
            <w:pPr>
              <w:ind w:left="800"/>
              <w:spacing w:after="0"/>
              <w:rPr>
                <w:sz w:val="20"/>
                <w:szCs w:val="20"/>
                <w:color w:val="auto"/>
              </w:rPr>
            </w:pPr>
            <w:r>
              <w:rPr>
                <w:rFonts w:ascii="Arial" w:cs="Arial" w:eastAsia="Arial" w:hAnsi="Arial"/>
                <w:sz w:val="18"/>
                <w:szCs w:val="18"/>
                <w:color w:val="auto"/>
                <w:w w:val="89"/>
              </w:rPr>
              <w:t>447,152</w:t>
            </w:r>
          </w:p>
        </w:tc>
        <w:tc>
          <w:tcPr>
            <w:tcW w:w="760" w:type="dxa"/>
            <w:vAlign w:val="bottom"/>
          </w:tcPr>
          <w:p>
            <w:pPr>
              <w:spacing w:after="0"/>
              <w:rPr>
                <w:sz w:val="19"/>
                <w:szCs w:val="19"/>
                <w:color w:val="auto"/>
              </w:rPr>
            </w:pPr>
          </w:p>
        </w:tc>
        <w:tc>
          <w:tcPr>
            <w:tcW w:w="1500" w:type="dxa"/>
            <w:vAlign w:val="bottom"/>
            <w:gridSpan w:val="5"/>
          </w:tcPr>
          <w:p>
            <w:pPr>
              <w:jc w:val="center"/>
              <w:ind w:left="690"/>
              <w:spacing w:after="0"/>
              <w:rPr>
                <w:sz w:val="20"/>
                <w:szCs w:val="20"/>
                <w:color w:val="auto"/>
              </w:rPr>
            </w:pPr>
            <w:r>
              <w:rPr>
                <w:rFonts w:ascii="Arial" w:cs="Arial" w:eastAsia="Arial" w:hAnsi="Arial"/>
                <w:sz w:val="18"/>
                <w:szCs w:val="18"/>
                <w:color w:val="auto"/>
                <w:w w:val="89"/>
              </w:rPr>
              <w:t>4,303,659</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line="342" w:lineRule="auto"/>
        <w:rPr>
          <w:sz w:val="20"/>
          <w:szCs w:val="20"/>
          <w:color w:val="auto"/>
        </w:rPr>
      </w:pPr>
      <w:r>
        <w:rPr>
          <w:rFonts w:ascii="Arial" w:cs="Arial" w:eastAsia="Arial" w:hAnsi="Arial"/>
          <w:sz w:val="16"/>
          <w:szCs w:val="16"/>
          <w:u w:val="single" w:color="auto"/>
          <w:color w:val="auto"/>
        </w:rPr>
        <w:t>Proposal 3 – Advisory Vote on the Frequency of the Stockholder Vote on Executive Compensation</w:t>
      </w:r>
      <w:r>
        <w:rPr>
          <w:rFonts w:ascii="Arial" w:cs="Arial" w:eastAsia="Arial" w:hAnsi="Arial"/>
          <w:sz w:val="16"/>
          <w:szCs w:val="16"/>
          <w:color w:val="auto"/>
        </w:rPr>
        <w:t>. The Company’s stockholders voted, on an advisory basis, regarding the frequency of future advisory votes on the compensation of the Company’s named executive officers. “1 Year” received the most votes.</w:t>
      </w:r>
    </w:p>
    <w:p>
      <w:pPr>
        <w:spacing w:after="0" w:line="143"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1 Year</w:t>
            </w:r>
          </w:p>
        </w:tc>
        <w:tc>
          <w:tcPr>
            <w:tcW w:w="1000" w:type="dxa"/>
            <w:vAlign w:val="bottom"/>
            <w:vMerge w:val="restart"/>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2 Year</w:t>
            </w:r>
          </w:p>
        </w:tc>
        <w:tc>
          <w:tcPr>
            <w:tcW w:w="620" w:type="dxa"/>
            <w:vAlign w:val="bottom"/>
            <w:vMerge w:val="restart"/>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3 Year</w:t>
            </w:r>
          </w:p>
        </w:tc>
        <w:tc>
          <w:tcPr>
            <w:tcW w:w="620" w:type="dxa"/>
            <w:vAlign w:val="bottom"/>
            <w:vMerge w:val="restart"/>
          </w:tcPr>
          <w:p>
            <w:pPr>
              <w:spacing w:after="0"/>
              <w:rPr>
                <w:sz w:val="14"/>
                <w:szCs w:val="14"/>
                <w:color w:val="auto"/>
              </w:rPr>
            </w:pPr>
          </w:p>
        </w:tc>
        <w:tc>
          <w:tcPr>
            <w:tcW w:w="180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Abstained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Broker</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180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4"/>
          </w:tcPr>
          <w:p>
            <w:pPr>
              <w:jc w:val="center"/>
              <w:ind w:right="40"/>
              <w:spacing w:after="0" w:line="129" w:lineRule="exact"/>
              <w:rPr>
                <w:sz w:val="20"/>
                <w:szCs w:val="20"/>
                <w:color w:val="auto"/>
              </w:rPr>
            </w:pPr>
            <w:r>
              <w:rPr>
                <w:rFonts w:ascii="Arial" w:cs="Arial" w:eastAsia="Arial" w:hAnsi="Arial"/>
                <w:sz w:val="14"/>
                <w:szCs w:val="14"/>
                <w:b w:val="1"/>
                <w:bCs w:val="1"/>
                <w:color w:val="auto"/>
                <w:w w:val="91"/>
              </w:rPr>
              <w:t>Non-Votes</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600" w:type="dxa"/>
            <w:vAlign w:val="bottom"/>
            <w:gridSpan w:val="3"/>
          </w:tcPr>
          <w:p>
            <w:pPr>
              <w:jc w:val="right"/>
              <w:ind w:right="800"/>
              <w:spacing w:after="0"/>
              <w:rPr>
                <w:sz w:val="20"/>
                <w:szCs w:val="20"/>
                <w:color w:val="auto"/>
              </w:rPr>
            </w:pPr>
            <w:r>
              <w:rPr>
                <w:rFonts w:ascii="Arial" w:cs="Arial" w:eastAsia="Arial" w:hAnsi="Arial"/>
                <w:sz w:val="18"/>
                <w:szCs w:val="18"/>
                <w:color w:val="auto"/>
                <w:w w:val="86"/>
              </w:rPr>
              <w:t>24,156,041</w:t>
            </w:r>
          </w:p>
        </w:tc>
        <w:tc>
          <w:tcPr>
            <w:tcW w:w="1860" w:type="dxa"/>
            <w:vAlign w:val="bottom"/>
            <w:gridSpan w:val="3"/>
          </w:tcPr>
          <w:p>
            <w:pPr>
              <w:jc w:val="right"/>
              <w:ind w:right="580"/>
              <w:spacing w:after="0"/>
              <w:rPr>
                <w:sz w:val="20"/>
                <w:szCs w:val="20"/>
                <w:color w:val="auto"/>
              </w:rPr>
            </w:pPr>
            <w:r>
              <w:rPr>
                <w:rFonts w:ascii="Arial" w:cs="Arial" w:eastAsia="Arial" w:hAnsi="Arial"/>
                <w:sz w:val="18"/>
                <w:szCs w:val="18"/>
                <w:color w:val="auto"/>
              </w:rPr>
              <w:t>50,540</w:t>
            </w:r>
          </w:p>
        </w:tc>
        <w:tc>
          <w:tcPr>
            <w:tcW w:w="1660" w:type="dxa"/>
            <w:vAlign w:val="bottom"/>
            <w:gridSpan w:val="3"/>
          </w:tcPr>
          <w:p>
            <w:pPr>
              <w:jc w:val="right"/>
              <w:ind w:right="580"/>
              <w:spacing w:after="0"/>
              <w:rPr>
                <w:sz w:val="20"/>
                <w:szCs w:val="20"/>
                <w:color w:val="auto"/>
              </w:rPr>
            </w:pPr>
            <w:r>
              <w:rPr>
                <w:rFonts w:ascii="Arial" w:cs="Arial" w:eastAsia="Arial" w:hAnsi="Arial"/>
                <w:sz w:val="18"/>
                <w:szCs w:val="18"/>
                <w:color w:val="auto"/>
              </w:rPr>
              <w:t>28,328</w:t>
            </w: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w w:val="92"/>
              </w:rPr>
              <w:t>993,915</w:t>
            </w:r>
          </w:p>
        </w:tc>
        <w:tc>
          <w:tcPr>
            <w:tcW w:w="580" w:type="dxa"/>
            <w:vAlign w:val="bottom"/>
          </w:tcPr>
          <w:p>
            <w:pPr>
              <w:spacing w:after="0"/>
              <w:rPr>
                <w:sz w:val="19"/>
                <w:szCs w:val="19"/>
                <w:color w:val="auto"/>
              </w:rPr>
            </w:pPr>
          </w:p>
        </w:tc>
        <w:tc>
          <w:tcPr>
            <w:tcW w:w="1300" w:type="dxa"/>
            <w:vAlign w:val="bottom"/>
            <w:gridSpan w:val="5"/>
          </w:tcPr>
          <w:p>
            <w:pPr>
              <w:jc w:val="center"/>
              <w:ind w:left="490"/>
              <w:spacing w:after="0"/>
              <w:rPr>
                <w:sz w:val="20"/>
                <w:szCs w:val="20"/>
                <w:color w:val="auto"/>
              </w:rPr>
            </w:pPr>
            <w:r>
              <w:rPr>
                <w:rFonts w:ascii="Arial" w:cs="Arial" w:eastAsia="Arial" w:hAnsi="Arial"/>
                <w:sz w:val="18"/>
                <w:szCs w:val="18"/>
                <w:color w:val="auto"/>
                <w:w w:val="89"/>
              </w:rPr>
              <w:t>4,303,659</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Based on these results, and consistent with the Board’s recommendation disclosed in the Company’s 2018 proxy materials, the Board has determined that the Company will hold an advisory vote on the compensation of the Company’s named executive officers on an annual basis.</w:t>
      </w:r>
    </w:p>
    <w:p>
      <w:pPr>
        <w:spacing w:after="0" w:line="170" w:lineRule="exact"/>
        <w:rPr>
          <w:sz w:val="20"/>
          <w:szCs w:val="20"/>
          <w:color w:val="auto"/>
        </w:rPr>
      </w:pPr>
    </w:p>
    <w:p>
      <w:pPr>
        <w:ind w:right="960"/>
        <w:spacing w:after="0" w:line="342" w:lineRule="auto"/>
        <w:rPr>
          <w:sz w:val="20"/>
          <w:szCs w:val="20"/>
          <w:color w:val="auto"/>
        </w:rPr>
      </w:pPr>
      <w:r>
        <w:rPr>
          <w:rFonts w:ascii="Arial" w:cs="Arial" w:eastAsia="Arial" w:hAnsi="Arial"/>
          <w:sz w:val="16"/>
          <w:szCs w:val="16"/>
          <w:u w:val="single" w:color="auto"/>
          <w:color w:val="auto"/>
        </w:rPr>
        <w:t>Proposal 4 – Ratification of the Appointment of Samil PricewaterhouseCoopers</w:t>
      </w:r>
      <w:r>
        <w:rPr>
          <w:rFonts w:ascii="Arial" w:cs="Arial" w:eastAsia="Arial" w:hAnsi="Arial"/>
          <w:sz w:val="16"/>
          <w:szCs w:val="16"/>
          <w:color w:val="auto"/>
        </w:rPr>
        <w:t>. The Company’s stockholders ratified the appointment of Samil PricewaterhouseCoopers as the Company’s independent registered public accounting firm for the fiscal year ending December 31, 2018.</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2140" w:type="dxa"/>
            <w:vAlign w:val="bottom"/>
          </w:tcPr>
          <w:p>
            <w:pPr>
              <w:spacing w:after="0"/>
              <w:rPr>
                <w:sz w:val="14"/>
                <w:szCs w:val="14"/>
                <w:color w:val="auto"/>
              </w:rPr>
            </w:pPr>
          </w:p>
        </w:tc>
        <w:tc>
          <w:tcPr>
            <w:tcW w:w="2600" w:type="dxa"/>
            <w:vAlign w:val="bottom"/>
            <w:gridSpan w:val="3"/>
          </w:tcPr>
          <w:p>
            <w:pPr>
              <w:ind w:left="1060"/>
              <w:spacing w:after="0"/>
              <w:rPr>
                <w:sz w:val="20"/>
                <w:szCs w:val="20"/>
                <w:color w:val="auto"/>
              </w:rPr>
            </w:pPr>
            <w:r>
              <w:rPr>
                <w:rFonts w:ascii="Arial" w:cs="Arial" w:eastAsia="Arial" w:hAnsi="Arial"/>
                <w:sz w:val="14"/>
                <w:szCs w:val="14"/>
                <w:b w:val="1"/>
                <w:bCs w:val="1"/>
                <w:color w:val="auto"/>
              </w:rPr>
              <w:t>Against</w:t>
            </w:r>
          </w:p>
        </w:tc>
        <w:tc>
          <w:tcPr>
            <w:tcW w:w="1660" w:type="dxa"/>
            <w:vAlign w:val="bottom"/>
            <w:gridSpan w:val="2"/>
          </w:tcPr>
          <w:p>
            <w:pPr>
              <w:jc w:val="center"/>
              <w:ind w:left="959"/>
              <w:spacing w:after="0"/>
              <w:rPr>
                <w:sz w:val="20"/>
                <w:szCs w:val="20"/>
                <w:color w:val="auto"/>
              </w:rPr>
            </w:pPr>
            <w:r>
              <w:rPr>
                <w:rFonts w:ascii="Arial" w:cs="Arial" w:eastAsia="Arial" w:hAnsi="Arial"/>
                <w:sz w:val="14"/>
                <w:szCs w:val="14"/>
                <w:b w:val="1"/>
                <w:bCs w:val="1"/>
                <w:color w:val="auto"/>
                <w:w w:val="91"/>
              </w:rPr>
              <w:t>Abstained</w:t>
            </w:r>
          </w:p>
        </w:tc>
      </w:tr>
      <w:tr>
        <w:trPr>
          <w:trHeight w:val="20"/>
        </w:trPr>
        <w:tc>
          <w:tcPr>
            <w:tcW w:w="2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224"/>
        </w:trPr>
        <w:tc>
          <w:tcPr>
            <w:tcW w:w="5320" w:type="dxa"/>
            <w:vAlign w:val="bottom"/>
            <w:gridSpan w:val="3"/>
          </w:tcPr>
          <w:p>
            <w:pPr>
              <w:jc w:val="right"/>
              <w:ind w:right="1860"/>
              <w:spacing w:after="0"/>
              <w:rPr>
                <w:sz w:val="20"/>
                <w:szCs w:val="20"/>
                <w:color w:val="auto"/>
              </w:rPr>
            </w:pPr>
            <w:r>
              <w:rPr>
                <w:rFonts w:ascii="Arial" w:cs="Arial" w:eastAsia="Arial" w:hAnsi="Arial"/>
                <w:sz w:val="18"/>
                <w:szCs w:val="18"/>
                <w:color w:val="auto"/>
              </w:rPr>
              <w:t>29,468,751</w:t>
            </w:r>
          </w:p>
        </w:tc>
        <w:tc>
          <w:tcPr>
            <w:tcW w:w="2600" w:type="dxa"/>
            <w:vAlign w:val="bottom"/>
            <w:gridSpan w:val="3"/>
          </w:tcPr>
          <w:p>
            <w:pPr>
              <w:ind w:left="1040"/>
              <w:spacing w:after="0"/>
              <w:rPr>
                <w:sz w:val="20"/>
                <w:szCs w:val="20"/>
                <w:color w:val="auto"/>
              </w:rPr>
            </w:pPr>
            <w:r>
              <w:rPr>
                <w:rFonts w:ascii="Arial" w:cs="Arial" w:eastAsia="Arial" w:hAnsi="Arial"/>
                <w:sz w:val="18"/>
                <w:szCs w:val="18"/>
                <w:color w:val="auto"/>
              </w:rPr>
              <w:t>60,867</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2,865</w:t>
            </w:r>
          </w:p>
        </w:tc>
      </w:tr>
      <w:tr>
        <w:trPr>
          <w:trHeight w:val="404"/>
        </w:trPr>
        <w:tc>
          <w:tcPr>
            <w:tcW w:w="5320" w:type="dxa"/>
            <w:vAlign w:val="bottom"/>
            <w:gridSpan w:val="3"/>
          </w:tcPr>
          <w:p>
            <w:pPr>
              <w:spacing w:after="0"/>
              <w:rPr>
                <w:sz w:val="20"/>
                <w:szCs w:val="20"/>
                <w:color w:val="auto"/>
              </w:rPr>
            </w:pPr>
            <w:r>
              <w:rPr>
                <w:rFonts w:ascii="Arial" w:cs="Arial" w:eastAsia="Arial" w:hAnsi="Arial"/>
                <w:sz w:val="18"/>
                <w:szCs w:val="18"/>
                <w:color w:val="auto"/>
              </w:rPr>
              <w:t>There were no broker non-votes with respect to Proposal 4.</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340"/>
          </w:cols>
          <w:pgMar w:left="240" w:top="270" w:right="31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 June 18, 2018</w:t>
      </w:r>
      <w:r>
        <w:rPr>
          <w:sz w:val="20"/>
          <w:szCs w:val="20"/>
          <w:color w:val="auto"/>
        </w:rPr>
        <w:tab/>
      </w:r>
      <w:r>
        <w:rPr>
          <w:rFonts w:ascii="Arial" w:cs="Arial" w:eastAsia="Arial" w:hAnsi="Arial"/>
          <w:sz w:val="17"/>
          <w:szCs w:val="17"/>
          <w:color w:val="auto"/>
        </w:rPr>
        <w:t>By: /s/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Theodore Kim</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Chief Compliance Officer, Executive Vice President, General Counsel and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Secretary</w:t>
      </w:r>
    </w:p>
    <w:sectPr>
      <w:pgSz w:w="11900" w:h="16838" w:orient="portrait"/>
      <w:cols w:equalWidth="0" w:num="1">
        <w:col w:w="11320"/>
      </w:cols>
      <w:pgMar w:left="24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2019-12-07T01:50:08Z</dcterms:created>
  <dcterms:modified xsi:type="dcterms:W3CDTF">2019-12-07T01:50:08Z</dcterms:modified>
</cp:coreProperties>
</file>