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116205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Amendment No. 1</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121285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3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35" w:lineRule="exact"/>
        <w:rPr>
          <w:sz w:val="24"/>
          <w:szCs w:val="24"/>
          <w:color w:val="auto"/>
        </w:rPr>
      </w:pPr>
    </w:p>
    <w:p>
      <w:pPr>
        <w:sectPr>
          <w:pgSz w:w="11900" w:h="16838" w:orient="portrait"/>
          <w:cols w:equalWidth="0" w:num="3">
            <w:col w:w="2840" w:space="620"/>
            <w:col w:w="140" w:space="580"/>
            <w:col w:w="710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number 333-126019-09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156845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111760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44"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766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88"/>
              </w:rPr>
              <w:t>Delaware</w:t>
            </w:r>
          </w:p>
        </w:tc>
        <w:tc>
          <w:tcPr>
            <w:tcW w:w="1420" w:type="dxa"/>
            <w:vAlign w:val="bottom"/>
            <w:gridSpan w:val="2"/>
          </w:tcPr>
          <w:p>
            <w:pPr>
              <w:jc w:val="center"/>
              <w:ind w:right="212"/>
              <w:spacing w:after="0"/>
              <w:rPr>
                <w:sz w:val="20"/>
                <w:szCs w:val="20"/>
                <w:color w:val="auto"/>
              </w:rPr>
            </w:pPr>
            <w:r>
              <w:rPr>
                <w:rFonts w:ascii="Arial" w:cs="Arial" w:eastAsia="Arial" w:hAnsi="Arial"/>
                <w:sz w:val="18"/>
                <w:szCs w:val="18"/>
                <w:b w:val="1"/>
                <w:bCs w:val="1"/>
                <w:color w:val="auto"/>
                <w:w w:val="87"/>
              </w:rPr>
              <w:t>83-0406195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60" w:type="dxa"/>
            <w:vAlign w:val="bottom"/>
            <w:gridSpan w:val="3"/>
          </w:tcPr>
          <w:p>
            <w:pPr>
              <w:jc w:val="center"/>
              <w:ind w:right="28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2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860"/>
              <w:spacing w:after="0"/>
              <w:rPr>
                <w:sz w:val="20"/>
                <w:szCs w:val="20"/>
                <w:color w:val="auto"/>
              </w:rPr>
            </w:pPr>
            <w:r>
              <w:rPr>
                <w:rFonts w:ascii="Arial" w:cs="Arial" w:eastAsia="Arial" w:hAnsi="Arial"/>
                <w:sz w:val="14"/>
                <w:szCs w:val="14"/>
                <w:b w:val="1"/>
                <w:bCs w:val="1"/>
                <w:color w:val="auto"/>
                <w:w w:val="88"/>
              </w:rPr>
              <w:t>incorporation or organization)</w:t>
            </w:r>
          </w:p>
        </w:tc>
        <w:tc>
          <w:tcPr>
            <w:tcW w:w="142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9"/>
              </w:rPr>
              <w:t>Identification No.)</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766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88"/>
              </w:rPr>
              <w:t>c/o MagnaChip Semiconductor S.A.</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90"/>
              </w:rPr>
              <w:t>74, rue de Merl, B.P. 709, L-2017</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6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1420" w:type="dxa"/>
            <w:vAlign w:val="bottom"/>
            <w:gridSpan w:val="2"/>
          </w:tcPr>
          <w:p>
            <w:pPr>
              <w:jc w:val="center"/>
              <w:ind w:right="212"/>
              <w:spacing w:after="0"/>
              <w:rPr>
                <w:sz w:val="20"/>
                <w:szCs w:val="20"/>
                <w:color w:val="auto"/>
              </w:rPr>
            </w:pPr>
            <w:r>
              <w:rPr>
                <w:rFonts w:ascii="Arial" w:cs="Arial" w:eastAsia="Arial" w:hAnsi="Arial"/>
                <w:sz w:val="18"/>
                <w:szCs w:val="18"/>
                <w:b w:val="1"/>
                <w:bCs w:val="1"/>
                <w:color w:val="auto"/>
                <w:w w:val="88"/>
              </w:rPr>
              <w:t>Not Applicable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8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2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9"/>
              </w:rPr>
              <w:t>(Zip Code)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8420" w:type="dxa"/>
            <w:vAlign w:val="bottom"/>
            <w:gridSpan w:val="4"/>
          </w:tcPr>
          <w:p>
            <w:pPr>
              <w:jc w:val="center"/>
              <w:ind w:left="1997"/>
              <w:spacing w:after="0"/>
              <w:rPr>
                <w:sz w:val="20"/>
                <w:szCs w:val="20"/>
                <w:color w:val="auto"/>
              </w:rPr>
            </w:pPr>
            <w:r>
              <w:rPr>
                <w:rFonts w:ascii="Arial" w:cs="Arial" w:eastAsia="Arial" w:hAnsi="Arial"/>
                <w:sz w:val="18"/>
                <w:szCs w:val="18"/>
                <w:b w:val="1"/>
                <w:bCs w:val="1"/>
                <w:color w:val="auto"/>
                <w:w w:val="87"/>
              </w:rPr>
              <w:t>Registrant’s telephone number, including area code: (352) 45-62-62</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660" w:type="dxa"/>
            <w:vAlign w:val="bottom"/>
            <w:gridSpan w:val="3"/>
          </w:tcPr>
          <w:p>
            <w:pPr>
              <w:jc w:val="center"/>
              <w:ind w:left="2757"/>
              <w:spacing w:after="0"/>
              <w:rPr>
                <w:sz w:val="20"/>
                <w:szCs w:val="20"/>
                <w:color w:val="auto"/>
              </w:rPr>
            </w:pPr>
            <w:r>
              <w:rPr>
                <w:rFonts w:ascii="Arial" w:cs="Arial" w:eastAsia="Arial" w:hAnsi="Arial"/>
                <w:sz w:val="18"/>
                <w:szCs w:val="18"/>
                <w:b w:val="1"/>
                <w:bCs w:val="1"/>
                <w:color w:val="auto"/>
                <w:w w:val="87"/>
              </w:rPr>
              <w:t>Securities registered pursuant to Section 12(b) of the Act: None.</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3"/>
          </w:tcPr>
          <w:p>
            <w:pPr>
              <w:jc w:val="center"/>
              <w:ind w:left="277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2120" w:type="dxa"/>
            <w:vAlign w:val="bottom"/>
            <w:gridSpan w:val="2"/>
          </w:tcPr>
          <w:p>
            <w:pPr>
              <w:spacing w:after="0"/>
              <w:rPr>
                <w:sz w:val="16"/>
                <w:szCs w:val="16"/>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6"/>
        </w:trPr>
        <w:tc>
          <w:tcPr>
            <w:tcW w:w="842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—Checking the box above will not relieve any registrant required to file reports pursuant to Section 13 or 15(d) of the Exchange Act from their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those Sections.</w:t>
      </w:r>
    </w:p>
    <w:p>
      <w:pPr>
        <w:spacing w:after="0" w:line="45"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80"/>
          </w:cols>
          <w:pgMar w:left="240" w:top="230" w:right="379" w:bottom="1440" w:gutter="0" w:footer="0" w:header="0"/>
          <w:type w:val="continuous"/>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6">
            <w:col w:w="2040" w:space="100"/>
            <w:col w:w="2260" w:space="720"/>
            <w:col w:w="1180" w:space="80"/>
            <w:col w:w="2120" w:space="720"/>
            <w:col w:w="1500" w:space="80"/>
            <w:col w:w="480"/>
          </w:cols>
          <w:pgMar w:left="240" w:top="230" w:right="379" w:bottom="1440" w:gutter="0" w:footer="0" w:header="0"/>
          <w:type w:val="continuous"/>
        </w:sectPr>
      </w:pPr>
    </w:p>
    <w:p>
      <w:pPr>
        <w:ind w:left="460"/>
        <w:spacing w:after="0" w:line="184" w:lineRule="exact"/>
        <w:tabs>
          <w:tab w:leader="none" w:pos="78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3">
            <w:col w:w="8360" w:space="180"/>
            <w:col w:w="220" w:space="80"/>
            <w:col w:w="2440"/>
          </w:cols>
          <w:pgMar w:left="240" w:top="230" w:right="379" w:bottom="1440" w:gutter="0" w:footer="0" w:header="0"/>
          <w:type w:val="continuous"/>
        </w:sectPr>
      </w:pPr>
    </w:p>
    <w:p>
      <w:pPr>
        <w:ind w:right="120" w:firstLine="456"/>
        <w:spacing w:after="0" w:line="259"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Not applicable.</w:t>
      </w:r>
    </w:p>
    <w:p>
      <w:pPr>
        <w:spacing w:after="0" w:line="5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1, 2007, the registrant had 52,720,784.047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LLC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2006 FORM 10-K/A ANNUAL REPORT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120" w:type="dxa"/>
            <w:vAlign w:val="bottom"/>
            <w:gridSpan w:val="6"/>
          </w:tcPr>
          <w:p>
            <w:pPr>
              <w:jc w:val="center"/>
              <w:ind w:right="2340"/>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EXPLANATORY NOTE</w:t>
              </w:r>
            </w:hyperlink>
          </w:p>
        </w:tc>
        <w:tc>
          <w:tcPr>
            <w:tcW w:w="2420" w:type="dxa"/>
            <w:vAlign w:val="bottom"/>
          </w:tcPr>
          <w:p>
            <w:pPr>
              <w:spacing w:after="0"/>
              <w:rPr>
                <w:sz w:val="17"/>
                <w:szCs w:val="17"/>
                <w:color w:val="auto"/>
              </w:rPr>
            </w:pPr>
          </w:p>
        </w:tc>
      </w:tr>
      <w:tr>
        <w:trPr>
          <w:trHeight w:val="412"/>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PART III</w:t>
              </w:r>
            </w:hyperlink>
          </w:p>
        </w:tc>
        <w:tc>
          <w:tcPr>
            <w:tcW w:w="560" w:type="dxa"/>
            <w:vAlign w:val="bottom"/>
            <w:tcBorders>
              <w:top w:val="single" w:sz="8" w:color="0000EE"/>
            </w:tcBorders>
            <w:gridSpan w:val="2"/>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64"/>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Certain Relationships and Related Transactions, and Director Independence</w:t>
              </w:r>
            </w:hyperlink>
          </w:p>
        </w:tc>
        <w:tc>
          <w:tcPr>
            <w:tcW w:w="2720" w:type="dxa"/>
            <w:vAlign w:val="bottom"/>
            <w:gridSpan w:val="2"/>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Borders>
              <w:bottom w:val="single" w:sz="8" w:color="0000EE"/>
            </w:tcBorders>
            <w:gridSpan w:val="2"/>
          </w:tcPr>
          <w:p>
            <w:pPr>
              <w:jc w:val="cente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PART IV</w:t>
              </w:r>
            </w:hyperlink>
          </w:p>
        </w:tc>
        <w:tc>
          <w:tcPr>
            <w:tcW w:w="2900" w:type="dxa"/>
            <w:vAlign w:val="bottom"/>
            <w:gridSpan w:val="3"/>
          </w:tcPr>
          <w:p>
            <w:pPr>
              <w:spacing w:after="0"/>
              <w:rPr>
                <w:sz w:val="24"/>
                <w:szCs w:val="24"/>
                <w:color w:val="auto"/>
              </w:rPr>
            </w:pPr>
          </w:p>
        </w:tc>
        <w:tc>
          <w:tcPr>
            <w:tcW w:w="2420" w:type="dxa"/>
            <w:vAlign w:val="bottom"/>
          </w:tcPr>
          <w:p>
            <w:pPr>
              <w:spacing w:after="0"/>
              <w:rPr>
                <w:sz w:val="24"/>
                <w:szCs w:val="24"/>
                <w:color w:val="auto"/>
              </w:rPr>
            </w:pPr>
          </w:p>
        </w:tc>
      </w:tr>
      <w:tr>
        <w:trPr>
          <w:trHeight w:val="264"/>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8040" w:type="dxa"/>
            <w:vAlign w:val="bottom"/>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Exhibits and Financial Statement Schedules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894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SIGNATURES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83"/>
        </w:trPr>
        <w:tc>
          <w:tcPr>
            <w:tcW w:w="9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4"/>
          </w:tcPr>
          <w:p>
            <w:pPr>
              <w:jc w:val="center"/>
              <w:ind w:right="2920"/>
              <w:spacing w:after="0"/>
              <w:rPr>
                <w:sz w:val="20"/>
                <w:szCs w:val="20"/>
                <w:color w:val="auto"/>
              </w:rPr>
            </w:pPr>
            <w:r>
              <w:rPr>
                <w:rFonts w:ascii="Arial" w:cs="Arial" w:eastAsia="Arial" w:hAnsi="Arial"/>
                <w:sz w:val="18"/>
                <w:szCs w:val="18"/>
                <w:color w:val="auto"/>
              </w:rPr>
              <w:t>i</w:t>
            </w:r>
          </w:p>
        </w:tc>
        <w:tc>
          <w:tcPr>
            <w:tcW w:w="24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Amendment No. 1 to our Annual Report on Form 10-K for the fiscal year ended December 31, 2006, is being filed to include additional disclosures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 Item 13 of the Form 10-K filed on March 30, 2007 (the “Original Filing”), based upon information discovered by the registrant following the Original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Filing. As required by Rule 12b-15 promulgated under the Securities Exchange Act of 1934, as amended, we have included the complete text of the revised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Item 13 and have filed new exhibits 31.1, 31.2, 32.1 and 32.2 herewith. The text in Item 13 speaks as of the date of the Original Filing and has not been revised 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updated in this Amendment No. 1 to reflect events occurring between the date of the Original Filing and the filing of this Amendment No. 1.</w:t>
      </w:r>
    </w:p>
    <w:p>
      <w:pPr>
        <w:spacing w:after="0" w:line="16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Except as described above, this amendment does not modify or update disclosure in, or exhibits to, the Original Filing. Furthermore, this amendment does not change any previously reported financial results, nor does it reflect events occurring after the date of the Original Filing. Accordingly, this Amendment No. 1 should be read in conjunction with our filings made subsequent to the filing of the Original Filing.</w:t>
      </w:r>
    </w:p>
    <w:p>
      <w:pPr>
        <w:spacing w:after="0" w:line="29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AGREEMENTS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connection with the Original Acquisition, and the related equity financing, MagnaChip Korea and MagnaChip entered into advisory agreements with each of CVC Management LLC, Francisco Partners Management, LLC and CVC Capital Partners Asia Limited, which are related to CVC, Francisco Partners and CVC Asia Pacific, respectively, pursuant to which each may provide financial, advisory and consulting services to MagnaChip Korea and MagnaChip. Under such agreements, each of CVC Management, Francisco Partners Management and CVC Capital Partners Asia is entitled to receive fees billed at such firm’s customary rates for actual time spent performing such services plus reimbursement for out-of-pocket expenses or, at such firm’s option and upon certain conditions, an annual advisory fee, the amount of which is the greater of a fixed dollar amount or a percentage of the annual consolidated revenue of MagnaChip Korea and MagnaChip for the last twelve months, plus out-of-pocket expenses, for the remaining term of the advisory agreement. The annual advisory fees under the agreements are as follows: CVC Management and Francisco Partners Management are each entitled to the greater of $1,379,163.42 or 0.14777% of annual consolidated revenue and CVC Capital Partners Asia is entitled to the greater of $741,673.15 or 0.07946% of annual consolidated revenue. There are no minimum levels of service required to be provided pursuant to the advisory agreements. Each advisory agreement has an initial term of ten years from the date of the Original Acquisition, subject to termination by either party upon written notice 90 days prior to the expiration of the initial term or any extension thereof. Each advisory agreement includes customary indemnification provisions in favor of each of CVC Management, Francisco Partners Management and CVC Capital Partners Asia. In exchange for an extension of the initial term of these advisory agreements for a period of one year, each of the three advisors under these advisory agreements agreed to waive all fees accruing in our fiscal year 2006.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our Code of Business Conduct and Ethics, all conflicts of interest and related-party transactions that are determined to be material by the Chief Financial Officer must be reviewed and approved in writing by our audit committee. All conflicts of interest and related-party transactions involving our directors or executive officers must be reviewed and approved in writing by our full Board of Directors. In the approval process, the approving authority will review all aspects of the conflict of interest or related-party transaction, including but not limited to, (i) compliance with laws, rules, and regulations, (ii) the adverse affect on our business and results of operations, (iii) the adverse affect on our relationships with third parties such as customers, vendors, and potential investors, (iii) the benefit to the director, officer, or employee at issue, and (iv) the creation of morale problems among other employees.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securityholders’ agreement executed by and among us, CVC, Francisco Partners, CVC Asia Pacific and other securityholders of MagnaChip provides that our Board of Directors must approve any contract with, obligation to or transaction or series of transactions between, us and one or more of our securityholders or their affiliates.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November 2006, (i) Sang Park, our Chief Executive Officer and the Chairman of our Board of Directors, purchased in the open market $69,000 aggregate principal amount of our 8% Senior Subordinated Notes due 2014 (the “8% Notes”) at a price of approximately $50,000 (which includes approximately $2,500 paid with respect to accrued interest), and (ii) Robert J. Krakauer, our President and Chief Financial Officer and a Director, purchased in the open market $138,000 aggregate principal amount of the 8% Notes at a price of approximately $100,000 (which includes approximately $5,000 paid with respect to accrued interest). MagnaChip paid interest of $2,760 and $5,520, respectively, to Mr. Park and Mr. Krakauer during our fiscal year 2006. In February 2007, Paul C. Schorr IV, a Director, purchased in the open market $175,000 in aggregate principal amount of the 8% Notes at a price of approximately $127,000 (which includes approximately $2,300 paid with respect to accrued interest). None of the foregoing purchases of the 8% Notes were subject to our related party transaction or conflict of interest approval process set forth in our Code of Business Conduct and Ethics or securityholders’ agreement because the 8% Notes were not purchased from MagnaChip. All of the foregoing purchases were completed outside MagnaChip’s regular trading blackout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are not a listed issuer. For purposes of determining whether our directors are independent under this Item 13, we apply the definition of director independence as set forth in the Rules of The NASDAQ Stock Market LLC. The following directors marked with an asterisk (“*”) are independent under the Rules with respect to our Board of Directors and each board committee.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ind w:left="220"/>
              <w:spacing w:after="0"/>
              <w:rPr>
                <w:sz w:val="20"/>
                <w:szCs w:val="20"/>
                <w:color w:val="auto"/>
              </w:rPr>
            </w:pPr>
            <w:r>
              <w:rPr>
                <w:rFonts w:ascii="Arial" w:cs="Arial" w:eastAsia="Arial" w:hAnsi="Arial"/>
                <w:sz w:val="14"/>
                <w:szCs w:val="14"/>
                <w:b w:val="1"/>
                <w:bCs w:val="1"/>
                <w:color w:val="auto"/>
              </w:rPr>
              <w:t>Nominating and</w:t>
            </w:r>
          </w:p>
        </w:tc>
      </w:tr>
      <w:tr>
        <w:trPr>
          <w:trHeight w:val="168"/>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Board of Directors</w:t>
            </w:r>
          </w:p>
        </w:tc>
        <w:tc>
          <w:tcPr>
            <w:tcW w:w="1020" w:type="dxa"/>
            <w:vAlign w:val="bottom"/>
          </w:tcPr>
          <w:p>
            <w:pPr>
              <w:spacing w:after="0"/>
              <w:rPr>
                <w:sz w:val="14"/>
                <w:szCs w:val="14"/>
                <w:color w:val="auto"/>
              </w:rPr>
            </w:pPr>
          </w:p>
        </w:tc>
        <w:tc>
          <w:tcPr>
            <w:tcW w:w="24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Audit Committee</w:t>
            </w:r>
          </w:p>
        </w:tc>
        <w:tc>
          <w:tcPr>
            <w:tcW w:w="1020" w:type="dxa"/>
            <w:vAlign w:val="bottom"/>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Compensation Committee</w:t>
            </w:r>
          </w:p>
        </w:tc>
        <w:tc>
          <w:tcPr>
            <w:tcW w:w="1220" w:type="dxa"/>
            <w:vAlign w:val="bottom"/>
          </w:tcPr>
          <w:p>
            <w:pPr>
              <w:spacing w:after="0"/>
              <w:rPr>
                <w:sz w:val="14"/>
                <w:szCs w:val="1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Governance Committee</w:t>
            </w:r>
          </w:p>
        </w:tc>
      </w:tr>
      <w:tr>
        <w:trPr>
          <w:trHeight w:val="275"/>
        </w:trPr>
        <w:tc>
          <w:tcPr>
            <w:tcW w:w="2840" w:type="dxa"/>
            <w:vAlign w:val="bottom"/>
          </w:tcPr>
          <w:p>
            <w:pPr>
              <w:spacing w:after="0"/>
              <w:rPr>
                <w:sz w:val="20"/>
                <w:szCs w:val="20"/>
                <w:color w:val="auto"/>
              </w:rPr>
            </w:pPr>
            <w:r>
              <w:rPr>
                <w:rFonts w:ascii="Arial" w:cs="Arial" w:eastAsia="Arial" w:hAnsi="Arial"/>
                <w:sz w:val="18"/>
                <w:szCs w:val="18"/>
                <w:color w:val="auto"/>
              </w:rPr>
              <w:t>Jerry M. Baker</w:t>
            </w:r>
          </w:p>
        </w:tc>
        <w:tc>
          <w:tcPr>
            <w:tcW w:w="3460" w:type="dxa"/>
            <w:vAlign w:val="bottom"/>
            <w:gridSpan w:val="2"/>
          </w:tcPr>
          <w:p>
            <w:pPr>
              <w:ind w:left="1020"/>
              <w:spacing w:after="0"/>
              <w:rPr>
                <w:sz w:val="20"/>
                <w:szCs w:val="20"/>
                <w:color w:val="auto"/>
              </w:rPr>
            </w:pPr>
            <w:r>
              <w:rPr>
                <w:rFonts w:ascii="Arial" w:cs="Arial" w:eastAsia="Arial" w:hAnsi="Arial"/>
                <w:sz w:val="18"/>
                <w:szCs w:val="18"/>
                <w:color w:val="auto"/>
              </w:rPr>
              <w:t>R. Douglas Norby*</w:t>
            </w:r>
          </w:p>
        </w:tc>
        <w:tc>
          <w:tcPr>
            <w:tcW w:w="1020" w:type="dxa"/>
            <w:vAlign w:val="bottom"/>
          </w:tcPr>
          <w:p>
            <w:pPr>
              <w:spacing w:after="0"/>
              <w:rPr>
                <w:sz w:val="23"/>
                <w:szCs w:val="23"/>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Dipanjan Deb</w:t>
            </w:r>
          </w:p>
        </w:tc>
        <w:tc>
          <w:tcPr>
            <w:tcW w:w="2600" w:type="dxa"/>
            <w:vAlign w:val="bottom"/>
            <w:gridSpan w:val="2"/>
          </w:tcPr>
          <w:p>
            <w:pPr>
              <w:ind w:left="1220"/>
              <w:spacing w:after="0"/>
              <w:rPr>
                <w:sz w:val="20"/>
                <w:szCs w:val="20"/>
                <w:color w:val="auto"/>
              </w:rPr>
            </w:pPr>
            <w:r>
              <w:rPr>
                <w:rFonts w:ascii="Arial" w:cs="Arial" w:eastAsia="Arial" w:hAnsi="Arial"/>
                <w:sz w:val="18"/>
                <w:szCs w:val="18"/>
                <w:color w:val="auto"/>
                <w:w w:val="91"/>
              </w:rPr>
              <w:t>R. Douglas Norby*</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Dipanjan Deb</w:t>
            </w:r>
          </w:p>
        </w:tc>
        <w:tc>
          <w:tcPr>
            <w:tcW w:w="3460" w:type="dxa"/>
            <w:vAlign w:val="bottom"/>
            <w:gridSpan w:val="2"/>
          </w:tcPr>
          <w:p>
            <w:pPr>
              <w:ind w:left="1020"/>
              <w:spacing w:after="0"/>
              <w:rPr>
                <w:sz w:val="20"/>
                <w:szCs w:val="20"/>
                <w:color w:val="auto"/>
              </w:rPr>
            </w:pPr>
            <w:r>
              <w:rPr>
                <w:rFonts w:ascii="Arial" w:cs="Arial" w:eastAsia="Arial" w:hAnsi="Arial"/>
                <w:sz w:val="18"/>
                <w:szCs w:val="18"/>
                <w:color w:val="auto"/>
              </w:rPr>
              <w:t>Phokion Potamianos</w:t>
            </w:r>
          </w:p>
        </w:tc>
        <w:tc>
          <w:tcPr>
            <w:tcW w:w="10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Paul C. Schorr IV</w:t>
            </w:r>
          </w:p>
        </w:tc>
        <w:tc>
          <w:tcPr>
            <w:tcW w:w="2600" w:type="dxa"/>
            <w:vAlign w:val="bottom"/>
            <w:gridSpan w:val="2"/>
          </w:tcPr>
          <w:p>
            <w:pPr>
              <w:ind w:left="1220"/>
              <w:spacing w:after="0"/>
              <w:rPr>
                <w:sz w:val="20"/>
                <w:szCs w:val="20"/>
                <w:color w:val="auto"/>
              </w:rPr>
            </w:pPr>
            <w:r>
              <w:rPr>
                <w:rFonts w:ascii="Arial" w:cs="Arial" w:eastAsia="Arial" w:hAnsi="Arial"/>
                <w:sz w:val="18"/>
                <w:szCs w:val="18"/>
                <w:color w:val="auto"/>
              </w:rPr>
              <w:t>Phokion</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Armando Geday</w:t>
            </w:r>
          </w:p>
        </w:tc>
        <w:tc>
          <w:tcPr>
            <w:tcW w:w="3460" w:type="dxa"/>
            <w:vAlign w:val="bottom"/>
            <w:gridSpan w:val="2"/>
          </w:tcPr>
          <w:p>
            <w:pPr>
              <w:ind w:left="1020"/>
              <w:spacing w:after="0"/>
              <w:rPr>
                <w:sz w:val="20"/>
                <w:szCs w:val="20"/>
                <w:color w:val="auto"/>
              </w:rPr>
            </w:pPr>
            <w:r>
              <w:rPr>
                <w:rFonts w:ascii="Arial" w:cs="Arial" w:eastAsia="Arial" w:hAnsi="Arial"/>
                <w:sz w:val="18"/>
                <w:szCs w:val="18"/>
                <w:color w:val="auto"/>
              </w:rPr>
              <w:t>Paul C. Schorr IV</w:t>
            </w:r>
          </w:p>
        </w:tc>
        <w:tc>
          <w:tcPr>
            <w:tcW w:w="10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David F. Thomas</w:t>
            </w:r>
          </w:p>
        </w:tc>
        <w:tc>
          <w:tcPr>
            <w:tcW w:w="2600" w:type="dxa"/>
            <w:vAlign w:val="bottom"/>
            <w:gridSpan w:val="2"/>
          </w:tcPr>
          <w:p>
            <w:pPr>
              <w:ind w:left="1220"/>
              <w:spacing w:after="0"/>
              <w:rPr>
                <w:sz w:val="20"/>
                <w:szCs w:val="20"/>
                <w:color w:val="auto"/>
              </w:rPr>
            </w:pPr>
            <w:r>
              <w:rPr>
                <w:rFonts w:ascii="Arial" w:cs="Arial" w:eastAsia="Arial" w:hAnsi="Arial"/>
                <w:sz w:val="18"/>
                <w:szCs w:val="18"/>
                <w:color w:val="auto"/>
              </w:rPr>
              <w:t>Potamianos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Youm Huh (1)</w:t>
            </w:r>
          </w:p>
        </w:tc>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0" w:type="dxa"/>
            <w:vAlign w:val="bottom"/>
            <w:gridSpan w:val="2"/>
          </w:tcPr>
          <w:p>
            <w:pPr>
              <w:ind w:left="1220"/>
              <w:spacing w:after="0"/>
              <w:rPr>
                <w:sz w:val="20"/>
                <w:szCs w:val="20"/>
                <w:color w:val="auto"/>
              </w:rPr>
            </w:pPr>
            <w:r>
              <w:rPr>
                <w:rFonts w:ascii="Arial" w:cs="Arial" w:eastAsia="Arial" w:hAnsi="Arial"/>
                <w:sz w:val="18"/>
                <w:szCs w:val="18"/>
                <w:color w:val="auto"/>
                <w:w w:val="99"/>
              </w:rPr>
              <w:t>David F. Thomas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Robert Krakauer</w:t>
            </w:r>
          </w:p>
        </w:tc>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Roy Kuan</w:t>
            </w:r>
          </w:p>
        </w:tc>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 Douglas Norby*</w:t>
            </w:r>
          </w:p>
        </w:tc>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Sang Park</w:t>
            </w:r>
          </w:p>
        </w:tc>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Phokion Potamianos</w:t>
            </w:r>
          </w:p>
        </w:tc>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Paul C. Schorr IV</w:t>
            </w:r>
          </w:p>
        </w:tc>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David F. Thomas</w:t>
            </w:r>
          </w:p>
        </w:tc>
        <w:tc>
          <w:tcPr>
            <w:tcW w:w="10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Footnote:</w:t>
      </w:r>
    </w:p>
    <w:p>
      <w:pPr>
        <w:spacing w:after="0" w:line="1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 Huh resigned as a director effective May 27,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 The following exhibits are hereby added to the Exhibits originally filed with the Original Filing.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31.1</w:t>
            </w:r>
          </w:p>
        </w:tc>
        <w:tc>
          <w:tcPr>
            <w:tcW w:w="10440" w:type="dxa"/>
            <w:vAlign w:val="bottom"/>
            <w:gridSpan w:val="2"/>
          </w:tcPr>
          <w:p>
            <w:pPr>
              <w:ind w:left="300"/>
              <w:spacing w:after="0"/>
              <w:rPr>
                <w:sz w:val="20"/>
                <w:szCs w:val="20"/>
                <w:color w:val="auto"/>
              </w:rPr>
            </w:pPr>
            <w:r>
              <w:rPr>
                <w:rFonts w:ascii="Arial" w:cs="Arial" w:eastAsia="Arial" w:hAnsi="Arial"/>
                <w:sz w:val="18"/>
                <w:szCs w:val="18"/>
                <w:color w:val="auto"/>
                <w:w w:val="99"/>
              </w:rPr>
              <w:t>Certification pursuant to Rule 13a-14(a) or Rule 15d-14(a) of the Securities Exchange Act of 1934 of the Chief Executive Officer.</w:t>
            </w:r>
          </w:p>
        </w:tc>
      </w:tr>
      <w:tr>
        <w:trPr>
          <w:trHeight w:val="28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31.2</w:t>
            </w:r>
          </w:p>
        </w:tc>
        <w:tc>
          <w:tcPr>
            <w:tcW w:w="10440" w:type="dxa"/>
            <w:vAlign w:val="bottom"/>
            <w:gridSpan w:val="2"/>
          </w:tcPr>
          <w:p>
            <w:pPr>
              <w:ind w:left="300"/>
              <w:spacing w:after="0"/>
              <w:rPr>
                <w:sz w:val="20"/>
                <w:szCs w:val="20"/>
                <w:color w:val="auto"/>
              </w:rPr>
            </w:pPr>
            <w:r>
              <w:rPr>
                <w:rFonts w:ascii="Arial" w:cs="Arial" w:eastAsia="Arial" w:hAnsi="Arial"/>
                <w:sz w:val="18"/>
                <w:szCs w:val="18"/>
                <w:color w:val="auto"/>
                <w:w w:val="99"/>
              </w:rPr>
              <w:t>Certification pursuant to Rule 13a-14(a) or Rule 15d-14(a) of the Securities Exchange Act of 1934 of the Chief Financial Officer.</w:t>
            </w:r>
          </w:p>
        </w:tc>
      </w:tr>
      <w:tr>
        <w:trPr>
          <w:trHeight w:val="27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32.1</w:t>
            </w:r>
          </w:p>
        </w:tc>
        <w:tc>
          <w:tcPr>
            <w:tcW w:w="2260" w:type="dxa"/>
            <w:vAlign w:val="bottom"/>
          </w:tcPr>
          <w:p>
            <w:pPr>
              <w:ind w:left="300"/>
              <w:spacing w:after="0"/>
              <w:rPr>
                <w:sz w:val="20"/>
                <w:szCs w:val="20"/>
                <w:color w:val="auto"/>
              </w:rPr>
            </w:pPr>
            <w:r>
              <w:rPr>
                <w:rFonts w:ascii="Arial" w:cs="Arial" w:eastAsia="Arial" w:hAnsi="Arial"/>
                <w:sz w:val="18"/>
                <w:szCs w:val="18"/>
                <w:color w:val="auto"/>
                <w:w w:val="90"/>
              </w:rPr>
              <w:t>Certification pursuant to 18</w:t>
            </w:r>
          </w:p>
        </w:tc>
        <w:tc>
          <w:tcPr>
            <w:tcW w:w="8180" w:type="dxa"/>
            <w:vAlign w:val="bottom"/>
          </w:tcPr>
          <w:p>
            <w:pPr>
              <w:ind w:left="20"/>
              <w:spacing w:after="0"/>
              <w:rPr>
                <w:sz w:val="20"/>
                <w:szCs w:val="20"/>
                <w:color w:val="auto"/>
              </w:rPr>
            </w:pPr>
            <w:r>
              <w:rPr>
                <w:rFonts w:ascii="Arial" w:cs="Arial" w:eastAsia="Arial" w:hAnsi="Arial"/>
                <w:sz w:val="18"/>
                <w:szCs w:val="18"/>
                <w:color w:val="auto"/>
                <w:w w:val="88"/>
              </w:rPr>
              <w:t>U.S.C. Section 1350, as adopted pursuant to Section 906 of the Sarbanes-Oxley Act of 2002, of the Chief Executive</w:t>
            </w:r>
          </w:p>
        </w:tc>
      </w:tr>
      <w:tr>
        <w:trPr>
          <w:trHeight w:val="222"/>
        </w:trPr>
        <w:tc>
          <w:tcPr>
            <w:tcW w:w="620" w:type="dxa"/>
            <w:vAlign w:val="bottom"/>
          </w:tcPr>
          <w:p>
            <w:pPr>
              <w:spacing w:after="0"/>
              <w:rPr>
                <w:sz w:val="19"/>
                <w:szCs w:val="19"/>
                <w:color w:val="auto"/>
              </w:rPr>
            </w:pPr>
          </w:p>
        </w:tc>
        <w:tc>
          <w:tcPr>
            <w:tcW w:w="2260" w:type="dxa"/>
            <w:vAlign w:val="bottom"/>
          </w:tcPr>
          <w:p>
            <w:pPr>
              <w:ind w:left="300"/>
              <w:spacing w:after="0"/>
              <w:rPr>
                <w:sz w:val="20"/>
                <w:szCs w:val="20"/>
                <w:color w:val="auto"/>
              </w:rPr>
            </w:pPr>
            <w:r>
              <w:rPr>
                <w:rFonts w:ascii="Arial" w:cs="Arial" w:eastAsia="Arial" w:hAnsi="Arial"/>
                <w:sz w:val="18"/>
                <w:szCs w:val="18"/>
                <w:color w:val="auto"/>
              </w:rPr>
              <w:t>Officer.</w:t>
            </w:r>
          </w:p>
        </w:tc>
        <w:tc>
          <w:tcPr>
            <w:tcW w:w="8180" w:type="dxa"/>
            <w:vAlign w:val="bottom"/>
          </w:tcPr>
          <w:p>
            <w:pPr>
              <w:spacing w:after="0"/>
              <w:rPr>
                <w:sz w:val="19"/>
                <w:szCs w:val="19"/>
                <w:color w:val="auto"/>
              </w:rPr>
            </w:pPr>
          </w:p>
        </w:tc>
      </w:tr>
      <w:tr>
        <w:trPr>
          <w:trHeight w:val="27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32.2</w:t>
            </w:r>
          </w:p>
        </w:tc>
        <w:tc>
          <w:tcPr>
            <w:tcW w:w="2260" w:type="dxa"/>
            <w:vAlign w:val="bottom"/>
          </w:tcPr>
          <w:p>
            <w:pPr>
              <w:ind w:left="300"/>
              <w:spacing w:after="0"/>
              <w:rPr>
                <w:sz w:val="20"/>
                <w:szCs w:val="20"/>
                <w:color w:val="auto"/>
              </w:rPr>
            </w:pPr>
            <w:r>
              <w:rPr>
                <w:rFonts w:ascii="Arial" w:cs="Arial" w:eastAsia="Arial" w:hAnsi="Arial"/>
                <w:sz w:val="18"/>
                <w:szCs w:val="18"/>
                <w:color w:val="auto"/>
                <w:w w:val="90"/>
              </w:rPr>
              <w:t>Certification pursuant to 18</w:t>
            </w:r>
          </w:p>
        </w:tc>
        <w:tc>
          <w:tcPr>
            <w:tcW w:w="8180" w:type="dxa"/>
            <w:vAlign w:val="bottom"/>
          </w:tcPr>
          <w:p>
            <w:pPr>
              <w:ind w:left="20"/>
              <w:spacing w:after="0"/>
              <w:rPr>
                <w:sz w:val="20"/>
                <w:szCs w:val="20"/>
                <w:color w:val="auto"/>
              </w:rPr>
            </w:pPr>
            <w:r>
              <w:rPr>
                <w:rFonts w:ascii="Arial" w:cs="Arial" w:eastAsia="Arial" w:hAnsi="Arial"/>
                <w:sz w:val="18"/>
                <w:szCs w:val="18"/>
                <w:color w:val="auto"/>
                <w:w w:val="88"/>
              </w:rPr>
              <w:t>U.S.C. Section 1350, as adopted pursuant to Section 906 of the Sarbanes-Oxley Act of 2002, of the Chief Financial</w:t>
            </w:r>
          </w:p>
        </w:tc>
      </w:tr>
      <w:tr>
        <w:trPr>
          <w:trHeight w:val="222"/>
        </w:trPr>
        <w:tc>
          <w:tcPr>
            <w:tcW w:w="620" w:type="dxa"/>
            <w:vAlign w:val="bottom"/>
          </w:tcPr>
          <w:p>
            <w:pPr>
              <w:spacing w:after="0"/>
              <w:rPr>
                <w:sz w:val="19"/>
                <w:szCs w:val="19"/>
                <w:color w:val="auto"/>
              </w:rPr>
            </w:pPr>
          </w:p>
        </w:tc>
        <w:tc>
          <w:tcPr>
            <w:tcW w:w="2260" w:type="dxa"/>
            <w:vAlign w:val="bottom"/>
          </w:tcPr>
          <w:p>
            <w:pPr>
              <w:ind w:left="300"/>
              <w:spacing w:after="0"/>
              <w:rPr>
                <w:sz w:val="20"/>
                <w:szCs w:val="20"/>
                <w:color w:val="auto"/>
              </w:rPr>
            </w:pPr>
            <w:r>
              <w:rPr>
                <w:rFonts w:ascii="Arial" w:cs="Arial" w:eastAsia="Arial" w:hAnsi="Arial"/>
                <w:sz w:val="18"/>
                <w:szCs w:val="18"/>
                <w:color w:val="auto"/>
              </w:rPr>
              <w:t>Officer.</w:t>
            </w:r>
          </w:p>
        </w:tc>
        <w:tc>
          <w:tcPr>
            <w:tcW w:w="8180" w:type="dxa"/>
            <w:vAlign w:val="bottom"/>
          </w:tcPr>
          <w:p>
            <w:pPr>
              <w:spacing w:after="0"/>
              <w:rPr>
                <w:sz w:val="19"/>
                <w:szCs w:val="19"/>
                <w:color w:val="auto"/>
              </w:rPr>
            </w:pPr>
          </w:p>
        </w:tc>
      </w:tr>
      <w:tr>
        <w:trPr>
          <w:trHeight w:val="365"/>
        </w:trPr>
        <w:tc>
          <w:tcPr>
            <w:tcW w:w="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180" w:type="dxa"/>
            <w:vAlign w:val="bottom"/>
          </w:tcPr>
          <w:p>
            <w:pPr>
              <w:jc w:val="right"/>
              <w:ind w:right="521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060"/>
          </w:cols>
          <w:pgMar w:left="240" w:top="459" w:right="5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MAGNACHIP SEMICONDUCTOR LLC</w:t>
      </w:r>
    </w:p>
    <w:p>
      <w:pPr>
        <w:spacing w:after="0" w:line="231" w:lineRule="exact"/>
        <w:rPr>
          <w:sz w:val="20"/>
          <w:szCs w:val="20"/>
          <w:color w:val="auto"/>
        </w:rPr>
      </w:pPr>
    </w:p>
    <w:p>
      <w:pPr>
        <w:spacing w:after="0"/>
        <w:tabs>
          <w:tab w:leader="none" w:pos="6060" w:val="left"/>
          <w:tab w:leader="none" w:pos="8200" w:val="left"/>
          <w:tab w:leader="none" w:pos="8540" w:val="left"/>
        </w:tabs>
        <w:rPr>
          <w:sz w:val="20"/>
          <w:szCs w:val="20"/>
          <w:color w:val="auto"/>
        </w:rPr>
      </w:pPr>
      <w:r>
        <w:rPr>
          <w:rFonts w:ascii="Arial" w:cs="Arial" w:eastAsia="Arial" w:hAnsi="Arial"/>
          <w:sz w:val="18"/>
          <w:szCs w:val="18"/>
          <w:color w:val="auto"/>
        </w:rPr>
        <w:t>Dated: May 14,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ANG</w:t>
      </w:r>
      <w:r>
        <w:rPr>
          <w:rFonts w:ascii="Arial" w:cs="Arial" w:eastAsia="Arial" w:hAnsi="Arial"/>
          <w:sz w:val="16"/>
          <w:szCs w:val="16"/>
          <w:color w:val="auto"/>
        </w:rPr>
        <w:t xml:space="preserve"> P</w:t>
      </w:r>
      <w:r>
        <w:rPr>
          <w:rFonts w:ascii="Arial" w:cs="Arial" w:eastAsia="Arial" w:hAnsi="Arial"/>
          <w:sz w:val="13"/>
          <w:szCs w:val="13"/>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Sang Park</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Chief Executive Officer and Chairman</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459" w:right="5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Sang Park, certify that:</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MagnaChip Semiconductor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14, 2007</w:t>
      </w:r>
    </w:p>
    <w:p>
      <w:pPr>
        <w:spacing w:after="0" w:line="212" w:lineRule="exact"/>
        <w:rPr>
          <w:sz w:val="20"/>
          <w:szCs w:val="20"/>
          <w:color w:val="auto"/>
        </w:rPr>
      </w:pPr>
    </w:p>
    <w:p>
      <w:pPr>
        <w:ind w:left="1700"/>
        <w:spacing w:after="0"/>
        <w:tabs>
          <w:tab w:leader="none" w:pos="20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ANG</w:t>
      </w:r>
      <w:r>
        <w:rPr>
          <w:rFonts w:ascii="Arial" w:cs="Arial" w:eastAsia="Arial" w:hAnsi="Arial"/>
          <w:sz w:val="16"/>
          <w:szCs w:val="16"/>
          <w:color w:val="auto"/>
        </w:rPr>
        <w:t xml:space="preserve"> P</w:t>
      </w:r>
      <w:r>
        <w:rPr>
          <w:rFonts w:ascii="Arial" w:cs="Arial" w:eastAsia="Arial" w:hAnsi="Arial"/>
          <w:sz w:val="13"/>
          <w:szCs w:val="13"/>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Sang Park</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1063625</wp:posOffset>
            </wp:positionV>
            <wp:extent cx="746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Paragraph 3, omitted here, is included in Exhibit 31.1 to the Annual Report on Form 10-K filed by MagnaChip Semiconductor LLC on March 30, 2007.</w:t>
      </w:r>
    </w:p>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Robert J. Krakauer, certify that:</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MagnaChip Semiconductor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14, 2007</w:t>
      </w:r>
    </w:p>
    <w:p>
      <w:pPr>
        <w:spacing w:after="0" w:line="212" w:lineRule="exact"/>
        <w:rPr>
          <w:sz w:val="20"/>
          <w:szCs w:val="20"/>
          <w:color w:val="auto"/>
        </w:rPr>
      </w:pPr>
    </w:p>
    <w:p>
      <w:pPr>
        <w:ind w:left="132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K</w:t>
      </w:r>
      <w:r>
        <w:rPr>
          <w:rFonts w:ascii="Arial" w:cs="Arial" w:eastAsia="Arial" w:hAnsi="Arial"/>
          <w:sz w:val="13"/>
          <w:szCs w:val="13"/>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Robert J. Krakauer</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1063625</wp:posOffset>
            </wp:positionV>
            <wp:extent cx="746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Paragraph 3, omitted here, is included in Exhibit 31.2 to the Annual Report on Form 10-K filed by MagnaChip Semiconductor LLC on March 30, 2007.</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Annual Report of MagnaChip Semiconductor LLC (the “Company”) on Form 10-K/A for the period ending December 31, 2006, as filed with the Securities and Exchange Commission on the date hereof (the “Report”), I, Sang Park, Chief Executive Officer and Chairman of the Board of Directors of the Company, certify, pursuant to 18 U.S.C. §1350, as adopted pursuant to §906 of the Sarbanes-Oxley Act of 2002, that to my knowledge:</w:t>
      </w:r>
    </w:p>
    <w:p>
      <w:pPr>
        <w:spacing w:after="0" w:line="26" w:lineRule="exact"/>
        <w:rPr>
          <w:sz w:val="20"/>
          <w:szCs w:val="20"/>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12" w:lineRule="exact"/>
        <w:rPr>
          <w:sz w:val="20"/>
          <w:szCs w:val="20"/>
          <w:color w:val="auto"/>
        </w:rPr>
      </w:pPr>
    </w:p>
    <w:p>
      <w:pPr>
        <w:ind w:left="1700"/>
        <w:spacing w:after="0"/>
        <w:tabs>
          <w:tab w:leader="none" w:pos="20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ANG</w:t>
      </w:r>
      <w:r>
        <w:rPr>
          <w:rFonts w:ascii="Arial" w:cs="Arial" w:eastAsia="Arial" w:hAnsi="Arial"/>
          <w:sz w:val="16"/>
          <w:szCs w:val="16"/>
          <w:color w:val="auto"/>
        </w:rPr>
        <w:t xml:space="preserve"> P</w:t>
      </w:r>
      <w:r>
        <w:rPr>
          <w:rFonts w:ascii="Arial" w:cs="Arial" w:eastAsia="Arial" w:hAnsi="Arial"/>
          <w:sz w:val="13"/>
          <w:szCs w:val="13"/>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Sang Park</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Executive Officer and Chairman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1031875</wp:posOffset>
            </wp:positionV>
            <wp:extent cx="746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Paragraph 2, omitted here, is included in Exhibit 32.1 to the Annual Report on Form 10-K filed by MagnaChip Semiconductor LLC on March 30, 2007.</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Annual Report of MagnaChip Semiconductor LLC (the “Company”) on Form 10-K/A for the period ending December 31, 2006, as filed with the Securities and Exchange Commission on the date hereof (the “Report”), I, Robert J. Krakauer, President and Chief Financial Officer of the Company, certify, pursuant to 18 U.S.C. §1350, as adopted pursuant to §906 of the Sarbanes-Oxley Act of 2002, that to my knowledge:</w:t>
      </w:r>
    </w:p>
    <w:p>
      <w:pPr>
        <w:spacing w:after="0" w:line="26" w:lineRule="exact"/>
        <w:rPr>
          <w:sz w:val="20"/>
          <w:szCs w:val="20"/>
          <w:color w:val="auto"/>
        </w:rPr>
      </w:pPr>
    </w:p>
    <w:p>
      <w:pPr>
        <w:ind w:left="1160" w:hanging="25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12" w:lineRule="exact"/>
        <w:rPr>
          <w:sz w:val="20"/>
          <w:szCs w:val="20"/>
          <w:color w:val="auto"/>
        </w:rPr>
      </w:pPr>
    </w:p>
    <w:p>
      <w:pPr>
        <w:ind w:left="132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K</w:t>
      </w:r>
      <w:r>
        <w:rPr>
          <w:rFonts w:ascii="Arial" w:cs="Arial" w:eastAsia="Arial" w:hAnsi="Arial"/>
          <w:sz w:val="13"/>
          <w:szCs w:val="13"/>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Robert J. Krakauer</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President and Chief Financial Officer</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1031875</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Paragraph 2, omitted here, is included in Exhibit 32.2 to the Annual Report on Form 10-K filed by MagnaChip Semiconductor LLC on March 30,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2019-12-15T12:20:56Z</dcterms:created>
  <dcterms:modified xsi:type="dcterms:W3CDTF">2019-12-15T12:20:56Z</dcterms:modified>
</cp:coreProperties>
</file>