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4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first quarter ended March 31, 2021, as presented in a press release dated May 10, 2021.</w:t>
      </w:r>
    </w:p>
    <w:p>
      <w:pPr>
        <w:spacing w:after="0" w:line="146"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740" w:type="dxa"/>
            <w:vAlign w:val="bottom"/>
            <w:gridSpan w:val="2"/>
            <w:vMerge w:val="restart"/>
          </w:tcPr>
          <w:p>
            <w:pPr>
              <w:ind w:left="4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7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2"/>
                <w:szCs w:val="22"/>
                <w:color w:val="auto"/>
              </w:rPr>
            </w:pPr>
          </w:p>
        </w:tc>
        <w:tc>
          <w:tcPr>
            <w:tcW w:w="99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for Magnachip Semiconductor Corporation dated May 10, 2021, announcing the results for the first quarter ended March 31,</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gridSpan w:val="2"/>
          </w:tcPr>
          <w:p>
            <w:pPr>
              <w:ind w:left="42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2021.</w:t>
              </w:r>
            </w:hyperlink>
          </w:p>
        </w:tc>
        <w:tc>
          <w:tcPr>
            <w:tcW w:w="9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7167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16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First Quarter 2021</w:t>
      </w:r>
    </w:p>
    <w:p>
      <w:pPr>
        <w:spacing w:after="0" w:line="131"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First quarter revenue of $123.0 million was down 13.9% sequentially and up 2.1% year-over-year (YoY).</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for the first quarter was 27.9%, up 100 bps sequentially and up 370 bps YoY.</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loss per share for the first quarter was $0.19.</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diluted earnings per share was 0.22 cents.</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SEOUL, South Korea, May 10, 2021 — Magnachip Semiconductor Corporation (NYSE: MX) (“Magnachip” or the “Company”) today announced financial results for the first quarter 2021.</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“Magnachip delivered solid quarterly results despite the industry-wide supply constraints. Our revenue came in above the midpoint of the company’s Q1 revenue guidance range, driven by strong growth in the Power solutions business. Gross profit margin exceeded the high-end of our expectations due to the improved product mix and higher utilization,” said YJ Kim, Magnachip’s chief executive officer.</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Due to the pending merger with an investment vehicle formed by an affiliate of Wise Road Capital LTD pursuant to a definitive agreement executed on March 25, 2021, Magnachip will not be hosting a quarterly earnings conference call and has suspended the practice of providing forward-looking guidance. Please review the ‘Investors’ section of the Company’s website for the quarterly financial results and SEC filings for the latest updates on the pending transaction.</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6080125</wp:posOffset>
            </wp:positionH>
            <wp:positionV relativeFrom="page">
              <wp:posOffset>328930</wp:posOffset>
            </wp:positionV>
            <wp:extent cx="119189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274320"/>
                    </a:xfrm>
                    <a:prstGeom prst="rect">
                      <a:avLst/>
                    </a:prstGeom>
                    <a:noFill/>
                  </pic:spPr>
                </pic:pic>
              </a:graphicData>
            </a:graphic>
          </wp:anchor>
        </w:drawing>
        <w:t>Q1 2021 Financial Highlights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8"/>
          </w:tcPr>
          <w:p>
            <w:pPr>
              <w:jc w:val="right"/>
              <w:ind w:right="420"/>
              <w:spacing w:after="0"/>
              <w:rPr>
                <w:sz w:val="20"/>
                <w:szCs w:val="20"/>
                <w:color w:val="auto"/>
              </w:rPr>
            </w:pPr>
            <w:r>
              <w:rPr>
                <w:rFonts w:ascii="Arial" w:cs="Arial" w:eastAsia="Arial" w:hAnsi="Arial"/>
                <w:sz w:val="14"/>
                <w:szCs w:val="14"/>
                <w:color w:val="auto"/>
              </w:rPr>
              <w:t>In thousands of US dollars, except share data</w:t>
            </w:r>
          </w:p>
        </w:tc>
      </w:tr>
      <w:tr>
        <w:trPr>
          <w:trHeight w:val="142"/>
        </w:trPr>
        <w:tc>
          <w:tcPr>
            <w:tcW w:w="54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GAAP</w:t>
            </w:r>
          </w:p>
        </w:tc>
        <w:tc>
          <w:tcPr>
            <w:tcW w:w="6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Q1 2021</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Q4 2020</w:t>
            </w:r>
          </w:p>
        </w:tc>
        <w:tc>
          <w:tcPr>
            <w:tcW w:w="14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Q/Q change</w:t>
            </w:r>
          </w:p>
        </w:tc>
        <w:tc>
          <w:tcPr>
            <w:tcW w:w="9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Q1 2020</w:t>
            </w:r>
          </w:p>
        </w:tc>
        <w:tc>
          <w:tcPr>
            <w:tcW w:w="106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58,895</w:t>
            </w: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82,705</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77,593</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down</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54,011</w:t>
            </w: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46,861</w:t>
            </w:r>
          </w:p>
        </w:tc>
        <w:tc>
          <w:tcPr>
            <w:tcW w:w="400" w:type="dxa"/>
            <w:vAlign w:val="bottom"/>
          </w:tcPr>
          <w:p>
            <w:pPr>
              <w:spacing w:after="0"/>
              <w:rPr>
                <w:sz w:val="20"/>
                <w:szCs w:val="20"/>
                <w:color w:val="auto"/>
              </w:rPr>
            </w:pPr>
            <w:r>
              <w:rPr>
                <w:rFonts w:ascii="Arial" w:cs="Arial" w:eastAsia="Arial" w:hAnsi="Arial"/>
                <w:sz w:val="18"/>
                <w:szCs w:val="18"/>
                <w:color w:val="auto"/>
              </w:rPr>
              <w:t>up</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15.3%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33,143</w:t>
            </w:r>
          </w:p>
        </w:tc>
        <w:tc>
          <w:tcPr>
            <w:tcW w:w="460" w:type="dxa"/>
            <w:vAlign w:val="bottom"/>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63.0%</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10,113</w:t>
            </w: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13,379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9,737</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400" w:type="dxa"/>
            <w:vAlign w:val="bottom"/>
          </w:tcPr>
          <w:p>
            <w:pPr>
              <w:spacing w:after="0"/>
              <w:rPr>
                <w:sz w:val="20"/>
                <w:szCs w:val="20"/>
                <w:color w:val="auto"/>
              </w:rPr>
            </w:pPr>
            <w:r>
              <w:rPr>
                <w:rFonts w:ascii="Arial" w:cs="Arial" w:eastAsia="Arial" w:hAnsi="Arial"/>
                <w:sz w:val="18"/>
                <w:szCs w:val="18"/>
                <w:color w:val="auto"/>
              </w:rPr>
              <w:t>up</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1.0%pts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460" w:type="dxa"/>
            <w:vAlign w:val="bottom"/>
          </w:tcPr>
          <w:p>
            <w:pPr>
              <w:ind w:left="60"/>
              <w:spacing w:after="0"/>
              <w:rPr>
                <w:sz w:val="20"/>
                <w:szCs w:val="20"/>
                <w:color w:val="auto"/>
              </w:rPr>
            </w:pPr>
            <w:r>
              <w:rPr>
                <w:rFonts w:ascii="Arial" w:cs="Arial" w:eastAsia="Arial" w:hAnsi="Arial"/>
                <w:sz w:val="18"/>
                <w:szCs w:val="18"/>
                <w:color w:val="auto"/>
              </w:rPr>
              <w:t>up</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3.7%pts</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 (2)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122.7%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5,965</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down</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135.1%</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Net Income (Loss) (3)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(7,473)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66,581</w:t>
            </w:r>
          </w:p>
        </w:tc>
        <w:tc>
          <w:tcPr>
            <w:tcW w:w="400" w:type="dxa"/>
            <w:vAlign w:val="bottom"/>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111.2%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(23,749)</w:t>
            </w:r>
          </w:p>
        </w:tc>
        <w:tc>
          <w:tcPr>
            <w:tcW w:w="460" w:type="dxa"/>
            <w:vAlign w:val="bottom"/>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68.5%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110.2%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(0.68)</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72.1%</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113.1%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(0.68)</w:t>
            </w:r>
          </w:p>
        </w:tc>
        <w:tc>
          <w:tcPr>
            <w:tcW w:w="460" w:type="dxa"/>
            <w:vAlign w:val="bottom"/>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72.1%</w:t>
            </w:r>
          </w:p>
        </w:tc>
      </w:tr>
      <w:tr>
        <w:trPr>
          <w:trHeight w:val="20"/>
        </w:trPr>
        <w:tc>
          <w:tcPr>
            <w:tcW w:w="5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2"/>
        </w:trPr>
        <w:tc>
          <w:tcPr>
            <w:tcW w:w="5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8"/>
          </w:tcPr>
          <w:p>
            <w:pPr>
              <w:jc w:val="right"/>
              <w:ind w:right="420"/>
              <w:spacing w:after="0"/>
              <w:rPr>
                <w:sz w:val="20"/>
                <w:szCs w:val="20"/>
                <w:color w:val="auto"/>
              </w:rPr>
            </w:pPr>
            <w:r>
              <w:rPr>
                <w:rFonts w:ascii="Arial" w:cs="Arial" w:eastAsia="Arial" w:hAnsi="Arial"/>
                <w:sz w:val="14"/>
                <w:szCs w:val="14"/>
                <w:color w:val="auto"/>
              </w:rPr>
              <w:t>In thousands of US dollars, except share data</w:t>
            </w:r>
          </w:p>
        </w:tc>
      </w:tr>
      <w:tr>
        <w:trPr>
          <w:trHeight w:val="142"/>
        </w:trPr>
        <w:tc>
          <w:tcPr>
            <w:tcW w:w="54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Non-GAAP(3)</w:t>
            </w:r>
          </w:p>
        </w:tc>
        <w:tc>
          <w:tcPr>
            <w:tcW w:w="6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Q1 2021</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Q4 2020</w:t>
            </w:r>
          </w:p>
        </w:tc>
        <w:tc>
          <w:tcPr>
            <w:tcW w:w="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Q/Q change</w:t>
            </w:r>
          </w:p>
        </w:tc>
        <w:tc>
          <w:tcPr>
            <w:tcW w:w="5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Q1 2020</w:t>
            </w: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Borders>
              <w:bottom w:val="single" w:sz="8" w:color="CCEEFF"/>
            </w:tcBorders>
          </w:tcPr>
          <w:p>
            <w:pPr>
              <w:spacing w:after="0"/>
              <w:rPr>
                <w:sz w:val="12"/>
                <w:szCs w:val="12"/>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3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15,355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36.9%</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13,504</w:t>
            </w: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18,582</w:t>
            </w:r>
          </w:p>
        </w:tc>
        <w:tc>
          <w:tcPr>
            <w:tcW w:w="400" w:type="dxa"/>
            <w:vAlign w:val="bottom"/>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27.3%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9,895</w:t>
            </w:r>
          </w:p>
        </w:tc>
        <w:tc>
          <w:tcPr>
            <w:tcW w:w="460" w:type="dxa"/>
            <w:vAlign w:val="bottom"/>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36.5%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17,268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8"/>
              </w:rPr>
              <w:t>down</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1,092</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755.9%</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560" w:type="dxa"/>
            <w:vAlign w:val="bottom"/>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0.40</w:t>
            </w:r>
          </w:p>
        </w:tc>
        <w:tc>
          <w:tcPr>
            <w:tcW w:w="3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8"/>
              </w:rPr>
              <w:t>down</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c>
          <w:tcPr>
            <w:tcW w:w="460" w:type="dxa"/>
            <w:vAlign w:val="bottom"/>
          </w:tcPr>
          <w:p>
            <w:pPr>
              <w:ind w:left="60"/>
              <w:spacing w:after="0"/>
              <w:rPr>
                <w:sz w:val="20"/>
                <w:szCs w:val="20"/>
                <w:color w:val="auto"/>
              </w:rPr>
            </w:pPr>
            <w:r>
              <w:rPr>
                <w:rFonts w:ascii="Arial" w:cs="Arial" w:eastAsia="Arial" w:hAnsi="Arial"/>
                <w:sz w:val="18"/>
                <w:szCs w:val="18"/>
                <w:color w:val="auto"/>
              </w:rPr>
              <w:t>up</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633.3%</w:t>
            </w:r>
          </w:p>
        </w:tc>
      </w:tr>
      <w:tr>
        <w:trPr>
          <w:trHeight w:val="20"/>
        </w:trPr>
        <w:tc>
          <w:tcPr>
            <w:tcW w:w="5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40" w:hanging="424"/>
        <w:spacing w:after="0" w:line="25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consummation of the sale of the Foundry Services Group business and Fab 4 in Q3 2020, and for a period of up to three years, the Company will provide transitional foundry services to the buyer for foundry products manufactured in the Company’s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p>
      <w:pPr>
        <w:spacing w:after="0" w:line="3" w:lineRule="exact"/>
        <w:rPr>
          <w:rFonts w:ascii="Arial" w:cs="Arial" w:eastAsia="Arial" w:hAnsi="Arial"/>
          <w:sz w:val="18"/>
          <w:szCs w:val="18"/>
          <w:color w:val="auto"/>
        </w:rPr>
      </w:pPr>
    </w:p>
    <w:p>
      <w:pPr>
        <w:ind w:left="424" w:right="140" w:hanging="424"/>
        <w:spacing w:after="0" w:line="265"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Q1 2021, operating loss of $2.1 million included non-recurring professional fees and certain transaction related expenses of $9.8 million in connection with a definitive agreement (the “Merger Agreement”) that the Company entered into with South Dearborn Limited, an exempted company incorporated in the Cayman Islands with limited liability (“Parent”), formed by an affiliate of Wise Road Capital LTD, and Michigan Merger Sub, Inc., a Delaware corporation and a wholly owned subsidiary of the Parent (“Merger Sub”). The Merger Agreement provides that, among other things, Merger Sub will be merged with and into the Company (the “Merger”), with the Company continuing its corporate existence as the surviving corporation in the Merger and becoming a wholly owned subsidiary of Parent.</w:t>
      </w: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Q4 2020, total net income of $66.6 million included one-time recognition of deferred tax benefits of $43.9 million.</w:t>
      </w:r>
    </w:p>
    <w:p>
      <w:pPr>
        <w:spacing w:after="0" w:line="9" w:lineRule="exact"/>
        <w:rPr>
          <w:rFonts w:ascii="Arial" w:cs="Arial" w:eastAsia="Arial" w:hAnsi="Arial"/>
          <w:sz w:val="18"/>
          <w:szCs w:val="18"/>
          <w:color w:val="auto"/>
        </w:rPr>
      </w:pPr>
    </w:p>
    <w:p>
      <w:pPr>
        <w:ind w:left="424" w:right="80" w:hanging="424"/>
        <w:spacing w:after="0" w:line="252"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financial measures are calculated based on the results from continuing operations. 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possibility that any or all of the conditions precedent to the consummation of the pending merger may not be satisfied or waived; unanticipated difficulties or expenditures relating to the proposed merger; that the merger may not be completed in a timely manner or at all; the diversion of and attention of Magnachip’s management on merger-related issues; legal proceedings, judgments or settlements following the announcement of the proposed merger; disruptions of current plans and operations caused by the announcement and pendency of the proposed merger; potential difficulties in employee retention due to the announcement and pendency of the proposed merger; the response of customers, suppliers, business partners and regulators to the announcement of the proposed merger;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w:t>
      </w:r>
    </w:p>
    <w:p>
      <w:pPr>
        <w:sectPr>
          <w:pgSz w:w="11900" w:h="16838" w:orient="portrait"/>
          <w:cols w:equalWidth="0" w:num="1">
            <w:col w:w="11024"/>
          </w:cols>
          <w:pgMar w:left="436" w:top="1147" w:right="4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March 9, 2021 (including that the impact of the COVID-19 pandemic, trade tensions and supply constraints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ectPr>
          <w:pgSz w:w="11900" w:h="16838" w:orient="portrait"/>
          <w:cols w:equalWidth="0" w:num="1">
            <w:col w:w="10980"/>
          </w:cols>
          <w:pgMar w:left="440" w:top="274" w:right="479" w:bottom="1440" w:gutter="0" w:footer="0" w:header="0"/>
        </w:sectPr>
      </w:pPr>
    </w:p>
    <w:bookmarkStart w:id="6" w:name="page7"/>
    <w:bookmarkEnd w:id="6"/>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217170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6080125</wp:posOffset>
            </wp:positionH>
            <wp:positionV relativeFrom="page">
              <wp:posOffset>277495</wp:posOffset>
            </wp:positionV>
            <wp:extent cx="119189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27432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0"/>
                <w:szCs w:val="10"/>
                <w:color w:val="auto"/>
              </w:rPr>
            </w:pPr>
          </w:p>
        </w:tc>
        <w:tc>
          <w:tcPr>
            <w:tcW w:w="132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1"/>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sales – standard products business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112,906</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129,566</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110,736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 – transitional Fab 3 foundry services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200" w:type="dxa"/>
            <w:vAlign w:val="bottom"/>
            <w:shd w:val="clear" w:color="auto" w:fill="CCEEFF"/>
          </w:tcPr>
          <w:p>
            <w:pPr>
              <w:spacing w:after="0"/>
              <w:rPr>
                <w:sz w:val="18"/>
                <w:szCs w:val="18"/>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123,019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142,945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120,473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sales – standard products business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79,247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92,503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81,606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transitional Fab 3 foundry services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200" w:type="dxa"/>
            <w:vAlign w:val="bottom"/>
            <w:shd w:val="clear" w:color="auto" w:fill="CCEEFF"/>
          </w:tcPr>
          <w:p>
            <w:pPr>
              <w:spacing w:after="0"/>
              <w:rPr>
                <w:sz w:val="18"/>
                <w:szCs w:val="18"/>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Total cost of sales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91,343</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29,130</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w w:val="93"/>
              </w:rPr>
              <w:t>Gross profit as a percentage of standard products business net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13,423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and other charges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29,255</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(5,607)</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(30,971)</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 on early extinguishment of borrowings,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CEEFF"/>
          </w:tcPr>
          <w:p>
            <w:pPr>
              <w:spacing w:after="0"/>
              <w:rPr>
                <w:sz w:val="18"/>
                <w:szCs w:val="18"/>
                <w:color w:val="auto"/>
              </w:rPr>
            </w:pPr>
          </w:p>
        </w:tc>
      </w:tr>
      <w:tr>
        <w:trPr>
          <w:trHeight w:val="209"/>
        </w:trPr>
        <w:tc>
          <w:tcPr>
            <w:tcW w:w="47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(7,183)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20,838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(29,775)</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00" w:type="dxa"/>
            <w:vAlign w:val="bottom"/>
            <w:shd w:val="clear" w:color="auto" w:fill="CCEEFF"/>
          </w:tcPr>
          <w:p>
            <w:pPr>
              <w:spacing w:after="0"/>
              <w:rPr>
                <w:sz w:val="18"/>
                <w:szCs w:val="18"/>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67,902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(31,078)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200" w:type="dxa"/>
            <w:vAlign w:val="bottom"/>
            <w:shd w:val="clear" w:color="auto" w:fill="CCEEFF"/>
          </w:tcPr>
          <w:p>
            <w:pPr>
              <w:spacing w:after="0"/>
              <w:rPr>
                <w:sz w:val="18"/>
                <w:szCs w:val="18"/>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66,581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(0.89)</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(0.89)</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40,292,838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35,582,966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34,893,157</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40,292,838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47,062,903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34,893,157</w:t>
            </w:r>
          </w:p>
        </w:tc>
        <w:tc>
          <w:tcPr>
            <w:tcW w:w="2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9260"/>
          </w:cols>
          <w:pgMar w:left="1320" w:top="999" w:right="131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217170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6080125</wp:posOffset>
            </wp:positionH>
            <wp:positionV relativeFrom="page">
              <wp:posOffset>277495</wp:posOffset>
            </wp:positionV>
            <wp:extent cx="119189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27432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290,194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279,940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64,390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394,878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91,014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4,592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5,993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551,407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571,690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43,357</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52,164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17,867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2,352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173,618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39,070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131,060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226,090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55,469,375 shares issued and 46,257,413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w w:val="92"/>
              </w:rPr>
              <w:t>outstanding at March 31, 2021 and 44,943,854 shares issued and 35,783,347 outstanding at December 31, 2020</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250,829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163,010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279,361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286,834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9,211,962 shares at March 31, 2021 and 9,160,507 shares at December 31, 2020, respectively</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(109,407)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(108,397)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420,347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551,407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99"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217170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6080125</wp:posOffset>
            </wp:positionH>
            <wp:positionV relativeFrom="page">
              <wp:posOffset>277495</wp:posOffset>
            </wp:positionV>
            <wp:extent cx="119189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27432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r>
      <w:tr>
        <w:trPr>
          <w:trHeight w:val="119"/>
        </w:trPr>
        <w:tc>
          <w:tcPr>
            <w:tcW w:w="9200" w:type="dxa"/>
            <w:vAlign w:val="bottom"/>
          </w:tcPr>
          <w:p>
            <w:pPr>
              <w:spacing w:after="0"/>
              <w:rPr>
                <w:sz w:val="10"/>
                <w:szCs w:val="10"/>
                <w:color w:val="auto"/>
              </w:rPr>
            </w:pPr>
          </w:p>
        </w:tc>
        <w:tc>
          <w:tcPr>
            <w:tcW w:w="880" w:type="dxa"/>
            <w:vAlign w:val="bottom"/>
            <w:tcBorders>
              <w:top w:val="single" w:sz="8" w:color="auto"/>
            </w:tcBorders>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(7,473)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(23,749)</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3,448</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7,935</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598</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14,873</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38,480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9,504</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2,138</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1,646</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885</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9,794</w:t>
            </w:r>
          </w:p>
        </w:tc>
        <w:tc>
          <w:tcPr>
            <w:tcW w:w="1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(10,430)</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6,937</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6,071</w:t>
            </w:r>
          </w:p>
        </w:tc>
        <w:tc>
          <w:tcPr>
            <w:tcW w:w="1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(4,863)</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5,427</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909</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(7,701)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1,988</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(2,009)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(1,817)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(3,532)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(10,700)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1,336</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1,808</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severance benefits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21,068</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4,239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10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(7,841)</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(3,351)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(171)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55</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(7,127)</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(1,540)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(10,444)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(7,089)</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5,636</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279,940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290,194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157,293</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99"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217170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6080125</wp:posOffset>
            </wp:positionH>
            <wp:positionV relativeFrom="page">
              <wp:posOffset>277495</wp:posOffset>
            </wp:positionV>
            <wp:extent cx="1191895"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27432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8020" w:type="dxa"/>
            <w:vAlign w:val="bottom"/>
          </w:tcPr>
          <w:p>
            <w:pPr>
              <w:spacing w:after="0"/>
              <w:rPr>
                <w:sz w:val="10"/>
                <w:szCs w:val="10"/>
                <w:color w:val="auto"/>
              </w:rPr>
            </w:pPr>
          </w:p>
        </w:tc>
        <w:tc>
          <w:tcPr>
            <w:tcW w:w="7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(2,091)</w:t>
            </w:r>
          </w:p>
        </w:tc>
        <w:tc>
          <w:tcPr>
            <w:tcW w:w="1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6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Early termination and other charges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10,416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5,075</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 impact of downstream trade restrictions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15,355</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6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present Adjusted Operating Income as a supplemental measure of our performance. We define Adjusted Operating Income for the periods indicated as operating income (loss) adjusted to exclude (i) Equity-based compensation expense, (ii) Early termination and other charges and (iii) Inventory reserve related to Huawei impact of downstream trade restrictions.</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March 31, 2021, early termination and other charges eliminate $10,416 thousand, of which $9,831 thousand related to non-recurring professional fees and certain transaction related expenses incurred in connection with the Merger. For the three months ended March 31, 2020, early termination and other charges eliminate $554 thousand of non-recurring professional service fees and expenses incurred in connection with certain treasury and finance initiatives.</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three months ended December 31, 2020, early termination and other charges eliminate $5,075 thousand, of which $4,422 thousand related to the reduction of workforce under a voluntary resignation program and non-recurring professional service fees, and $653 thousand related to non-recurring professional fees and certain transaction related expenses incurred in connection with the Merger.</w:t>
      </w:r>
    </w:p>
    <w:p>
      <w:pPr>
        <w:sectPr>
          <w:pgSz w:w="11900" w:h="16838" w:orient="portrait"/>
          <w:cols w:equalWidth="0" w:num="1">
            <w:col w:w="11020"/>
          </w:cols>
          <w:pgMar w:left="440" w:top="999"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6080125</wp:posOffset>
            </wp:positionH>
            <wp:positionV relativeFrom="page">
              <wp:posOffset>277495</wp:posOffset>
            </wp:positionV>
            <wp:extent cx="1191895"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27432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126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51"/>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Adjustments: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(47,064)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EBITDA</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Early termination and other charges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10,416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30,971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Derivative valuation loss (gain),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borrowings,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Inventory reserve related to Huawei impact of downstream trade restrictions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67,902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and other charges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4,671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30,971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Loss on early extinguishment of borrowings,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 impact of downstream trade restrictions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GAAP and cash tax expense difference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(43,874)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Adjusted Net Income</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 Basic</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 basic</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40,292,838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35,582,966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34,893,157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47,470,416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47,062,903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35,883,200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80"/>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Early termination and other charges,</w:t>
      </w:r>
    </w:p>
    <w:p>
      <w:pPr>
        <w:ind w:left="4" w:right="200" w:hanging="4"/>
        <w:spacing w:after="0" w:line="255"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loss (gain), net, (iv) Derivative valuation loss (gain), net, (v) Loss on early extinguishment of borrowings, net and (vi) Inventory reserve related to Huawei impact of downstream trade restrictions. EBITDA for the periods indicated is defined as Income (loss) from continuing operations before interest expense, net, income tax expense (benefit) and depreciation and amortization.</w:t>
      </w:r>
    </w:p>
    <w:p>
      <w:pPr>
        <w:spacing w:after="0" w:line="82"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We present Adjusted Net Income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income (loss) from continuing operations, adjusted to exclude (i) Equity-based compensation expense, (ii) Early termination and other charges, (iii) Foreign currency loss (gain), net, (iv) Derivative valuation loss (gain), net, (v) Loss on early extinguishment of borrowings, net, (vi) Inventory reserve related to Huawei impact of downstream trade restrictions, (vii) GAAP and cash tax expense difference and (viii) Income tax effect on non-GAAP adjustments.</w:t>
      </w:r>
    </w:p>
    <w:p>
      <w:pPr>
        <w:spacing w:after="0" w:line="69"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For the three months ended March 31, 2021, early termination and other charges eliminate $10,416 thousand, of which $9,831 thousand related to non-recurring professional fees and certain transaction related expenses incurred in connection with the Merger. For the three months ended March 31, 2020, early termination and other charges eliminate $554 thousand of non-recurring professional service fees and expenses incurred in connection with certain treasury and finance initiatives.</w:t>
      </w:r>
    </w:p>
    <w:p>
      <w:pPr>
        <w:spacing w:after="0" w:line="79"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For the three months ended December 31, 2020, early termination and other charges eliminate $5,075 thousand, of which $4,422 thousand related to the reduction of workforce under a voluntary resignation program and non-recurring professional service fees, and $653 thousand related to non-recurring professional fees and certain transaction related expenses incurred in connection with the Merger.</w:t>
      </w:r>
    </w:p>
    <w:sectPr>
      <w:pgSz w:w="11900" w:h="16838" w:orient="portrait"/>
      <w:cols w:equalWidth="0" w:num="1">
        <w:col w:w="11024"/>
      </w:cols>
      <w:pgMar w:left="436" w:top="9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2021-05-10T05:44:06Z</dcterms:created>
  <dcterms:modified xsi:type="dcterms:W3CDTF">2021-05-10T05:44:06Z</dcterms:modified>
</cp:coreProperties>
</file>