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277735" cy="9385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9385300"/>
                    </a:xfrm>
                    <a:prstGeom prst="rect">
                      <a:avLst/>
                    </a:prstGeom>
                    <a:noFill/>
                  </pic:spPr>
                </pic:pic>
              </a:graphicData>
            </a:graphic>
          </wp:anchor>
        </w:drawing>
      </w:r>
    </w:p>
    <w:p>
      <w:pPr>
        <w:spacing w:after="0" w:line="95" w:lineRule="exact"/>
        <w:rPr>
          <w:sz w:val="24"/>
          <w:szCs w:val="24"/>
          <w:color w:val="auto"/>
        </w:rPr>
      </w:pPr>
    </w:p>
    <w:p>
      <w:pPr>
        <w:sectPr>
          <w:pgSz w:w="11900" w:h="16945" w:orient="portrait"/>
          <w:cols w:equalWidth="0" w:num="2">
            <w:col w:w="2280" w:space="480"/>
            <w:col w:w="8760"/>
          </w:cols>
          <w:pgMar w:left="240" w:top="222" w:right="13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Avenue Special Situations Fund IV LP</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right="300"/>
        <w:spacing w:after="0" w:line="340" w:lineRule="auto"/>
        <w:rPr>
          <w:sz w:val="20"/>
          <w:szCs w:val="20"/>
          <w:color w:val="auto"/>
        </w:rPr>
      </w:pPr>
      <w:r>
        <w:rPr>
          <w:rFonts w:ascii="Arial" w:cs="Arial" w:eastAsia="Arial" w:hAnsi="Arial"/>
          <w:sz w:val="17"/>
          <w:szCs w:val="17"/>
          <w:color w:val="0000FF"/>
        </w:rPr>
        <w:t>C/O AVENUE CAPITAL MANAGEMENT II, L.P. 399 PARK AVENUE, 6TH FLOOR</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180"/>
              <w:spacing w:after="0"/>
              <w:rPr>
                <w:sz w:val="20"/>
                <w:szCs w:val="20"/>
                <w:color w:val="auto"/>
              </w:rPr>
            </w:pPr>
            <w:r>
              <w:rPr>
                <w:rFonts w:ascii="Arial" w:cs="Arial" w:eastAsia="Arial" w:hAnsi="Arial"/>
                <w:sz w:val="17"/>
                <w:szCs w:val="17"/>
                <w:color w:val="0000FF"/>
              </w:rPr>
              <w:t>NY</w:t>
            </w:r>
          </w:p>
        </w:tc>
        <w:tc>
          <w:tcPr>
            <w:tcW w:w="1700" w:type="dxa"/>
            <w:vAlign w:val="bottom"/>
          </w:tcPr>
          <w:p>
            <w:pPr>
              <w:ind w:left="460"/>
              <w:spacing w:after="0"/>
              <w:rPr>
                <w:sz w:val="20"/>
                <w:szCs w:val="20"/>
                <w:color w:val="auto"/>
              </w:rPr>
            </w:pPr>
            <w:r>
              <w:rPr>
                <w:rFonts w:ascii="Arial" w:cs="Arial" w:eastAsia="Arial" w:hAnsi="Arial"/>
                <w:sz w:val="17"/>
                <w:szCs w:val="17"/>
                <w:color w:val="0000FF"/>
              </w:rPr>
              <w:t>10022</w:t>
            </w:r>
          </w:p>
        </w:tc>
      </w:tr>
      <w:tr>
        <w:trPr>
          <w:trHeight w:val="150"/>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940" w:type="dxa"/>
            <w:vAlign w:val="bottom"/>
            <w:gridSpan w:val="2"/>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MAGNACHIP SEMICONDUCTOR Corp </w:t>
              </w:r>
            </w:hyperlink>
            <w:r>
              <w:rPr>
                <w:rFonts w:ascii="Arial" w:cs="Arial" w:eastAsia="Arial" w:hAnsi="Arial"/>
                <w:sz w:val="15"/>
                <w:szCs w:val="15"/>
                <w:color w:val="000000"/>
              </w:rPr>
              <w:t>[</w:t>
            </w:r>
          </w:p>
        </w:tc>
        <w:tc>
          <w:tcPr>
            <w:tcW w:w="17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3940" w:type="dxa"/>
            <w:vAlign w:val="bottom"/>
            <w:gridSpan w:val="2"/>
          </w:tcPr>
          <w:p>
            <w:pPr>
              <w:spacing w:after="0"/>
              <w:rPr>
                <w:sz w:val="3"/>
                <w:szCs w:val="3"/>
                <w:color w:val="auto"/>
              </w:rPr>
            </w:pPr>
          </w:p>
        </w:tc>
        <w:tc>
          <w:tcPr>
            <w:tcW w:w="500" w:type="dxa"/>
            <w:vAlign w:val="bottom"/>
            <w:vMerge w:val="restart"/>
          </w:tcPr>
          <w:p>
            <w:pPr>
              <w:ind w:left="260"/>
              <w:spacing w:after="0" w:line="53" w:lineRule="exact"/>
              <w:rPr>
                <w:sz w:val="20"/>
                <w:szCs w:val="20"/>
                <w:color w:val="auto"/>
              </w:rPr>
            </w:pPr>
            <w:r>
              <w:rPr>
                <w:rFonts w:ascii="Arial" w:cs="Arial" w:eastAsia="Arial" w:hAnsi="Arial"/>
                <w:sz w:val="6"/>
                <w:szCs w:val="6"/>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vMerge w:val="restart"/>
          </w:tcPr>
          <w:p>
            <w:pPr>
              <w:ind w:left="180"/>
              <w:spacing w:after="0" w:line="53" w:lineRule="exact"/>
              <w:rPr>
                <w:sz w:val="20"/>
                <w:szCs w:val="20"/>
                <w:color w:val="auto"/>
              </w:rPr>
            </w:pPr>
            <w:r>
              <w:rPr>
                <w:rFonts w:ascii="Arial" w:cs="Arial" w:eastAsia="Arial" w:hAnsi="Arial"/>
                <w:sz w:val="6"/>
                <w:szCs w:val="6"/>
                <w:color w:val="0000FF"/>
              </w:rPr>
              <w:t>X</w:t>
            </w: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56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38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19"/>
                <w:szCs w:val="19"/>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9"/>
        </w:trPr>
        <w:tc>
          <w:tcPr>
            <w:tcW w:w="60" w:type="dxa"/>
            <w:vAlign w:val="bottom"/>
            <w:tcBorders>
              <w:bottom w:val="single" w:sz="8" w:color="2C2C2C"/>
            </w:tcBorders>
          </w:tcPr>
          <w:p>
            <w:pPr>
              <w:spacing w:after="0"/>
              <w:rPr>
                <w:sz w:val="12"/>
                <w:szCs w:val="12"/>
                <w:color w:val="auto"/>
              </w:rPr>
            </w:pPr>
          </w:p>
        </w:tc>
        <w:tc>
          <w:tcPr>
            <w:tcW w:w="35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ind w:left="100"/>
              <w:spacing w:after="0" w:line="143" w:lineRule="exact"/>
              <w:rPr>
                <w:sz w:val="20"/>
                <w:szCs w:val="20"/>
                <w:color w:val="auto"/>
              </w:rPr>
            </w:pPr>
            <w:r>
              <w:rPr>
                <w:rFonts w:ascii="Arial" w:cs="Arial" w:eastAsia="Arial" w:hAnsi="Arial"/>
                <w:sz w:val="13"/>
                <w:szCs w:val="13"/>
                <w:color w:val="auto"/>
              </w:rPr>
              <w:t>below)</w:t>
            </w:r>
          </w:p>
        </w:tc>
        <w:tc>
          <w:tcPr>
            <w:tcW w:w="400" w:type="dxa"/>
            <w:vAlign w:val="bottom"/>
          </w:tcPr>
          <w:p>
            <w:pPr>
              <w:spacing w:after="0"/>
              <w:rPr>
                <w:sz w:val="12"/>
                <w:szCs w:val="12"/>
                <w:color w:val="auto"/>
              </w:rPr>
            </w:pPr>
          </w:p>
        </w:tc>
        <w:tc>
          <w:tcPr>
            <w:tcW w:w="1300" w:type="dxa"/>
            <w:vAlign w:val="bottom"/>
          </w:tcPr>
          <w:p>
            <w:pPr>
              <w:ind w:left="12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20" w:type="dxa"/>
            <w:vAlign w:val="bottom"/>
            <w:gridSpan w:val="2"/>
          </w:tcPr>
          <w:p>
            <w:pPr>
              <w:ind w:left="60"/>
              <w:spacing w:after="0"/>
              <w:rPr>
                <w:sz w:val="20"/>
                <w:szCs w:val="20"/>
                <w:color w:val="auto"/>
              </w:rPr>
            </w:pPr>
            <w:r>
              <w:rPr>
                <w:rFonts w:ascii="Arial" w:cs="Arial" w:eastAsia="Arial" w:hAnsi="Arial"/>
                <w:sz w:val="17"/>
                <w:szCs w:val="17"/>
                <w:color w:val="0000FF"/>
              </w:rPr>
              <w:t>03/16/2011</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tcBorders>
              <w:bottom w:val="single" w:sz="8" w:color="2C2C2C"/>
            </w:tcBorders>
          </w:tcPr>
          <w:p>
            <w:pPr>
              <w:spacing w:after="0"/>
              <w:rPr>
                <w:sz w:val="17"/>
                <w:szCs w:val="17"/>
                <w:color w:val="auto"/>
              </w:rPr>
            </w:pPr>
          </w:p>
        </w:tc>
        <w:tc>
          <w:tcPr>
            <w:tcW w:w="35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auto"/>
              </w:rPr>
              <w:t>Line)</w:t>
            </w: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Form filed by One Reporting Person</w:t>
      </w:r>
    </w:p>
    <w:p>
      <w:pPr>
        <w:ind w:left="4260"/>
        <w:spacing w:after="0" w:line="235"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510" w:lineRule="exact"/>
        <w:rPr>
          <w:sz w:val="20"/>
          <w:szCs w:val="20"/>
          <w:color w:val="auto"/>
        </w:rPr>
      </w:pPr>
    </w:p>
    <w:p>
      <w:pPr>
        <w:sectPr>
          <w:pgSz w:w="11900" w:h="16945" w:orient="portrait"/>
          <w:cols w:equalWidth="0" w:num="2">
            <w:col w:w="3920" w:space="80"/>
            <w:col w:w="7520"/>
          </w:cols>
          <w:pgMar w:left="240" w:top="222" w:right="139" w:bottom="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spacing w:after="0"/>
              <w:rPr>
                <w:sz w:val="11"/>
                <w:szCs w:val="11"/>
                <w:color w:val="auto"/>
              </w:rPr>
            </w:pPr>
          </w:p>
        </w:tc>
        <w:tc>
          <w:tcPr>
            <w:tcW w:w="10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Following Reported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3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5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$0.01 par value</w:t>
            </w:r>
          </w:p>
        </w:tc>
        <w:tc>
          <w:tcPr>
            <w:tcW w:w="1860" w:type="dxa"/>
            <w:vAlign w:val="bottom"/>
            <w:tcBorders>
              <w:bottom w:val="single" w:sz="8" w:color="2C2C2C"/>
            </w:tcBorders>
            <w:gridSpan w:val="5"/>
          </w:tcPr>
          <w:p>
            <w:pPr>
              <w:jc w:val="center"/>
              <w:ind w:left="705"/>
              <w:spacing w:after="0"/>
              <w:rPr>
                <w:sz w:val="20"/>
                <w:szCs w:val="20"/>
                <w:color w:val="auto"/>
              </w:rPr>
            </w:pPr>
            <w:r>
              <w:rPr>
                <w:rFonts w:ascii="Arial" w:cs="Arial" w:eastAsia="Arial" w:hAnsi="Arial"/>
                <w:sz w:val="17"/>
                <w:szCs w:val="17"/>
                <w:color w:val="0000FF"/>
                <w:w w:val="89"/>
              </w:rPr>
              <w:t>03/10/2011</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7"/>
              </w:rPr>
              <w:t>8,648,373</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8,648,373</w:t>
            </w:r>
            <w:r>
              <w:rPr>
                <w:rFonts w:ascii="Arial" w:cs="Arial" w:eastAsia="Arial" w:hAnsi="Arial"/>
                <w:sz w:val="21"/>
                <w:szCs w:val="21"/>
                <w:color w:val="008000"/>
                <w:w w:val="83"/>
                <w:vertAlign w:val="superscript"/>
              </w:rPr>
              <w:t>(1)(2)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(3)</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5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$0.01 par value</w:t>
            </w:r>
          </w:p>
        </w:tc>
        <w:tc>
          <w:tcPr>
            <w:tcW w:w="1860" w:type="dxa"/>
            <w:vAlign w:val="bottom"/>
            <w:tcBorders>
              <w:bottom w:val="single" w:sz="8" w:color="2C2C2C"/>
            </w:tcBorders>
            <w:gridSpan w:val="5"/>
          </w:tcPr>
          <w:p>
            <w:pPr>
              <w:jc w:val="center"/>
              <w:ind w:left="705"/>
              <w:spacing w:after="0"/>
              <w:rPr>
                <w:sz w:val="20"/>
                <w:szCs w:val="20"/>
                <w:color w:val="auto"/>
              </w:rPr>
            </w:pPr>
            <w:r>
              <w:rPr>
                <w:rFonts w:ascii="Arial" w:cs="Arial" w:eastAsia="Arial" w:hAnsi="Arial"/>
                <w:sz w:val="17"/>
                <w:szCs w:val="17"/>
                <w:color w:val="0000FF"/>
                <w:w w:val="89"/>
              </w:rPr>
              <w:t>03/10/2011</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w w:val="84"/>
              </w:rPr>
              <w:t>10,844,551</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10,844,551</w:t>
            </w:r>
            <w:r>
              <w:rPr>
                <w:rFonts w:ascii="Arial" w:cs="Arial" w:eastAsia="Arial" w:hAnsi="Arial"/>
                <w:sz w:val="21"/>
                <w:szCs w:val="21"/>
                <w:color w:val="008000"/>
                <w:w w:val="83"/>
                <w:vertAlign w:val="superscript"/>
              </w:rPr>
              <w:t>(1)(2)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(4)</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5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$0.01 par value</w:t>
            </w:r>
          </w:p>
        </w:tc>
        <w:tc>
          <w:tcPr>
            <w:tcW w:w="1860" w:type="dxa"/>
            <w:vAlign w:val="bottom"/>
            <w:tcBorders>
              <w:bottom w:val="single" w:sz="8" w:color="2C2C2C"/>
            </w:tcBorders>
            <w:gridSpan w:val="5"/>
          </w:tcPr>
          <w:p>
            <w:pPr>
              <w:jc w:val="center"/>
              <w:ind w:left="705"/>
              <w:spacing w:after="0"/>
              <w:rPr>
                <w:sz w:val="20"/>
                <w:szCs w:val="20"/>
                <w:color w:val="auto"/>
              </w:rPr>
            </w:pPr>
            <w:r>
              <w:rPr>
                <w:rFonts w:ascii="Arial" w:cs="Arial" w:eastAsia="Arial" w:hAnsi="Arial"/>
                <w:sz w:val="17"/>
                <w:szCs w:val="17"/>
                <w:color w:val="0000FF"/>
                <w:w w:val="89"/>
              </w:rPr>
              <w:t>03/16/2011</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2"/>
                <w:szCs w:val="12"/>
                <w:color w:val="0000FF"/>
                <w:w w:val="74"/>
              </w:rPr>
              <w:t>S</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7"/>
              </w:rPr>
              <w:t>2,121,415</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13.02</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6,526,958</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(5)</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$0.01 par value</w:t>
            </w:r>
          </w:p>
        </w:tc>
        <w:tc>
          <w:tcPr>
            <w:tcW w:w="1860" w:type="dxa"/>
            <w:vAlign w:val="bottom"/>
            <w:tcBorders>
              <w:bottom w:val="single" w:sz="8" w:color="2C2C2C"/>
            </w:tcBorders>
            <w:gridSpan w:val="5"/>
          </w:tcPr>
          <w:p>
            <w:pPr>
              <w:jc w:val="center"/>
              <w:ind w:left="705"/>
              <w:spacing w:after="0"/>
              <w:rPr>
                <w:sz w:val="20"/>
                <w:szCs w:val="20"/>
                <w:color w:val="auto"/>
              </w:rPr>
            </w:pPr>
            <w:r>
              <w:rPr>
                <w:rFonts w:ascii="Arial" w:cs="Arial" w:eastAsia="Arial" w:hAnsi="Arial"/>
                <w:sz w:val="17"/>
                <w:szCs w:val="17"/>
                <w:color w:val="0000FF"/>
                <w:w w:val="89"/>
              </w:rPr>
              <w:t>03/16/2011</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2"/>
                <w:szCs w:val="12"/>
                <w:color w:val="0000FF"/>
                <w:w w:val="74"/>
              </w:rPr>
              <w:t>S</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7"/>
              </w:rPr>
              <w:t>2,660,130</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13.02</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8,184,421</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(6)</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2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6"/>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80" w:type="dxa"/>
            <w:vAlign w:val="bottom"/>
            <w:gridSpan w:val="13"/>
          </w:tcPr>
          <w:p>
            <w:pPr>
              <w:jc w:val="center"/>
              <w:ind w:right="2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24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6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derivative</w:t>
            </w:r>
          </w:p>
        </w:tc>
        <w:tc>
          <w:tcPr>
            <w:tcW w:w="280" w:type="dxa"/>
            <w:vAlign w:val="bottom"/>
          </w:tcPr>
          <w:p>
            <w:pPr>
              <w:spacing w:after="0"/>
              <w:rPr>
                <w:sz w:val="11"/>
                <w:szCs w:val="11"/>
                <w:color w:val="auto"/>
              </w:rPr>
            </w:pPr>
          </w:p>
        </w:tc>
        <w:tc>
          <w:tcPr>
            <w:tcW w:w="15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6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10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Following</w:t>
            </w:r>
          </w:p>
        </w:tc>
        <w:tc>
          <w:tcPr>
            <w:tcW w:w="280" w:type="dxa"/>
            <w:vAlign w:val="bottom"/>
          </w:tcPr>
          <w:p>
            <w:pPr>
              <w:spacing w:after="0"/>
              <w:rPr>
                <w:sz w:val="11"/>
                <w:szCs w:val="11"/>
                <w:color w:val="auto"/>
              </w:rPr>
            </w:pPr>
          </w:p>
        </w:tc>
        <w:tc>
          <w:tcPr>
            <w:tcW w:w="15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ind w:right="280"/>
              <w:spacing w:after="0" w:line="130"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Warrants</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15.76</w:t>
            </w: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03/10/2011</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840" w:type="dxa"/>
            <w:vAlign w:val="bottom"/>
            <w:gridSpan w:val="3"/>
            <w:vMerge w:val="restart"/>
          </w:tcPr>
          <w:p>
            <w:pPr>
              <w:ind w:left="80"/>
              <w:spacing w:after="0"/>
              <w:rPr>
                <w:sz w:val="20"/>
                <w:szCs w:val="20"/>
                <w:color w:val="auto"/>
              </w:rPr>
            </w:pPr>
            <w:r>
              <w:rPr>
                <w:rFonts w:ascii="Arial" w:cs="Arial" w:eastAsia="Arial" w:hAnsi="Arial"/>
                <w:sz w:val="13"/>
                <w:szCs w:val="13"/>
                <w:color w:val="0000FF"/>
                <w:w w:val="91"/>
              </w:rPr>
              <w:t>158,910</w:t>
            </w:r>
            <w:r>
              <w:rPr>
                <w:rFonts w:ascii="Arial" w:cs="Arial" w:eastAsia="Arial" w:hAnsi="Arial"/>
                <w:sz w:val="21"/>
                <w:szCs w:val="21"/>
                <w:color w:val="008000"/>
                <w:w w:val="91"/>
                <w:vertAlign w:val="superscript"/>
              </w:rPr>
              <w:t>(1)(2)</w:t>
            </w:r>
          </w:p>
        </w:tc>
        <w:tc>
          <w:tcPr>
            <w:tcW w:w="240" w:type="dxa"/>
            <w:vAlign w:val="bottom"/>
          </w:tcPr>
          <w:p>
            <w:pPr>
              <w:spacing w:after="0"/>
              <w:rPr>
                <w:sz w:val="12"/>
                <w:szCs w:val="1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w w:val="98"/>
              </w:rPr>
              <w:t>03/10/2011</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0000FF"/>
              </w:rPr>
              <w:t>11/09/2014</w:t>
            </w:r>
          </w:p>
        </w:tc>
        <w:tc>
          <w:tcPr>
            <w:tcW w:w="20" w:type="dxa"/>
            <w:vAlign w:val="bottom"/>
          </w:tcPr>
          <w:p>
            <w:pPr>
              <w:spacing w:after="0"/>
              <w:rPr>
                <w:sz w:val="12"/>
                <w:szCs w:val="12"/>
                <w:color w:val="auto"/>
              </w:rPr>
            </w:pPr>
          </w:p>
        </w:tc>
        <w:tc>
          <w:tcPr>
            <w:tcW w:w="620" w:type="dxa"/>
            <w:vAlign w:val="bottom"/>
          </w:tcPr>
          <w:p>
            <w:pPr>
              <w:jc w:val="center"/>
              <w:ind w:right="51"/>
              <w:spacing w:after="0" w:line="143" w:lineRule="exact"/>
              <w:rPr>
                <w:sz w:val="20"/>
                <w:szCs w:val="20"/>
                <w:color w:val="auto"/>
              </w:rPr>
            </w:pPr>
            <w:r>
              <w:rPr>
                <w:rFonts w:ascii="Arial" w:cs="Arial" w:eastAsia="Arial" w:hAnsi="Arial"/>
                <w:sz w:val="13"/>
                <w:szCs w:val="13"/>
                <w:color w:val="0000FF"/>
                <w:w w:val="93"/>
              </w:rPr>
              <w:t>Stock,</w:t>
            </w: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w w:val="94"/>
              </w:rPr>
              <w:t>158,910</w:t>
            </w:r>
          </w:p>
        </w:tc>
        <w:tc>
          <w:tcPr>
            <w:tcW w:w="20" w:type="dxa"/>
            <w:vAlign w:val="bottom"/>
          </w:tcPr>
          <w:p>
            <w:pPr>
              <w:spacing w:after="0"/>
              <w:rPr>
                <w:sz w:val="12"/>
                <w:szCs w:val="12"/>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900" w:type="dxa"/>
            <w:vAlign w:val="bottom"/>
            <w:gridSpan w:val="2"/>
            <w:vMerge w:val="restart"/>
          </w:tcPr>
          <w:p>
            <w:pPr>
              <w:ind w:left="260"/>
              <w:spacing w:after="0"/>
              <w:rPr>
                <w:sz w:val="20"/>
                <w:szCs w:val="20"/>
                <w:color w:val="auto"/>
              </w:rPr>
            </w:pPr>
            <w:r>
              <w:rPr>
                <w:rFonts w:ascii="Arial" w:cs="Arial" w:eastAsia="Arial" w:hAnsi="Arial"/>
                <w:sz w:val="13"/>
                <w:szCs w:val="13"/>
                <w:color w:val="0000FF"/>
              </w:rPr>
              <w:t>158,910</w:t>
            </w:r>
          </w:p>
        </w:tc>
        <w:tc>
          <w:tcPr>
            <w:tcW w:w="680" w:type="dxa"/>
            <w:vAlign w:val="bottom"/>
            <w:vMerge w:val="restart"/>
          </w:tcPr>
          <w:p>
            <w:pPr>
              <w:ind w:left="300"/>
              <w:spacing w:after="0" w:line="284"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(7)</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line="143" w:lineRule="exact"/>
              <w:rPr>
                <w:sz w:val="20"/>
                <w:szCs w:val="20"/>
                <w:color w:val="auto"/>
              </w:rPr>
            </w:pPr>
            <w:r>
              <w:rPr>
                <w:rFonts w:ascii="Arial" w:cs="Arial" w:eastAsia="Arial" w:hAnsi="Arial"/>
                <w:sz w:val="13"/>
                <w:szCs w:val="13"/>
                <w:color w:val="0000FF"/>
              </w:rPr>
              <w:t>$0.01 par</w:t>
            </w: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ind w:right="31"/>
              <w:spacing w:after="0"/>
              <w:rPr>
                <w:sz w:val="20"/>
                <w:szCs w:val="20"/>
                <w:color w:val="auto"/>
              </w:rPr>
            </w:pPr>
            <w:r>
              <w:rPr>
                <w:rFonts w:ascii="Arial" w:cs="Arial" w:eastAsia="Arial" w:hAnsi="Arial"/>
                <w:sz w:val="13"/>
                <w:szCs w:val="13"/>
                <w:color w:val="0000FF"/>
                <w:w w:val="89"/>
              </w:rPr>
              <w:t>value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Warrants</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15.76</w:t>
            </w: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03/10/2011</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840" w:type="dxa"/>
            <w:vAlign w:val="bottom"/>
            <w:gridSpan w:val="3"/>
            <w:vMerge w:val="restart"/>
          </w:tcPr>
          <w:p>
            <w:pPr>
              <w:ind w:left="80"/>
              <w:spacing w:after="0"/>
              <w:rPr>
                <w:sz w:val="20"/>
                <w:szCs w:val="20"/>
                <w:color w:val="auto"/>
              </w:rPr>
            </w:pPr>
            <w:r>
              <w:rPr>
                <w:rFonts w:ascii="Arial" w:cs="Arial" w:eastAsia="Arial" w:hAnsi="Arial"/>
                <w:sz w:val="13"/>
                <w:szCs w:val="13"/>
                <w:color w:val="0000FF"/>
                <w:w w:val="91"/>
              </w:rPr>
              <w:t>272,715</w:t>
            </w:r>
            <w:r>
              <w:rPr>
                <w:rFonts w:ascii="Arial" w:cs="Arial" w:eastAsia="Arial" w:hAnsi="Arial"/>
                <w:sz w:val="21"/>
                <w:szCs w:val="21"/>
                <w:color w:val="008000"/>
                <w:w w:val="91"/>
                <w:vertAlign w:val="superscript"/>
              </w:rPr>
              <w:t>(1)(2)</w:t>
            </w:r>
          </w:p>
        </w:tc>
        <w:tc>
          <w:tcPr>
            <w:tcW w:w="240" w:type="dxa"/>
            <w:vAlign w:val="bottom"/>
          </w:tcPr>
          <w:p>
            <w:pPr>
              <w:spacing w:after="0"/>
              <w:rPr>
                <w:sz w:val="12"/>
                <w:szCs w:val="1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w w:val="98"/>
              </w:rPr>
              <w:t>03/10/2011</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0000FF"/>
              </w:rPr>
              <w:t>11/09/2014</w:t>
            </w:r>
          </w:p>
        </w:tc>
        <w:tc>
          <w:tcPr>
            <w:tcW w:w="20" w:type="dxa"/>
            <w:vAlign w:val="bottom"/>
          </w:tcPr>
          <w:p>
            <w:pPr>
              <w:spacing w:after="0"/>
              <w:rPr>
                <w:sz w:val="12"/>
                <w:szCs w:val="12"/>
                <w:color w:val="auto"/>
              </w:rPr>
            </w:pPr>
          </w:p>
        </w:tc>
        <w:tc>
          <w:tcPr>
            <w:tcW w:w="620" w:type="dxa"/>
            <w:vAlign w:val="bottom"/>
          </w:tcPr>
          <w:p>
            <w:pPr>
              <w:jc w:val="center"/>
              <w:ind w:right="51"/>
              <w:spacing w:after="0" w:line="143" w:lineRule="exact"/>
              <w:rPr>
                <w:sz w:val="20"/>
                <w:szCs w:val="20"/>
                <w:color w:val="auto"/>
              </w:rPr>
            </w:pPr>
            <w:r>
              <w:rPr>
                <w:rFonts w:ascii="Arial" w:cs="Arial" w:eastAsia="Arial" w:hAnsi="Arial"/>
                <w:sz w:val="13"/>
                <w:szCs w:val="13"/>
                <w:color w:val="0000FF"/>
                <w:w w:val="93"/>
              </w:rPr>
              <w:t>Stock,</w:t>
            </w: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w w:val="94"/>
              </w:rPr>
              <w:t>272,715</w:t>
            </w:r>
          </w:p>
        </w:tc>
        <w:tc>
          <w:tcPr>
            <w:tcW w:w="20" w:type="dxa"/>
            <w:vAlign w:val="bottom"/>
          </w:tcPr>
          <w:p>
            <w:pPr>
              <w:spacing w:after="0"/>
              <w:rPr>
                <w:sz w:val="12"/>
                <w:szCs w:val="12"/>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900" w:type="dxa"/>
            <w:vAlign w:val="bottom"/>
            <w:gridSpan w:val="2"/>
            <w:vMerge w:val="restart"/>
          </w:tcPr>
          <w:p>
            <w:pPr>
              <w:ind w:left="260"/>
              <w:spacing w:after="0"/>
              <w:rPr>
                <w:sz w:val="20"/>
                <w:szCs w:val="20"/>
                <w:color w:val="auto"/>
              </w:rPr>
            </w:pPr>
            <w:r>
              <w:rPr>
                <w:rFonts w:ascii="Arial" w:cs="Arial" w:eastAsia="Arial" w:hAnsi="Arial"/>
                <w:sz w:val="13"/>
                <w:szCs w:val="13"/>
                <w:color w:val="0000FF"/>
              </w:rPr>
              <w:t>272,715</w:t>
            </w:r>
          </w:p>
        </w:tc>
        <w:tc>
          <w:tcPr>
            <w:tcW w:w="680" w:type="dxa"/>
            <w:vAlign w:val="bottom"/>
            <w:vMerge w:val="restart"/>
          </w:tcPr>
          <w:p>
            <w:pPr>
              <w:ind w:left="300"/>
              <w:spacing w:after="0" w:line="284"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(8)</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line="143" w:lineRule="exact"/>
              <w:rPr>
                <w:sz w:val="20"/>
                <w:szCs w:val="20"/>
                <w:color w:val="auto"/>
              </w:rPr>
            </w:pPr>
            <w:r>
              <w:rPr>
                <w:rFonts w:ascii="Arial" w:cs="Arial" w:eastAsia="Arial" w:hAnsi="Arial"/>
                <w:sz w:val="13"/>
                <w:szCs w:val="13"/>
                <w:color w:val="0000FF"/>
              </w:rPr>
              <w:t>$0.01 par</w:t>
            </w: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ind w:right="31"/>
              <w:spacing w:after="0"/>
              <w:rPr>
                <w:sz w:val="20"/>
                <w:szCs w:val="20"/>
                <w:color w:val="auto"/>
              </w:rPr>
            </w:pPr>
            <w:r>
              <w:rPr>
                <w:rFonts w:ascii="Arial" w:cs="Arial" w:eastAsia="Arial" w:hAnsi="Arial"/>
                <w:sz w:val="13"/>
                <w:szCs w:val="13"/>
                <w:color w:val="0000FF"/>
                <w:w w:val="89"/>
              </w:rPr>
              <w:t>value</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5"/>
          </w:tcPr>
          <w:p>
            <w:pPr>
              <w:ind w:left="60"/>
              <w:spacing w:after="0" w:line="237"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6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7"/>
          </w:tcPr>
          <w:p>
            <w:pPr>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Avenue Special Situations Fund IV LP</w:t>
              </w:r>
            </w:hyperlink>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0" w:type="dxa"/>
            <w:vAlign w:val="bottom"/>
            <w:gridSpan w:val="7"/>
          </w:tcPr>
          <w:p>
            <w:pPr>
              <w:spacing w:after="0"/>
              <w:rPr>
                <w:sz w:val="20"/>
                <w:szCs w:val="20"/>
                <w:color w:val="auto"/>
              </w:rPr>
            </w:pPr>
            <w:r>
              <w:rPr>
                <w:rFonts w:ascii="Arial" w:cs="Arial" w:eastAsia="Arial" w:hAnsi="Arial"/>
                <w:sz w:val="17"/>
                <w:szCs w:val="17"/>
                <w:color w:val="0000FF"/>
                <w:w w:val="99"/>
              </w:rPr>
              <w:t>C/O AVENUE CAPITAL MANAGEMENT II, L.P.</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3"/>
          </w:tcPr>
          <w:p>
            <w:pPr>
              <w:spacing w:after="0"/>
              <w:rPr>
                <w:sz w:val="20"/>
                <w:szCs w:val="20"/>
                <w:color w:val="auto"/>
              </w:rPr>
            </w:pPr>
            <w:r>
              <w:rPr>
                <w:rFonts w:ascii="Arial" w:cs="Arial" w:eastAsia="Arial" w:hAnsi="Arial"/>
                <w:sz w:val="17"/>
                <w:szCs w:val="17"/>
                <w:color w:val="0000FF"/>
                <w:w w:val="95"/>
              </w:rPr>
              <w:t>399 PARK AVENUE, 6TH FLOOR</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100"/>
              <w:spacing w:after="0"/>
              <w:rPr>
                <w:sz w:val="20"/>
                <w:szCs w:val="20"/>
                <w:color w:val="auto"/>
              </w:rPr>
            </w:pPr>
            <w:r>
              <w:rPr>
                <w:rFonts w:ascii="Arial" w:cs="Arial" w:eastAsia="Arial" w:hAnsi="Arial"/>
                <w:sz w:val="17"/>
                <w:szCs w:val="17"/>
                <w:color w:val="0000FF"/>
              </w:rPr>
              <w:t>NY</w:t>
            </w:r>
          </w:p>
        </w:tc>
        <w:tc>
          <w:tcPr>
            <w:tcW w:w="1060" w:type="dxa"/>
            <w:vAlign w:val="bottom"/>
            <w:gridSpan w:val="3"/>
          </w:tcPr>
          <w:p>
            <w:pPr>
              <w:ind w:left="4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gridSpan w:val="2"/>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7"/>
          </w:tcPr>
          <w:p>
            <w:pPr>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Avenue Capital Partners IV, LLC</w:t>
              </w:r>
            </w:hyperlink>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0" w:type="dxa"/>
            <w:vAlign w:val="bottom"/>
            <w:gridSpan w:val="7"/>
          </w:tcPr>
          <w:p>
            <w:pPr>
              <w:spacing w:after="0"/>
              <w:rPr>
                <w:sz w:val="20"/>
                <w:szCs w:val="20"/>
                <w:color w:val="auto"/>
              </w:rPr>
            </w:pPr>
            <w:r>
              <w:rPr>
                <w:rFonts w:ascii="Arial" w:cs="Arial" w:eastAsia="Arial" w:hAnsi="Arial"/>
                <w:sz w:val="17"/>
                <w:szCs w:val="17"/>
                <w:color w:val="0000FF"/>
                <w:w w:val="99"/>
              </w:rPr>
              <w:t>C/O AVENUE CAPITAL MANAGEMENT II, L.P.</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3"/>
          </w:tcPr>
          <w:p>
            <w:pPr>
              <w:spacing w:after="0"/>
              <w:rPr>
                <w:sz w:val="20"/>
                <w:szCs w:val="20"/>
                <w:color w:val="auto"/>
              </w:rPr>
            </w:pPr>
            <w:r>
              <w:rPr>
                <w:rFonts w:ascii="Arial" w:cs="Arial" w:eastAsia="Arial" w:hAnsi="Arial"/>
                <w:sz w:val="17"/>
                <w:szCs w:val="17"/>
                <w:color w:val="0000FF"/>
                <w:w w:val="95"/>
              </w:rPr>
              <w:t>399 PARK AVENUE, 6TH FLOOR</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100"/>
              <w:spacing w:after="0"/>
              <w:rPr>
                <w:sz w:val="20"/>
                <w:szCs w:val="20"/>
                <w:color w:val="auto"/>
              </w:rPr>
            </w:pPr>
            <w:r>
              <w:rPr>
                <w:rFonts w:ascii="Arial" w:cs="Arial" w:eastAsia="Arial" w:hAnsi="Arial"/>
                <w:sz w:val="17"/>
                <w:szCs w:val="17"/>
                <w:color w:val="0000FF"/>
              </w:rPr>
              <w:t>NY</w:t>
            </w:r>
          </w:p>
        </w:tc>
        <w:tc>
          <w:tcPr>
            <w:tcW w:w="1060" w:type="dxa"/>
            <w:vAlign w:val="bottom"/>
            <w:gridSpan w:val="3"/>
          </w:tcPr>
          <w:p>
            <w:pPr>
              <w:ind w:left="4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gridSpan w:val="2"/>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-5652135</wp:posOffset>
            </wp:positionV>
            <wp:extent cx="24130" cy="2245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24536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2006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0066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1"/>
          <w:szCs w:val="21"/>
          <w:color w:val="auto"/>
          <w:vertAlign w:val="superscript"/>
        </w:rPr>
        <w:t>*</w:t>
      </w:r>
    </w:p>
    <w:p>
      <w:pPr>
        <w:sectPr>
          <w:pgSz w:w="11900" w:h="16945" w:orient="portrait"/>
          <w:cols w:equalWidth="0" w:num="1">
            <w:col w:w="11520"/>
          </w:cols>
          <w:pgMar w:left="240" w:top="222" w:right="13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GL Partners IV,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-139700</wp:posOffset>
            </wp:positionV>
            <wp:extent cx="291973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19730" cy="10515600"/>
                    </a:xfrm>
                    <a:prstGeom prst="rect">
                      <a:avLst/>
                    </a:prstGeom>
                    <a:noFill/>
                  </pic:spPr>
                </pic:pic>
              </a:graphicData>
            </a:graphic>
          </wp:anchor>
        </w:drawing>
      </w:r>
    </w:p>
    <w:p>
      <w:pPr>
        <w:spacing w:after="0" w:line="302"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AVENUE CAPITAL MANAGEMENT II, L.P.</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399 PARK AVENUE, 6TH FLOOR</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tcPr>
          <w:p>
            <w:pPr>
              <w:ind w:left="280"/>
              <w:spacing w:after="0"/>
              <w:rPr>
                <w:sz w:val="20"/>
                <w:szCs w:val="20"/>
                <w:color w:val="auto"/>
              </w:rPr>
            </w:pPr>
            <w:r>
              <w:rPr>
                <w:rFonts w:ascii="Arial" w:cs="Arial" w:eastAsia="Arial" w:hAnsi="Arial"/>
                <w:sz w:val="17"/>
                <w:szCs w:val="17"/>
                <w:color w:val="0000FF"/>
              </w:rPr>
              <w:t>NY</w:t>
            </w:r>
          </w:p>
        </w:tc>
        <w:tc>
          <w:tcPr>
            <w:tcW w:w="1960" w:type="dxa"/>
            <w:vAlign w:val="bottom"/>
          </w:tcPr>
          <w:p>
            <w:pPr>
              <w:ind w:left="540"/>
              <w:spacing w:after="0"/>
              <w:rPr>
                <w:sz w:val="20"/>
                <w:szCs w:val="20"/>
                <w:color w:val="auto"/>
              </w:rPr>
            </w:pPr>
            <w:r>
              <w:rPr>
                <w:rFonts w:ascii="Arial" w:cs="Arial" w:eastAsia="Arial" w:hAnsi="Arial"/>
                <w:sz w:val="17"/>
                <w:szCs w:val="17"/>
                <w:color w:val="0000FF"/>
              </w:rPr>
              <w:t>10022</w:t>
            </w:r>
          </w:p>
        </w:tc>
      </w:tr>
      <w:tr>
        <w:trPr>
          <w:trHeight w:val="150"/>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28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Avenue Special Situations Fund V LP</w:t>
        </w:r>
      </w:hyperlink>
    </w:p>
    <w:p>
      <w:pPr>
        <w:spacing w:after="0" w:line="30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AVENUE CAPITAL MANAGEMENT II, L.P.</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399 PARK AVENUE, 6TH FLOOR</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2"/>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620" w:type="dxa"/>
            <w:vAlign w:val="bottom"/>
            <w:gridSpan w:val="2"/>
          </w:tcPr>
          <w:p>
            <w:pPr>
              <w:ind w:left="280"/>
              <w:spacing w:after="0"/>
              <w:rPr>
                <w:sz w:val="20"/>
                <w:szCs w:val="20"/>
                <w:color w:val="auto"/>
              </w:rPr>
            </w:pPr>
            <w:r>
              <w:rPr>
                <w:rFonts w:ascii="Arial" w:cs="Arial" w:eastAsia="Arial" w:hAnsi="Arial"/>
                <w:sz w:val="17"/>
                <w:szCs w:val="17"/>
                <w:color w:val="0000FF"/>
              </w:rPr>
              <w:t>NY</w:t>
            </w:r>
          </w:p>
        </w:tc>
        <w:tc>
          <w:tcPr>
            <w:tcW w:w="1540" w:type="dxa"/>
            <w:vAlign w:val="bottom"/>
          </w:tcPr>
          <w:p>
            <w:pPr>
              <w:ind w:left="1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51"/>
        </w:trPr>
        <w:tc>
          <w:tcPr>
            <w:tcW w:w="29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gridSpan w:val="3"/>
          </w:tcPr>
          <w:p>
            <w:pPr>
              <w:spacing w:after="0" w:line="216" w:lineRule="exact"/>
              <w:rPr>
                <w:rFonts w:ascii="Arial" w:cs="Arial" w:eastAsia="Arial" w:hAnsi="Arial"/>
                <w:sz w:val="21"/>
                <w:szCs w:val="21"/>
                <w:color w:val="0000EE"/>
                <w:w w:val="93"/>
              </w:rPr>
            </w:pPr>
            <w:hyperlink r:id="rId20">
              <w:r>
                <w:rPr>
                  <w:rFonts w:ascii="Arial" w:cs="Arial" w:eastAsia="Arial" w:hAnsi="Arial"/>
                  <w:sz w:val="21"/>
                  <w:szCs w:val="21"/>
                  <w:color w:val="0000EE"/>
                  <w:w w:val="93"/>
                </w:rPr>
                <w:t>Avenue Capital Partners V, LLC</w:t>
              </w:r>
            </w:hyperlink>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150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AVENUE CAPITAL MANAGEMENT II, L.P.</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399 PARK AVENUE, 6TH FLOOR</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2"/>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gridSpan w:val="2"/>
          </w:tcPr>
          <w:p>
            <w:pPr>
              <w:ind w:left="280"/>
              <w:spacing w:after="0"/>
              <w:rPr>
                <w:sz w:val="20"/>
                <w:szCs w:val="20"/>
                <w:color w:val="auto"/>
              </w:rPr>
            </w:pPr>
            <w:r>
              <w:rPr>
                <w:rFonts w:ascii="Arial" w:cs="Arial" w:eastAsia="Arial" w:hAnsi="Arial"/>
                <w:sz w:val="17"/>
                <w:szCs w:val="17"/>
                <w:color w:val="0000FF"/>
              </w:rPr>
              <w:t>NY</w:t>
            </w:r>
          </w:p>
        </w:tc>
        <w:tc>
          <w:tcPr>
            <w:tcW w:w="1660" w:type="dxa"/>
            <w:vAlign w:val="bottom"/>
          </w:tcPr>
          <w:p>
            <w:pPr>
              <w:ind w:left="24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51"/>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3"/>
          </w:tcPr>
          <w:p>
            <w:pPr>
              <w:spacing w:after="0" w:line="216" w:lineRule="exact"/>
              <w:rPr>
                <w:rFonts w:ascii="Arial" w:cs="Arial" w:eastAsia="Arial" w:hAnsi="Arial"/>
                <w:sz w:val="21"/>
                <w:szCs w:val="21"/>
                <w:color w:val="0000EE"/>
              </w:rPr>
            </w:pPr>
            <w:hyperlink r:id="rId21">
              <w:r>
                <w:rPr>
                  <w:rFonts w:ascii="Arial" w:cs="Arial" w:eastAsia="Arial" w:hAnsi="Arial"/>
                  <w:sz w:val="21"/>
                  <w:szCs w:val="21"/>
                  <w:color w:val="0000EE"/>
                </w:rPr>
                <w:t>GL Partners V, LLC</w:t>
              </w:r>
            </w:hyperlink>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bl>
    <w:p>
      <w:pPr>
        <w:spacing w:after="0" w:line="5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AVENUE CAPITAL MANAGEMENT II, L.P.</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399 PARK AVENUE, 6TH FLOOR</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tcPr>
          <w:p>
            <w:pPr>
              <w:ind w:left="280"/>
              <w:spacing w:after="0"/>
              <w:rPr>
                <w:sz w:val="20"/>
                <w:szCs w:val="20"/>
                <w:color w:val="auto"/>
              </w:rPr>
            </w:pPr>
            <w:r>
              <w:rPr>
                <w:rFonts w:ascii="Arial" w:cs="Arial" w:eastAsia="Arial" w:hAnsi="Arial"/>
                <w:sz w:val="17"/>
                <w:szCs w:val="17"/>
                <w:color w:val="0000FF"/>
              </w:rPr>
              <w:t>NY</w:t>
            </w:r>
          </w:p>
        </w:tc>
        <w:tc>
          <w:tcPr>
            <w:tcW w:w="1960" w:type="dxa"/>
            <w:vAlign w:val="bottom"/>
          </w:tcPr>
          <w:p>
            <w:pPr>
              <w:ind w:left="540"/>
              <w:spacing w:after="0"/>
              <w:rPr>
                <w:sz w:val="20"/>
                <w:szCs w:val="20"/>
                <w:color w:val="auto"/>
              </w:rPr>
            </w:pPr>
            <w:r>
              <w:rPr>
                <w:rFonts w:ascii="Arial" w:cs="Arial" w:eastAsia="Arial" w:hAnsi="Arial"/>
                <w:sz w:val="17"/>
                <w:szCs w:val="17"/>
                <w:color w:val="0000FF"/>
              </w:rPr>
              <w:t>10022</w:t>
            </w:r>
          </w:p>
        </w:tc>
      </w:tr>
      <w:tr>
        <w:trPr>
          <w:trHeight w:val="150"/>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28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Avenue Capital Management II, L.P.</w:t>
        </w:r>
      </w:hyperlink>
    </w:p>
    <w:p>
      <w:pPr>
        <w:spacing w:after="0" w:line="30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AVENUE CAPITAL MANAGEMENT II, L.P.</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399 PARK AVENUE, 6TH FLOOR</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tcPr>
          <w:p>
            <w:pPr>
              <w:ind w:left="280"/>
              <w:spacing w:after="0"/>
              <w:rPr>
                <w:sz w:val="20"/>
                <w:szCs w:val="20"/>
                <w:color w:val="auto"/>
              </w:rPr>
            </w:pPr>
            <w:r>
              <w:rPr>
                <w:rFonts w:ascii="Arial" w:cs="Arial" w:eastAsia="Arial" w:hAnsi="Arial"/>
                <w:sz w:val="17"/>
                <w:szCs w:val="17"/>
                <w:color w:val="0000FF"/>
              </w:rPr>
              <w:t>NY</w:t>
            </w:r>
          </w:p>
        </w:tc>
        <w:tc>
          <w:tcPr>
            <w:tcW w:w="1960" w:type="dxa"/>
            <w:vAlign w:val="bottom"/>
          </w:tcPr>
          <w:p>
            <w:pPr>
              <w:ind w:left="540"/>
              <w:spacing w:after="0"/>
              <w:rPr>
                <w:sz w:val="20"/>
                <w:szCs w:val="20"/>
                <w:color w:val="auto"/>
              </w:rPr>
            </w:pPr>
            <w:r>
              <w:rPr>
                <w:rFonts w:ascii="Arial" w:cs="Arial" w:eastAsia="Arial" w:hAnsi="Arial"/>
                <w:sz w:val="17"/>
                <w:szCs w:val="17"/>
                <w:color w:val="0000FF"/>
              </w:rPr>
              <w:t>10022</w:t>
            </w:r>
          </w:p>
        </w:tc>
      </w:tr>
      <w:tr>
        <w:trPr>
          <w:trHeight w:val="150"/>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28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Avenue Capital Management II GenPar, LLC</w:t>
        </w:r>
      </w:hyperlink>
    </w:p>
    <w:p>
      <w:pPr>
        <w:spacing w:after="0" w:line="30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AVENUE CAPITAL MANAGEMENT II, L.P.</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399 PARK AVENUE, 6TH FLOOR</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tcPr>
          <w:p>
            <w:pPr>
              <w:ind w:left="280"/>
              <w:spacing w:after="0"/>
              <w:rPr>
                <w:sz w:val="20"/>
                <w:szCs w:val="20"/>
                <w:color w:val="auto"/>
              </w:rPr>
            </w:pPr>
            <w:r>
              <w:rPr>
                <w:rFonts w:ascii="Arial" w:cs="Arial" w:eastAsia="Arial" w:hAnsi="Arial"/>
                <w:sz w:val="17"/>
                <w:szCs w:val="17"/>
                <w:color w:val="0000FF"/>
              </w:rPr>
              <w:t>NY</w:t>
            </w:r>
          </w:p>
        </w:tc>
        <w:tc>
          <w:tcPr>
            <w:tcW w:w="1960" w:type="dxa"/>
            <w:vAlign w:val="bottom"/>
          </w:tcPr>
          <w:p>
            <w:pPr>
              <w:ind w:left="540"/>
              <w:spacing w:after="0"/>
              <w:rPr>
                <w:sz w:val="20"/>
                <w:szCs w:val="20"/>
                <w:color w:val="auto"/>
              </w:rPr>
            </w:pPr>
            <w:r>
              <w:rPr>
                <w:rFonts w:ascii="Arial" w:cs="Arial" w:eastAsia="Arial" w:hAnsi="Arial"/>
                <w:sz w:val="17"/>
                <w:szCs w:val="17"/>
                <w:color w:val="0000FF"/>
              </w:rPr>
              <w:t>10022</w:t>
            </w:r>
          </w:p>
        </w:tc>
      </w:tr>
      <w:tr>
        <w:trPr>
          <w:trHeight w:val="150"/>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28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6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0199"/>
          </w:cols>
          <w:pgMar w:left="260" w:top="120" w:right="1440" w:bottom="0" w:gutter="0" w:footer="0" w:header="0"/>
        </w:sectPr>
      </w:pPr>
    </w:p>
    <w:bookmarkStart w:id="2" w:name="page3"/>
    <w:bookmarkEnd w:id="2"/>
    <w:p>
      <w:pPr>
        <w:ind w:left="8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LASRY MARC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-139700</wp:posOffset>
            </wp:positionV>
            <wp:extent cx="2919730" cy="157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919730" cy="1574800"/>
                    </a:xfrm>
                    <a:prstGeom prst="rect">
                      <a:avLst/>
                    </a:prstGeom>
                    <a:noFill/>
                  </pic:spPr>
                </pic:pic>
              </a:graphicData>
            </a:graphic>
          </wp:anchor>
        </w:drawing>
      </w:r>
    </w:p>
    <w:p>
      <w:pPr>
        <w:spacing w:after="0" w:line="302"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C/O AVENUE CAPITAL MANAGEMENT II, L.P.</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399 PARK AVENUE, 6TH FLOOR</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tcPr>
          <w:p>
            <w:pPr>
              <w:ind w:left="280"/>
              <w:spacing w:after="0"/>
              <w:rPr>
                <w:sz w:val="20"/>
                <w:szCs w:val="20"/>
                <w:color w:val="auto"/>
              </w:rPr>
            </w:pPr>
            <w:r>
              <w:rPr>
                <w:rFonts w:ascii="Arial" w:cs="Arial" w:eastAsia="Arial" w:hAnsi="Arial"/>
                <w:sz w:val="17"/>
                <w:szCs w:val="17"/>
                <w:color w:val="0000FF"/>
              </w:rPr>
              <w:t>NY</w:t>
            </w:r>
          </w:p>
        </w:tc>
        <w:tc>
          <w:tcPr>
            <w:tcW w:w="1960" w:type="dxa"/>
            <w:vAlign w:val="bottom"/>
          </w:tcPr>
          <w:p>
            <w:pPr>
              <w:ind w:left="540"/>
              <w:spacing w:after="0"/>
              <w:rPr>
                <w:sz w:val="20"/>
                <w:szCs w:val="20"/>
                <w:color w:val="auto"/>
              </w:rPr>
            </w:pPr>
            <w:r>
              <w:rPr>
                <w:rFonts w:ascii="Arial" w:cs="Arial" w:eastAsia="Arial" w:hAnsi="Arial"/>
                <w:sz w:val="17"/>
                <w:szCs w:val="17"/>
                <w:color w:val="0000FF"/>
              </w:rPr>
              <w:t>10022</w:t>
            </w:r>
          </w:p>
        </w:tc>
      </w:tr>
      <w:tr>
        <w:trPr>
          <w:trHeight w:val="150"/>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28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right="240" w:firstLine="2"/>
        <w:spacing w:after="0" w:line="269" w:lineRule="auto"/>
        <w:tabs>
          <w:tab w:leader="none" w:pos="13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persons reporting on this Form 4 (the "Reporting Persons") originally acquired common units and warrants exercisable to purchase common units in connection with the reorganization of MagnaChip Semiconductor LLC, which converted into MagnaChip Semiconductor Corporation (the "Issuer"). The conversion, which is exempt under Rule 16b-7, resulted in the Reporting Persons receiving shares of Common Stock, par value $0.01 (the "Common Stock"), and the warrants exercisable to purchase shares of Common Stock. The acquisition was approved in advance in accordance with Rule 16b-3.</w:t>
      </w:r>
    </w:p>
    <w:p>
      <w:pPr>
        <w:spacing w:after="0" w:line="15" w:lineRule="exact"/>
        <w:rPr>
          <w:rFonts w:ascii="Arial" w:cs="Arial" w:eastAsia="Arial" w:hAnsi="Arial"/>
          <w:sz w:val="12"/>
          <w:szCs w:val="12"/>
          <w:color w:val="008000"/>
        </w:rPr>
      </w:pPr>
    </w:p>
    <w:p>
      <w:pPr>
        <w:ind w:firstLine="2"/>
        <w:spacing w:after="0" w:line="235"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filing of this Form 4 shall not be construed as an admission that Avenue Capital Partners IV, LLC ("Capital Partners IV"), GL Partners IV, LLC ("GL Partners IV"), Avenue Capital Partners V, LLC ("Capital Partners V"), GL Partners V, LLC ("GL Partners V"), Avenue Capital Management II, L.P. ("Avenue Capital Management"), Avenue Capital Management II GenPar, LLC ("Avenue Capital Management GenPar") or Marc Lasry (collectively, the "Controlling Persons") is or was for the purposes of Section 16(a) of the Securities Exchange Act of 1934, as amended, or otherwise the beneficial owner of any of the Common Stock of the Issuer directly held by Avenue Special Situations Fund IV, L.P. ("Fund IV") and Avenue Special Situations Fund V, L.P. ("Fund V"). Pursuant to Rule 16a-1, the Controlling Persons disclaim such beneficial ownership except to the extent of their pecuniary interest therein.</w:t>
      </w:r>
    </w:p>
    <w:p>
      <w:pPr>
        <w:spacing w:after="0" w:line="32" w:lineRule="exact"/>
        <w:rPr>
          <w:rFonts w:ascii="Arial" w:cs="Arial" w:eastAsia="Arial" w:hAnsi="Arial"/>
          <w:sz w:val="13"/>
          <w:szCs w:val="13"/>
          <w:color w:val="008000"/>
        </w:rPr>
      </w:pPr>
    </w:p>
    <w:p>
      <w:pPr>
        <w:ind w:right="280" w:firstLine="2"/>
        <w:spacing w:after="0" w:line="237"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Fund IV received directly 8,648,373 shares of Common Stock of the Issuer as a result of the conversion. Capital Partners IV serves as the general partner of Fund IV, and GL Partners IV serves as the managing member of Capital Partners IV. Each of Capital Partners IV and GL Partners IV holds indirectly the 8,648,373 shares of Common Stock of the Issuer held directly by Fund IV. Capital Partners IV has a direct performance-based allocation from Fund IV and GL Partners IV, as the managing member of Capital Partners IV, has an indirect interest in such allocation. Mr. Lasry owns an interest in Capital Partners IV and GL Partners IV and receives a portion of the profits allocation related to Fund IV.</w:t>
      </w:r>
    </w:p>
    <w:p>
      <w:pPr>
        <w:spacing w:after="0" w:line="31" w:lineRule="exact"/>
        <w:rPr>
          <w:rFonts w:ascii="Arial" w:cs="Arial" w:eastAsia="Arial" w:hAnsi="Arial"/>
          <w:sz w:val="13"/>
          <w:szCs w:val="13"/>
          <w:color w:val="008000"/>
        </w:rPr>
      </w:pPr>
    </w:p>
    <w:p>
      <w:pPr>
        <w:ind w:right="20" w:firstLine="2"/>
        <w:spacing w:after="0" w:line="237"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Fund V received directly 10,844,551 shares of Common Stock of the Issuer as a result of the conversion. Capital Partners V serves as the general partner of Fund V, and GL Partners V serves as the managing member of Capital Partners V. Each of Capital Partners V and GL Partners V holds indirectly the 10,844,551 shares of Common Stock of the Issuer held directly by Fund V. Capital Partners V has a direct performance-based allocation from Fund V and GL Partners V, as the managing member of Capital Partners V, has an indirect interest in such allocation. Mr. Lasry owns an interest in Capital Partners V and GL Partners V and receives a portion of the profits allocation related to Fund V.</w:t>
      </w:r>
    </w:p>
    <w:p>
      <w:pPr>
        <w:spacing w:after="0" w:line="31" w:lineRule="exact"/>
        <w:rPr>
          <w:rFonts w:ascii="Arial" w:cs="Arial" w:eastAsia="Arial" w:hAnsi="Arial"/>
          <w:sz w:val="13"/>
          <w:szCs w:val="13"/>
          <w:color w:val="008000"/>
        </w:rPr>
      </w:pPr>
    </w:p>
    <w:p>
      <w:pPr>
        <w:jc w:val="both"/>
        <w:ind w:right="40" w:firstLine="2"/>
        <w:spacing w:after="0" w:line="237"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Fund IV holds directly 6,526,958 shares of Common Stock of the Issuer. Capital Partners IV serves as the general partner of Fund IV, and GL Partners IV serves as the managing member of Capital Partners IV. Each of Capital Partners IV and GL Partners IV holds indirectly the 6,526,958 shares of Common Stock of the Issuer held directly by Fund IV. Capital Partners IV has a direct performance-based allocation from Fund IV and GL Partners IV, as the managing member of Capital Partners IV, has an indirect interest in such allocation. Mr. Lasry owns an interest in Capital Partners IV and GL Partners IV and receives a portion of the profits allocation related to Fund IV.</w:t>
      </w:r>
    </w:p>
    <w:p>
      <w:pPr>
        <w:spacing w:after="0" w:line="31" w:lineRule="exact"/>
        <w:rPr>
          <w:rFonts w:ascii="Arial" w:cs="Arial" w:eastAsia="Arial" w:hAnsi="Arial"/>
          <w:sz w:val="13"/>
          <w:szCs w:val="13"/>
          <w:color w:val="008000"/>
        </w:rPr>
      </w:pPr>
    </w:p>
    <w:p>
      <w:pPr>
        <w:jc w:val="both"/>
        <w:ind w:right="160" w:firstLine="2"/>
        <w:spacing w:after="0" w:line="237"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Fund V holds directly 8,184,421 shares of Common Stock of the Issuer. Capital Partners V serves as the general partner of Fund V, and GL Partners V serves as the managing member of Capital Partners V. Each of Capital Partners V and GL Partners V holds indirectly the 8,184,421 shares of Common Stock of the Issuer held directly by Fund V. Capital Partners V has a direct performance-based allocation from Fund V and GL Partners V, as the managing member of Capital Partners V, has an indirect interest in such allocation. Mr. Lasry owns an interest in Capital Partners V and GL Partners V and receives a portion of the profits allocation related to Fund V.</w:t>
      </w:r>
    </w:p>
    <w:p>
      <w:pPr>
        <w:spacing w:after="0" w:line="31" w:lineRule="exact"/>
        <w:rPr>
          <w:rFonts w:ascii="Arial" w:cs="Arial" w:eastAsia="Arial" w:hAnsi="Arial"/>
          <w:sz w:val="13"/>
          <w:szCs w:val="13"/>
          <w:color w:val="008000"/>
        </w:rPr>
      </w:pPr>
    </w:p>
    <w:p>
      <w:pPr>
        <w:ind w:right="20" w:firstLine="2"/>
        <w:spacing w:after="0" w:line="237"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Fund IV received directly 158,910 warrants exercisable to purchase shares of Common Stock of the Issuer as a result of the conversion. Capital Partners IV serves as the general partner of Fund IV, and GL Partners IV serves as the managing member of Capital Partners IV. Each of Capital Partners IV and GL Partners IV holds indirectly the 158,910 warrants exercisable to purchase shares of Common Stock of the Issuer held directly by Fund IV. Capital Partners IV has a direct performance-based allocation from Fund IV and GL Partners IV, as the managing member of Capital Partners IV, has an indirect interest in such allocation. Mr. Lasry owns an interest in Capital Partners IV and GL Partners IV and receives a portion of the profits allocation related to Fund IV.</w:t>
      </w:r>
    </w:p>
    <w:p>
      <w:pPr>
        <w:spacing w:after="0" w:line="31" w:lineRule="exact"/>
        <w:rPr>
          <w:rFonts w:ascii="Arial" w:cs="Arial" w:eastAsia="Arial" w:hAnsi="Arial"/>
          <w:sz w:val="13"/>
          <w:szCs w:val="13"/>
          <w:color w:val="008000"/>
        </w:rPr>
      </w:pPr>
    </w:p>
    <w:p>
      <w:pPr>
        <w:ind w:right="60" w:firstLine="2"/>
        <w:spacing w:after="0" w:line="237"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Fund V received directly 272,715 warrants exercisable to purchase shares of Common Stock of the Issuer as a result of the conversion. Capital Partners V serves as the general partner of Fund V, and GL Partners V serves as the managing member of Capital Partners V. Each of Capital Partners V and GL Partners V holds indirectly the 272,715 warrants exercisable to purchase shares of Common Stock of the Issuer held directly by Fund V. Capital Partners V has a direct performance-based allocation from Fund V and GL Partners V, as the managing member of Capital Partners V, has an indirect interest in such allocation. Mr. Lasry owns an interest in Capital Partners V and GL Partners V and receives a portion of the profits allocation related to Fund V.</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008000"/>
        </w:rPr>
        <w:t>This Form 4 is being filed by the Reporting Persons jointly with an additional Form 4 dated as of the same date with respect to the Common Stock and warrants of the Issuer filed by Avenue Investments, L.P., Avenue-CDP Global Opportunities Fund, L.P., Avenue International Master, L.P., Avenue International, Ltd., Avenue International Master GenPar, Ltd., Avenue Partners, LLC and Marc Lasry due to the limitations on the number of Reporting Persons able to file a single Form 4.</w:t>
      </w:r>
    </w:p>
    <w:p>
      <w:pPr>
        <w:sectPr>
          <w:pgSz w:w="11900" w:h="16838" w:orient="portrait"/>
          <w:cols w:equalWidth="0" w:num="1">
            <w:col w:w="11340"/>
          </w:cols>
          <w:pgMar w:left="280" w:top="120" w:right="279" w:bottom="0" w:gutter="0" w:footer="0" w:header="0"/>
        </w:sectPr>
      </w:pPr>
    </w:p>
    <w:p>
      <w:pPr>
        <w:spacing w:after="0" w:line="59"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Avenue Special Situations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2540</wp:posOffset>
            </wp:positionV>
            <wp:extent cx="13665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IV, L.P. By: Avenue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186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Partners IV,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250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Partner, By: GL Partners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2109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LLC, its Managing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-635</wp:posOffset>
            </wp:positionV>
            <wp:extent cx="1409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-635</wp:posOffset>
            </wp:positionV>
            <wp:extent cx="1409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Marc 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-8255</wp:posOffset>
            </wp:positionV>
            <wp:extent cx="1363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4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Avenue Capital Partners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2540</wp:posOffset>
            </wp:positionV>
            <wp:extent cx="1417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GL Partners IV,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2363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Managing Member,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-8255</wp:posOffset>
            </wp:positionV>
            <wp:extent cx="13582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-8255</wp:posOffset>
            </wp:positionV>
            <wp:extent cx="132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1118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GL Partners IV, LLC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2540</wp:posOffset>
            </wp:positionV>
            <wp:extent cx="14141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-8255</wp:posOffset>
            </wp:positionV>
            <wp:extent cx="132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Avenue Special Situations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2540</wp:posOffset>
            </wp:positionV>
            <wp:extent cx="13665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V, L.P. By: Avenue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151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Partners V,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2153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Partner, By: GL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1753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LLC, its Managing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-635</wp:posOffset>
            </wp:positionV>
            <wp:extent cx="14090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-635</wp:posOffset>
            </wp:positionV>
            <wp:extent cx="1409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Marc 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-8255</wp:posOffset>
            </wp:positionV>
            <wp:extent cx="136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4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Avenue Capital Partners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2540</wp:posOffset>
            </wp:positionV>
            <wp:extent cx="13823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82395"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GL Partners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2007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Managing Member,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-8255</wp:posOffset>
            </wp:positionV>
            <wp:extent cx="13582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-8255</wp:posOffset>
            </wp:positionV>
            <wp:extent cx="132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1118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GL Partners V, LLC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-3810</wp:posOffset>
            </wp:positionV>
            <wp:extent cx="13785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-8255</wp:posOffset>
            </wp:positionV>
            <wp:extent cx="132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1118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Avenue Capital Management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2540</wp:posOffset>
            </wp:positionV>
            <wp:extent cx="13690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L.P. By: Avenue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0344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Management II GenPar,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-635</wp:posOffset>
            </wp:positionV>
            <wp:extent cx="14084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40843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2096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-8255</wp:posOffset>
            </wp:positionV>
            <wp:extent cx="132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11118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Capital Management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-3810</wp:posOffset>
            </wp:positionV>
            <wp:extent cx="13423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ectPr>
          <w:pgSz w:w="11900" w:h="16838" w:orient="portrait"/>
          <w:cols w:equalWidth="0" w:num="2">
            <w:col w:w="9060" w:space="60"/>
            <w:col w:w="2220"/>
          </w:cols>
          <w:pgMar w:left="280" w:top="120" w:right="27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6"/>
          <w:szCs w:val="16"/>
          <w:color w:val="0000FF"/>
        </w:rPr>
        <w:t>GenPar, LLC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-3810</wp:posOffset>
            </wp:positionV>
            <wp:extent cx="134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attorney-in-fact for 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-8255</wp:posOffset>
            </wp:positionV>
            <wp:extent cx="13582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822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2540</wp:posOffset>
            </wp:positionV>
            <wp:extent cx="1409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-15240</wp:posOffset>
            </wp:positionV>
            <wp:extent cx="4953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32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5" w:lineRule="exact"/>
        <w:rPr>
          <w:sz w:val="20"/>
          <w:szCs w:val="20"/>
          <w:color w:val="auto"/>
        </w:rPr>
      </w:pPr>
    </w:p>
    <w:p>
      <w:pPr>
        <w:sectPr>
          <w:pgSz w:w="11900" w:h="16838" w:orient="portrait"/>
          <w:cols w:equalWidth="0" w:num="2">
            <w:col w:w="9040" w:space="80"/>
            <w:col w:w="1059"/>
          </w:cols>
          <w:pgMar w:left="280" w:top="131"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699" w:firstLine="2"/>
        <w:spacing w:after="0" w:line="336"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12" Type="http://schemas.openxmlformats.org/officeDocument/2006/relationships/hyperlink" Target="http://www.sec.gov/cgi-bin/browse-edgar?action=getcompany&amp;CIK=0001338744"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389864" TargetMode="External"/><Relationship Id="rId17" Type="http://schemas.openxmlformats.org/officeDocument/2006/relationships/hyperlink" Target="http://www.sec.gov/cgi-bin/browse-edgar?action=getcompany&amp;CIK=0001389865" TargetMode="External"/><Relationship Id="rId19" Type="http://schemas.openxmlformats.org/officeDocument/2006/relationships/hyperlink" Target="http://www.sec.gov/cgi-bin/browse-edgar?action=getcompany&amp;CIK=0001401178" TargetMode="External"/><Relationship Id="rId20" Type="http://schemas.openxmlformats.org/officeDocument/2006/relationships/hyperlink" Target="http://www.sec.gov/cgi-bin/browse-edgar?action=getcompany&amp;CIK=0001458587" TargetMode="External"/><Relationship Id="rId21" Type="http://schemas.openxmlformats.org/officeDocument/2006/relationships/hyperlink" Target="http://www.sec.gov/cgi-bin/browse-edgar?action=getcompany&amp;CIK=0001458583" TargetMode="External"/><Relationship Id="rId22" Type="http://schemas.openxmlformats.org/officeDocument/2006/relationships/hyperlink" Target="http://www.sec.gov/cgi-bin/browse-edgar?action=getcompany&amp;CIK=0001317338" TargetMode="External"/><Relationship Id="rId23" Type="http://schemas.openxmlformats.org/officeDocument/2006/relationships/hyperlink" Target="http://www.sec.gov/cgi-bin/browse-edgar?action=getcompany&amp;CIK=0001389850" TargetMode="External"/><Relationship Id="rId24" Type="http://schemas.openxmlformats.org/officeDocument/2006/relationships/hyperlink" Target="http://www.sec.gov/cgi-bin/browse-edgar?action=getcompany&amp;CIK=00012599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2019-12-18T02:02:13Z</dcterms:created>
  <dcterms:modified xsi:type="dcterms:W3CDTF">2019-12-18T02:02:13Z</dcterms:modified>
</cp:coreProperties>
</file>