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17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2" w:lineRule="exact"/>
        <w:rPr>
          <w:sz w:val="24"/>
          <w:szCs w:val="24"/>
          <w:color w:val="auto"/>
        </w:rPr>
      </w:pPr>
    </w:p>
    <w:p>
      <w:pPr>
        <w:ind w:left="4060" w:right="3800" w:hanging="4052"/>
        <w:spacing w:after="0" w:line="511" w:lineRule="auto"/>
        <w:tabs>
          <w:tab w:leader="none" w:pos="457"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Quarterly Report Pursuant to Section 13 or 15(d) of the Securities Exchange Act of 1934 </w:t>
      </w:r>
      <w:r>
        <w:rPr>
          <w:rFonts w:ascii="Arial" w:cs="Arial" w:eastAsia="Arial" w:hAnsi="Arial"/>
          <w:sz w:val="15"/>
          <w:szCs w:val="15"/>
          <w:color w:val="auto"/>
        </w:rPr>
        <w:t>For the quarterly period ended October 2, 2005</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or</w:t>
      </w:r>
    </w:p>
    <w:p>
      <w:pPr>
        <w:spacing w:after="0" w:line="1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4" w:lineRule="exact"/>
        <w:rPr>
          <w:sz w:val="24"/>
          <w:szCs w:val="24"/>
          <w:color w:val="auto"/>
        </w:rPr>
      </w:pPr>
    </w:p>
    <w:p>
      <w:pPr>
        <w:ind w:left="3980"/>
        <w:spacing w:after="0"/>
        <w:tabs>
          <w:tab w:leader="none" w:pos="6660" w:val="left"/>
          <w:tab w:leader="none" w:pos="73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3885565</wp:posOffset>
            </wp:positionH>
            <wp:positionV relativeFrom="paragraph">
              <wp:posOffset>-13970</wp:posOffset>
            </wp:positionV>
            <wp:extent cx="811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1530" cy="8890"/>
                    </a:xfrm>
                    <a:prstGeom prst="rect">
                      <a:avLst/>
                    </a:prstGeom>
                    <a:noFill/>
                  </pic:spPr>
                </pic:pic>
              </a:graphicData>
            </a:graphic>
          </wp:anchor>
        </w:drawing>
      </w:r>
    </w:p>
    <w:p>
      <w:pPr>
        <w:spacing w:after="0" w:line="138"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Commission file number 333-126019-09</w:t>
      </w:r>
    </w:p>
    <w:p>
      <w:pPr>
        <w:spacing w:after="0" w:line="123"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MAGNACHIP SEMICONDUCTOR LLC</w:t>
      </w:r>
    </w:p>
    <w:p>
      <w:pPr>
        <w:spacing w:after="0" w:line="5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220" w:type="dxa"/>
        <w:tblCellMar>
          <w:top w:w="0" w:type="dxa"/>
          <w:left w:w="0" w:type="dxa"/>
          <w:bottom w:w="0" w:type="dxa"/>
          <w:right w:w="0" w:type="dxa"/>
        </w:tblCellMar>
      </w:tblPr>
      <w:tr>
        <w:trPr>
          <w:trHeight w:val="218"/>
        </w:trPr>
        <w:tc>
          <w:tcPr>
            <w:tcW w:w="4860" w:type="dxa"/>
            <w:vAlign w:val="bottom"/>
          </w:tcPr>
          <w:p>
            <w:pPr>
              <w:jc w:val="center"/>
              <w:ind w:right="1481"/>
              <w:spacing w:after="0"/>
              <w:rPr>
                <w:sz w:val="20"/>
                <w:szCs w:val="20"/>
                <w:color w:val="auto"/>
              </w:rPr>
            </w:pPr>
            <w:r>
              <w:rPr>
                <w:rFonts w:ascii="Arial" w:cs="Arial" w:eastAsia="Arial" w:hAnsi="Arial"/>
                <w:sz w:val="18"/>
                <w:szCs w:val="18"/>
                <w:b w:val="1"/>
                <w:bCs w:val="1"/>
                <w:color w:val="auto"/>
                <w:w w:val="88"/>
              </w:rPr>
              <w:t>Delaware</w:t>
            </w:r>
          </w:p>
        </w:tc>
        <w:tc>
          <w:tcPr>
            <w:tcW w:w="3640" w:type="dxa"/>
            <w:vAlign w:val="bottom"/>
          </w:tcPr>
          <w:p>
            <w:pPr>
              <w:jc w:val="center"/>
              <w:ind w:left="1482"/>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4860" w:type="dxa"/>
            <w:vAlign w:val="bottom"/>
          </w:tcPr>
          <w:p>
            <w:pPr>
              <w:jc w:val="center"/>
              <w:ind w:right="150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640" w:type="dxa"/>
            <w:vAlign w:val="bottom"/>
          </w:tcPr>
          <w:p>
            <w:pPr>
              <w:jc w:val="center"/>
              <w:ind w:left="150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4860" w:type="dxa"/>
            <w:vAlign w:val="bottom"/>
          </w:tcPr>
          <w:p>
            <w:pPr>
              <w:jc w:val="center"/>
              <w:ind w:right="1501"/>
              <w:spacing w:after="0"/>
              <w:rPr>
                <w:sz w:val="20"/>
                <w:szCs w:val="20"/>
                <w:color w:val="auto"/>
              </w:rPr>
            </w:pPr>
            <w:r>
              <w:rPr>
                <w:rFonts w:ascii="Arial" w:cs="Arial" w:eastAsia="Arial" w:hAnsi="Arial"/>
                <w:sz w:val="14"/>
                <w:szCs w:val="14"/>
                <w:b w:val="1"/>
                <w:bCs w:val="1"/>
                <w:color w:val="auto"/>
                <w:w w:val="88"/>
              </w:rPr>
              <w:t>incorporation or organization)</w:t>
            </w:r>
          </w:p>
        </w:tc>
        <w:tc>
          <w:tcPr>
            <w:tcW w:w="3640" w:type="dxa"/>
            <w:vAlign w:val="bottom"/>
          </w:tcPr>
          <w:p>
            <w:pPr>
              <w:spacing w:after="0"/>
              <w:rPr>
                <w:sz w:val="15"/>
                <w:szCs w:val="15"/>
                <w:color w:val="auto"/>
              </w:rPr>
            </w:pPr>
          </w:p>
        </w:tc>
      </w:tr>
      <w:tr>
        <w:trPr>
          <w:trHeight w:val="418"/>
        </w:trPr>
        <w:tc>
          <w:tcPr>
            <w:tcW w:w="4860" w:type="dxa"/>
            <w:vAlign w:val="bottom"/>
          </w:tcPr>
          <w:p>
            <w:pPr>
              <w:jc w:val="center"/>
              <w:ind w:right="1501"/>
              <w:spacing w:after="0"/>
              <w:rPr>
                <w:sz w:val="20"/>
                <w:szCs w:val="20"/>
                <w:color w:val="auto"/>
              </w:rPr>
            </w:pPr>
            <w:r>
              <w:rPr>
                <w:rFonts w:ascii="Arial" w:cs="Arial" w:eastAsia="Arial" w:hAnsi="Arial"/>
                <w:sz w:val="18"/>
                <w:szCs w:val="18"/>
                <w:b w:val="1"/>
                <w:bCs w:val="1"/>
                <w:color w:val="auto"/>
                <w:w w:val="88"/>
              </w:rPr>
              <w:t>c/o MagnaChip Semiconductor S.A.</w:t>
            </w:r>
          </w:p>
        </w:tc>
        <w:tc>
          <w:tcPr>
            <w:tcW w:w="3640" w:type="dxa"/>
            <w:vAlign w:val="bottom"/>
          </w:tcPr>
          <w:p>
            <w:pPr>
              <w:spacing w:after="0"/>
              <w:rPr>
                <w:sz w:val="24"/>
                <w:szCs w:val="24"/>
                <w:color w:val="auto"/>
              </w:rPr>
            </w:pPr>
          </w:p>
        </w:tc>
      </w:tr>
      <w:tr>
        <w:trPr>
          <w:trHeight w:val="216"/>
        </w:trPr>
        <w:tc>
          <w:tcPr>
            <w:tcW w:w="4860" w:type="dxa"/>
            <w:vAlign w:val="bottom"/>
          </w:tcPr>
          <w:p>
            <w:pPr>
              <w:jc w:val="center"/>
              <w:ind w:right="1481"/>
              <w:spacing w:after="0"/>
              <w:rPr>
                <w:sz w:val="20"/>
                <w:szCs w:val="20"/>
                <w:color w:val="auto"/>
              </w:rPr>
            </w:pPr>
            <w:r>
              <w:rPr>
                <w:rFonts w:ascii="Arial" w:cs="Arial" w:eastAsia="Arial" w:hAnsi="Arial"/>
                <w:sz w:val="18"/>
                <w:szCs w:val="18"/>
                <w:b w:val="1"/>
                <w:bCs w:val="1"/>
                <w:color w:val="auto"/>
                <w:w w:val="89"/>
              </w:rPr>
              <w:t>10, rue de Vianden, L-2680</w:t>
            </w:r>
          </w:p>
        </w:tc>
        <w:tc>
          <w:tcPr>
            <w:tcW w:w="3640" w:type="dxa"/>
            <w:vAlign w:val="bottom"/>
          </w:tcPr>
          <w:p>
            <w:pPr>
              <w:spacing w:after="0"/>
              <w:rPr>
                <w:sz w:val="18"/>
                <w:szCs w:val="18"/>
                <w:color w:val="auto"/>
              </w:rPr>
            </w:pPr>
          </w:p>
        </w:tc>
      </w:tr>
      <w:tr>
        <w:trPr>
          <w:trHeight w:val="231"/>
        </w:trPr>
        <w:tc>
          <w:tcPr>
            <w:tcW w:w="4860" w:type="dxa"/>
            <w:vAlign w:val="bottom"/>
          </w:tcPr>
          <w:p>
            <w:pPr>
              <w:jc w:val="center"/>
              <w:ind w:right="1481"/>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3640" w:type="dxa"/>
            <w:vAlign w:val="bottom"/>
          </w:tcPr>
          <w:p>
            <w:pPr>
              <w:jc w:val="center"/>
              <w:ind w:left="1482"/>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4860" w:type="dxa"/>
            <w:vAlign w:val="bottom"/>
          </w:tcPr>
          <w:p>
            <w:pPr>
              <w:jc w:val="center"/>
              <w:ind w:right="150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640" w:type="dxa"/>
            <w:vAlign w:val="bottom"/>
          </w:tcPr>
          <w:p>
            <w:pPr>
              <w:jc w:val="center"/>
              <w:ind w:left="1502"/>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16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180"/>
          </w:cols>
          <w:pgMar w:left="240" w:top="230" w:right="479" w:bottom="1440" w:gutter="0" w:footer="0" w:header="0"/>
        </w:sectPr>
      </w:pPr>
    </w:p>
    <w:p>
      <w:pPr>
        <w:spacing w:after="0" w:line="12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an accelerated filer (as defined in Rule 12b-2 of the Exchange Act). Yes</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0" w:lineRule="exact"/>
        <w:rPr>
          <w:sz w:val="24"/>
          <w:szCs w:val="24"/>
          <w:color w:val="auto"/>
        </w:rPr>
      </w:pPr>
    </w:p>
    <w:p>
      <w:pPr>
        <w:sectPr>
          <w:pgSz w:w="11900" w:h="16838" w:orient="portrait"/>
          <w:cols w:equalWidth="0" w:num="3">
            <w:col w:w="8940" w:space="80"/>
            <w:col w:w="160" w:space="180"/>
            <w:col w:w="1820"/>
          </w:cols>
          <w:pgMar w:left="240" w:top="230" w:right="47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sectPr>
          <w:pgSz w:w="11900" w:h="16838" w:orient="portrait"/>
          <w:cols w:equalWidth="0" w:num="3">
            <w:col w:w="8740" w:space="80"/>
            <w:col w:w="160" w:space="180"/>
            <w:col w:w="2020"/>
          </w:cols>
          <w:pgMar w:left="240" w:top="230" w:right="479" w:bottom="1440" w:gutter="0" w:footer="0" w:header="0"/>
          <w:type w:val="continuous"/>
        </w:sectPr>
      </w:pPr>
    </w:p>
    <w:p>
      <w:pPr>
        <w:ind w:left="1960"/>
        <w:spacing w:after="0"/>
        <w:rPr>
          <w:sz w:val="20"/>
          <w:szCs w:val="20"/>
          <w:color w:val="auto"/>
        </w:rPr>
      </w:pPr>
      <w:r>
        <w:rPr>
          <w:rFonts w:ascii="Arial" w:cs="Arial" w:eastAsia="Arial" w:hAnsi="Arial"/>
          <w:sz w:val="15"/>
          <w:szCs w:val="15"/>
          <w:color w:val="auto"/>
        </w:rPr>
        <w:t>As of November 14, 2005, the registrant had 53,037,319.672 of the registrant’s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LLC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3"/>
              </w:rPr>
              <w:t>Page No.</w:t>
            </w:r>
          </w:p>
        </w:tc>
      </w:tr>
      <w:tr>
        <w:trPr>
          <w:trHeight w:val="95"/>
        </w:trPr>
        <w:tc>
          <w:tcPr>
            <w:tcW w:w="108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277"/>
        </w:trPr>
        <w:tc>
          <w:tcPr>
            <w:tcW w:w="278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12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90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Financial Statements (Unaudited)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620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8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690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w:t>
              </w:r>
            </w:hyperlink>
          </w:p>
        </w:tc>
        <w:tc>
          <w:tcPr>
            <w:tcW w:w="614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8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12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780" w:type="dxa"/>
            <w:vAlign w:val="bottom"/>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12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34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12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Controls and Procedures</w:t>
              </w:r>
            </w:hyperlink>
          </w:p>
        </w:tc>
        <w:tc>
          <w:tcPr>
            <w:tcW w:w="2520" w:type="dxa"/>
            <w:vAlign w:val="bottom"/>
            <w:tcBorders>
              <w:top w:val="single" w:sz="8" w:color="0000EE"/>
            </w:tcBorders>
            <w:gridSpan w:val="6"/>
          </w:tcPr>
          <w:p>
            <w:pPr>
              <w:spacing w:after="0"/>
              <w:rPr>
                <w:sz w:val="24"/>
                <w:szCs w:val="24"/>
                <w:color w:val="auto"/>
              </w:rPr>
            </w:pPr>
          </w:p>
        </w:tc>
        <w:tc>
          <w:tcPr>
            <w:tcW w:w="552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4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PART II OTHER INFORMATION</w:t>
              </w:r>
            </w:hyperlink>
          </w:p>
        </w:tc>
        <w:tc>
          <w:tcPr>
            <w:tcW w:w="842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12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Exhibits</w:t>
              </w:r>
            </w:hyperlink>
          </w:p>
        </w:tc>
        <w:tc>
          <w:tcPr>
            <w:tcW w:w="918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090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3"/>
        </w:trPr>
        <w:tc>
          <w:tcPr>
            <w:tcW w:w="10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gridSpan w:val="2"/>
          </w:tcPr>
          <w:p>
            <w:pPr>
              <w:ind w:left="300"/>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3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Financial Statements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89"/>
              </w:rPr>
              <w:t>MagnaChip Semiconductor LLC and Subsidiaries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87"/>
              </w:rPr>
              <w:t>(Unaudited; in thousands of US dollars, except unit data)</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0"/>
              </w:rPr>
              <w:t>Three months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4"/>
              </w:rPr>
              <w:t>Nine months</w:t>
            </w:r>
          </w:p>
        </w:tc>
        <w:tc>
          <w:tcPr>
            <w:tcW w:w="140" w:type="dxa"/>
            <w:vAlign w:val="bottom"/>
          </w:tcPr>
          <w:p>
            <w:pPr>
              <w:spacing w:after="0"/>
              <w:rPr>
                <w:sz w:val="24"/>
                <w:szCs w:val="2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8"/>
              </w:rPr>
              <w:t>Three months</w:t>
            </w:r>
          </w:p>
        </w:tc>
        <w:tc>
          <w:tcPr>
            <w:tcW w:w="14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68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October 2, 2005</w:t>
            </w:r>
          </w:p>
        </w:tc>
        <w:tc>
          <w:tcPr>
            <w:tcW w:w="2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October 2, 2005</w:t>
            </w: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2004</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00" w:type="dxa"/>
            <w:vAlign w:val="bottom"/>
            <w:gridSpan w:val="2"/>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rPr>
              <w:t>(Successor Company)</w:t>
            </w:r>
          </w:p>
        </w:tc>
        <w:tc>
          <w:tcPr>
            <w:tcW w:w="140" w:type="dxa"/>
            <w:vAlign w:val="bottom"/>
          </w:tcPr>
          <w:p>
            <w:pPr>
              <w:spacing w:after="0"/>
              <w:rPr>
                <w:sz w:val="21"/>
                <w:szCs w:val="21"/>
                <w:color w:val="auto"/>
              </w:rPr>
            </w:pPr>
          </w:p>
        </w:tc>
        <w:tc>
          <w:tcPr>
            <w:tcW w:w="28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(Predecessor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420"/>
              <w:spacing w:after="0"/>
              <w:rPr>
                <w:sz w:val="20"/>
                <w:szCs w:val="20"/>
                <w:color w:val="auto"/>
              </w:rPr>
            </w:pPr>
            <w:r>
              <w:rPr>
                <w:rFonts w:ascii="Arial" w:cs="Arial" w:eastAsia="Arial" w:hAnsi="Arial"/>
                <w:sz w:val="18"/>
                <w:szCs w:val="18"/>
                <w:color w:val="auto"/>
              </w:rPr>
              <w:t>Related party</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41,258</w:t>
            </w: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Others</w:t>
            </w:r>
          </w:p>
        </w:tc>
        <w:tc>
          <w:tcPr>
            <w:tcW w:w="2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243,089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692,502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236,150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243,089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692,502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277,408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90"/>
              </w:rPr>
              <w:t>Cost of sales</w:t>
            </w:r>
          </w:p>
        </w:tc>
        <w:tc>
          <w:tcPr>
            <w:tcW w:w="2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181,177</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544,234</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220,589</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61,912</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148,268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gridSpan w:val="2"/>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Selling, general and administrative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27,043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80,630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27,453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gridSpan w:val="2"/>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(30,245)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gridSpan w:val="2"/>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(14,944)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(42,836)</w:t>
            </w:r>
          </w:p>
        </w:tc>
        <w:tc>
          <w:tcPr>
            <w:tcW w:w="14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(4,876)</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gain (loss), 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(5,473)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(4,667)</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w w:val="96"/>
              </w:rPr>
              <w:t>Others</w:t>
            </w:r>
          </w:p>
        </w:tc>
        <w:tc>
          <w:tcPr>
            <w:tcW w:w="2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(20,417)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(47,503)</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(4,825)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gridSpan w:val="2"/>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(13,714)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(77,748)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gridSpan w:val="2"/>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expenses (benefits)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gridSpan w:val="2"/>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(13,242)</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(78,004)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40" w:type="dxa"/>
            <w:vAlign w:val="bottom"/>
            <w:gridSpan w:val="2"/>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Non cash dividends to preferred unitholders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gridSpan w:val="2"/>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(15,748)</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(85,383)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40" w:type="dxa"/>
            <w:vAlign w:val="bottom"/>
            <w:gridSpan w:val="2"/>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units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Basic and diluted</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(0.30)</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40" w:type="dxa"/>
            <w:vAlign w:val="bottom"/>
            <w:gridSpan w:val="2"/>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units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Basic and diluted</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53,037,320</w:t>
            </w: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52,848,430</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-1390650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-1390650</wp:posOffset>
            </wp:positionV>
            <wp:extent cx="2159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-1390650</wp:posOffset>
            </wp:positionV>
            <wp:extent cx="3873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-1390650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-1390650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-1390650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-1390650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-1390650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-1390650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-1390650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-1390650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-1390650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-807720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-807720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-807720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-807720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-807720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-807720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-370205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-370205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-370205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-370205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-370205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-370205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October 2, 2005</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1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71,027</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5,163</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82,963</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7,530</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290,773</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498,308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Intangibles, net</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210,163</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211,987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1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1,053,070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83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1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23,083</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38,384</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11,118</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162,745</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52,166</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973,823</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w w:val="98"/>
              </w:rPr>
              <w:t>Series A redeemable convertible preferred units; 60,000 units authorized; 50,091 units issued and 0 units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640"/>
              <w:spacing w:after="0"/>
              <w:rPr>
                <w:sz w:val="20"/>
                <w:szCs w:val="20"/>
                <w:color w:val="auto"/>
              </w:rPr>
            </w:pPr>
            <w:r>
              <w:rPr>
                <w:rFonts w:ascii="Arial" w:cs="Arial" w:eastAsia="Arial" w:hAnsi="Arial"/>
                <w:sz w:val="18"/>
                <w:szCs w:val="18"/>
                <w:color w:val="auto"/>
              </w:rPr>
              <w:t>outstanding at October 2, 2005 and December 31, 2004</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43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Series B redeemable convertible preferred units; 550,000 units authorized; 450,693 units issued and 93,997</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units outstanding at October 2, 2005 and December 31, 2004</w:t>
            </w:r>
          </w:p>
        </w:tc>
        <w:tc>
          <w:tcPr>
            <w:tcW w:w="2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103,913</w:t>
            </w: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103,913</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w w:val="94"/>
              </w:rPr>
              <w:t>Common units; 65,000,000 units authorized; 53,037,320 units and 52,533,003 units issued and outstanding at</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640"/>
              <w:spacing w:after="0"/>
              <w:rPr>
                <w:sz w:val="20"/>
                <w:szCs w:val="20"/>
                <w:color w:val="auto"/>
              </w:rPr>
            </w:pPr>
            <w:r>
              <w:rPr>
                <w:rFonts w:ascii="Arial" w:cs="Arial" w:eastAsia="Arial" w:hAnsi="Arial"/>
                <w:sz w:val="18"/>
                <w:szCs w:val="18"/>
                <w:color w:val="auto"/>
              </w:rPr>
              <w:t>October 2, 2005 and December 31, 2004, respectively</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53,037</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430" w:type="dxa"/>
            <w:vAlign w:val="bottom"/>
            <w:gridSpan w:val="2"/>
          </w:tcPr>
          <w:p>
            <w:pPr>
              <w:jc w:val="right"/>
              <w:ind w:right="560"/>
              <w:spacing w:after="0"/>
              <w:rPr>
                <w:sz w:val="20"/>
                <w:szCs w:val="20"/>
                <w:color w:val="auto"/>
              </w:rPr>
            </w:pPr>
            <w:r>
              <w:rPr>
                <w:rFonts w:ascii="Arial" w:cs="Arial" w:eastAsia="Arial" w:hAnsi="Arial"/>
                <w:sz w:val="18"/>
                <w:szCs w:val="18"/>
                <w:color w:val="auto"/>
              </w:rPr>
              <w:t>(104,649)</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unitholders’ equity (deficit)</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(24,666)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1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1,053,070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-4925695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-4925695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-4925695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-4925695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-4925695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-4925695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26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89"/>
              </w:rPr>
              <w:t>Nine months ended</w:t>
            </w:r>
          </w:p>
        </w:tc>
        <w:tc>
          <w:tcPr>
            <w:tcW w:w="10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8"/>
              </w:rPr>
              <w:t>October 2, 2005</w:t>
            </w:r>
          </w:p>
        </w:tc>
        <w:tc>
          <w:tcPr>
            <w:tcW w:w="100" w:type="dxa"/>
            <w:vAlign w:val="bottom"/>
          </w:tcPr>
          <w:p>
            <w:pPr>
              <w:spacing w:after="0"/>
              <w:rPr>
                <w:sz w:val="15"/>
                <w:szCs w:val="15"/>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260" w:type="dxa"/>
            <w:vAlign w:val="bottom"/>
            <w:tcBorders>
              <w:bottom w:val="single" w:sz="8" w:color="auto"/>
            </w:tcBorders>
            <w:gridSpan w:val="2"/>
          </w:tcPr>
          <w:p>
            <w:pPr>
              <w:spacing w:after="0"/>
              <w:rPr>
                <w:sz w:val="8"/>
                <w:szCs w:val="8"/>
                <w:color w:val="auto"/>
              </w:rPr>
            </w:pPr>
          </w:p>
        </w:tc>
        <w:tc>
          <w:tcPr>
            <w:tcW w:w="1000" w:type="dxa"/>
            <w:vAlign w:val="bottom"/>
          </w:tcPr>
          <w:p>
            <w:pPr>
              <w:spacing w:after="0"/>
              <w:rPr>
                <w:sz w:val="8"/>
                <w:szCs w:val="8"/>
                <w:color w:val="auto"/>
              </w:rPr>
            </w:pPr>
          </w:p>
        </w:tc>
        <w:tc>
          <w:tcPr>
            <w:tcW w:w="13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tcPr>
          <w:p>
            <w:pPr>
              <w:spacing w:after="0"/>
              <w:rPr>
                <w:sz w:val="21"/>
                <w:szCs w:val="21"/>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(Successor Company)</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w w:val="88"/>
              </w:rPr>
              <w:t>(Predecessor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940"/>
              <w:spacing w:after="0"/>
              <w:rPr>
                <w:sz w:val="20"/>
                <w:szCs w:val="20"/>
                <w:color w:val="auto"/>
              </w:rPr>
            </w:pPr>
            <w:r>
              <w:rPr>
                <w:rFonts w:ascii="Arial" w:cs="Arial" w:eastAsia="Arial" w:hAnsi="Arial"/>
                <w:sz w:val="18"/>
                <w:szCs w:val="18"/>
                <w:color w:val="auto"/>
              </w:rPr>
              <w:t>(78,004)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154,748</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foreign currency translation, net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(Gain) on disposal of property, plant and equipment, net</w:t>
            </w:r>
          </w:p>
        </w:tc>
        <w:tc>
          <w:tcPr>
            <w:tcW w:w="140" w:type="dxa"/>
            <w:vAlign w:val="bottom"/>
          </w:tcPr>
          <w:p>
            <w:pPr>
              <w:spacing w:after="0"/>
              <w:rPr>
                <w:sz w:val="18"/>
                <w:szCs w:val="18"/>
                <w:color w:val="auto"/>
              </w:rPr>
            </w:pPr>
          </w:p>
        </w:tc>
        <w:tc>
          <w:tcPr>
            <w:tcW w:w="2120" w:type="dxa"/>
            <w:vAlign w:val="bottom"/>
            <w:gridSpan w:val="2"/>
          </w:tcPr>
          <w:p>
            <w:pPr>
              <w:jc w:val="right"/>
              <w:ind w:right="94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charges on property, plant and equipment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Stock compensation</w:t>
            </w:r>
          </w:p>
        </w:tc>
        <w:tc>
          <w:tcPr>
            <w:tcW w:w="140" w:type="dxa"/>
            <w:vAlign w:val="bottom"/>
          </w:tcPr>
          <w:p>
            <w:pPr>
              <w:spacing w:after="0"/>
              <w:rPr>
                <w:sz w:val="18"/>
                <w:szCs w:val="18"/>
                <w:color w:val="auto"/>
              </w:rPr>
            </w:pPr>
          </w:p>
        </w:tc>
        <w:tc>
          <w:tcPr>
            <w:tcW w:w="21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(31,257)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2,637</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65,323</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12,233</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(76,377)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4,564</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2120" w:type="dxa"/>
            <w:vAlign w:val="bottom"/>
            <w:gridSpan w:val="2"/>
          </w:tcPr>
          <w:p>
            <w:pPr>
              <w:jc w:val="right"/>
              <w:ind w:right="94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(10,664)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Others, net</w:t>
            </w:r>
          </w:p>
        </w:tc>
        <w:tc>
          <w:tcPr>
            <w:tcW w:w="140" w:type="dxa"/>
            <w:vAlign w:val="bottom"/>
          </w:tcPr>
          <w:p>
            <w:pPr>
              <w:spacing w:after="0"/>
              <w:rPr>
                <w:sz w:val="19"/>
                <w:szCs w:val="19"/>
                <w:color w:val="auto"/>
              </w:rPr>
            </w:pPr>
          </w:p>
        </w:tc>
        <w:tc>
          <w:tcPr>
            <w:tcW w:w="2120" w:type="dxa"/>
            <w:vAlign w:val="bottom"/>
            <w:gridSpan w:val="2"/>
          </w:tcPr>
          <w:p>
            <w:pPr>
              <w:jc w:val="right"/>
              <w:ind w:right="940"/>
              <w:spacing w:after="0"/>
              <w:rPr>
                <w:sz w:val="20"/>
                <w:szCs w:val="20"/>
                <w:color w:val="auto"/>
              </w:rPr>
            </w:pPr>
            <w:r>
              <w:rPr>
                <w:rFonts w:ascii="Arial" w:cs="Arial" w:eastAsia="Arial" w:hAnsi="Arial"/>
                <w:sz w:val="18"/>
                <w:szCs w:val="18"/>
                <w:color w:val="auto"/>
              </w:rPr>
              <w:t>(13,918)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57,206</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Purchase of plant, property and equipment</w:t>
            </w:r>
          </w:p>
        </w:tc>
        <w:tc>
          <w:tcPr>
            <w:tcW w:w="140" w:type="dxa"/>
            <w:vAlign w:val="bottom"/>
          </w:tcPr>
          <w:p>
            <w:pPr>
              <w:spacing w:after="0"/>
              <w:rPr>
                <w:sz w:val="18"/>
                <w:szCs w:val="18"/>
                <w:color w:val="auto"/>
              </w:rPr>
            </w:pPr>
          </w:p>
        </w:tc>
        <w:tc>
          <w:tcPr>
            <w:tcW w:w="2120" w:type="dxa"/>
            <w:vAlign w:val="bottom"/>
            <w:gridSpan w:val="2"/>
          </w:tcPr>
          <w:p>
            <w:pPr>
              <w:jc w:val="right"/>
              <w:ind w:right="940"/>
              <w:spacing w:after="0"/>
              <w:rPr>
                <w:sz w:val="20"/>
                <w:szCs w:val="20"/>
                <w:color w:val="auto"/>
              </w:rPr>
            </w:pPr>
            <w:r>
              <w:rPr>
                <w:rFonts w:ascii="Arial" w:cs="Arial" w:eastAsia="Arial" w:hAnsi="Arial"/>
                <w:sz w:val="18"/>
                <w:szCs w:val="18"/>
                <w:color w:val="auto"/>
              </w:rPr>
              <w:t>(39,839)</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(84,595)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intangibles, net</w:t>
            </w: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Acquisition of business</w:t>
            </w:r>
          </w:p>
        </w:tc>
        <w:tc>
          <w:tcPr>
            <w:tcW w:w="140" w:type="dxa"/>
            <w:vAlign w:val="bottom"/>
          </w:tcPr>
          <w:p>
            <w:pPr>
              <w:spacing w:after="0"/>
              <w:rPr>
                <w:sz w:val="18"/>
                <w:szCs w:val="18"/>
                <w:color w:val="auto"/>
              </w:rPr>
            </w:pPr>
          </w:p>
        </w:tc>
        <w:tc>
          <w:tcPr>
            <w:tcW w:w="2120" w:type="dxa"/>
            <w:vAlign w:val="bottom"/>
            <w:gridSpan w:val="2"/>
          </w:tcPr>
          <w:p>
            <w:pPr>
              <w:jc w:val="right"/>
              <w:ind w:right="940"/>
              <w:spacing w:after="0"/>
              <w:rPr>
                <w:sz w:val="20"/>
                <w:szCs w:val="20"/>
                <w:color w:val="auto"/>
              </w:rPr>
            </w:pPr>
            <w:r>
              <w:rPr>
                <w:rFonts w:ascii="Arial" w:cs="Arial" w:eastAsia="Arial" w:hAnsi="Arial"/>
                <w:sz w:val="18"/>
                <w:szCs w:val="18"/>
                <w:color w:val="auto"/>
              </w:rPr>
              <w:t>(16,451)</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Decrease in restricted cash</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Others,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(46,908)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Repayment of short-term borrowings</w:t>
            </w:r>
          </w:p>
        </w:tc>
        <w:tc>
          <w:tcPr>
            <w:tcW w:w="140" w:type="dxa"/>
            <w:vAlign w:val="bottom"/>
          </w:tcPr>
          <w:p>
            <w:pPr>
              <w:spacing w:after="0"/>
              <w:rPr>
                <w:sz w:val="18"/>
                <w:szCs w:val="18"/>
                <w:color w:val="auto"/>
              </w:rPr>
            </w:pPr>
          </w:p>
        </w:tc>
        <w:tc>
          <w:tcPr>
            <w:tcW w:w="2120" w:type="dxa"/>
            <w:vAlign w:val="bottom"/>
            <w:gridSpan w:val="2"/>
          </w:tcPr>
          <w:p>
            <w:pPr>
              <w:jc w:val="right"/>
              <w:ind w:right="940"/>
              <w:spacing w:after="0"/>
              <w:rPr>
                <w:sz w:val="20"/>
                <w:szCs w:val="20"/>
                <w:color w:val="auto"/>
              </w:rPr>
            </w:pPr>
            <w:r>
              <w:rPr>
                <w:rFonts w:ascii="Arial" w:cs="Arial" w:eastAsia="Arial" w:hAnsi="Arial"/>
                <w:sz w:val="18"/>
                <w:szCs w:val="18"/>
                <w:color w:val="auto"/>
              </w:rPr>
              <w:t>(12,400)</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borrowings</w:t>
            </w: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10,578</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(226,840)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Pr>
          <w:p>
            <w:pPr>
              <w:spacing w:after="0"/>
              <w:rPr>
                <w:sz w:val="19"/>
                <w:szCs w:val="19"/>
                <w:color w:val="auto"/>
              </w:rPr>
            </w:pPr>
          </w:p>
        </w:tc>
        <w:tc>
          <w:tcPr>
            <w:tcW w:w="2120" w:type="dxa"/>
            <w:vAlign w:val="bottom"/>
            <w:gridSpan w:val="2"/>
          </w:tcPr>
          <w:p>
            <w:pPr>
              <w:jc w:val="right"/>
              <w:ind w:right="94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58,396</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 from changes of consolidated subsidiaries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71,027</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 xml:space="preserve">The accompanying unaudited interim consolidated financial statements of MagnaChip Semiconductor LLC and its subsidiaries (successor company) (the “Company”) have been prepared in accordance with Accounting Principle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generally accepted accounting principles in the United States of America for complete financial statements. These financial statements should be read in conjunction with the consolidated financial statements and notes thereto for the three-month period ended December 31, 2004, and for the nine-month period ended September 30, 2004, which are included in our S-4 Registration Statement that was filed on June 21, 2005, and the amendments thereto, with the Securities and Exchange Commission. In the opinion of the Company’s management, the unaudited interim consolidated financial statements include all normal recurring adjustments necessary to present fairly the information required to be set forth therein. The results of operations for the three-month and nine-month periods ended October 2, 2005 are not necessarily indicative of the results to be expected for a full year or for any other periods.</w:t>
      </w:r>
    </w:p>
    <w:p>
      <w:pPr>
        <w:spacing w:after="0" w:line="10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periods as of and prior to September 30, 2004, the accompanying unaudited interim consolidated financial statements are presented on a carve-out basis reflecting the assets, liabilities, revenues, expenses and changes in owner’s equity and cash flows that were directly attributable to the non-memory business (the “Business”) of Hynix Semiconductor, Inc., which was purchased on October 6, 2004 (the “Acquisition”). The Company has used October 1, 2004, as the effective date of the Acquisition since the financial results from October 1, 2004 onwards accrue to its benefit.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October 2, 2005 and December 31, 2004 consist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4660" w:type="dxa"/>
            <w:vAlign w:val="bottom"/>
            <w:gridSpan w:val="4"/>
          </w:tcPr>
          <w:p>
            <w:pPr>
              <w:ind w:left="3280"/>
              <w:spacing w:after="0"/>
              <w:rPr>
                <w:sz w:val="20"/>
                <w:szCs w:val="20"/>
                <w:color w:val="auto"/>
              </w:rPr>
            </w:pPr>
            <w:r>
              <w:rPr>
                <w:rFonts w:ascii="Arial" w:cs="Arial" w:eastAsia="Arial" w:hAnsi="Arial"/>
                <w:sz w:val="14"/>
                <w:szCs w:val="14"/>
                <w:b w:val="1"/>
                <w:bCs w:val="1"/>
                <w:color w:val="auto"/>
              </w:rPr>
              <w:t>October 2, 2005</w:t>
            </w:r>
          </w:p>
        </w:tc>
        <w:tc>
          <w:tcPr>
            <w:tcW w:w="1580" w:type="dxa"/>
            <w:vAlign w:val="bottom"/>
            <w:gridSpan w:val="5"/>
          </w:tcPr>
          <w:p>
            <w:pPr>
              <w:ind w:left="400"/>
              <w:spacing w:after="0"/>
              <w:rPr>
                <w:sz w:val="20"/>
                <w:szCs w:val="20"/>
                <w:color w:val="auto"/>
              </w:rPr>
            </w:pPr>
            <w:r>
              <w:rPr>
                <w:rFonts w:ascii="Arial" w:cs="Arial" w:eastAsia="Arial" w:hAnsi="Arial"/>
                <w:sz w:val="14"/>
                <w:szCs w:val="14"/>
                <w:b w:val="1"/>
                <w:bCs w:val="1"/>
                <w:color w:val="auto"/>
                <w:w w:val="91"/>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0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19,821</w:t>
            </w:r>
          </w:p>
        </w:tc>
        <w:tc>
          <w:tcPr>
            <w:tcW w:w="4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Semi-finished goods and work-in-progress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64,569</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Materials in-transit</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4,562</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(10,893)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40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82,963</w:t>
            </w:r>
          </w:p>
        </w:tc>
        <w:tc>
          <w:tcPr>
            <w:tcW w:w="4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280" w:type="dxa"/>
            <w:vAlign w:val="bottom"/>
            <w:vMerge w:val="restart"/>
          </w:tcPr>
          <w:p>
            <w:pPr>
              <w:jc w:val="right"/>
              <w:ind w:right="205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-325755</wp:posOffset>
            </wp:positionV>
            <wp:extent cx="6127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277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Product Warranties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Accrued warranty liabilities as of October 2, 2005 and December 31, 2004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220" w:type="dxa"/>
            <w:vAlign w:val="bottom"/>
            <w:gridSpan w:val="4"/>
          </w:tcPr>
          <w:p>
            <w:pPr>
              <w:ind w:left="1800"/>
              <w:spacing w:after="0"/>
              <w:rPr>
                <w:sz w:val="20"/>
                <w:szCs w:val="20"/>
                <w:color w:val="auto"/>
              </w:rPr>
            </w:pPr>
            <w:r>
              <w:rPr>
                <w:rFonts w:ascii="Arial" w:cs="Arial" w:eastAsia="Arial" w:hAnsi="Arial"/>
                <w:sz w:val="14"/>
                <w:szCs w:val="14"/>
                <w:b w:val="1"/>
                <w:bCs w:val="1"/>
                <w:color w:val="auto"/>
              </w:rPr>
              <w:t>October 2, 2005</w:t>
            </w:r>
          </w:p>
        </w:tc>
        <w:tc>
          <w:tcPr>
            <w:tcW w:w="1620" w:type="dxa"/>
            <w:vAlign w:val="bottom"/>
            <w:gridSpan w:val="5"/>
          </w:tcPr>
          <w:p>
            <w:pPr>
              <w:ind w:left="440"/>
              <w:spacing w:after="0"/>
              <w:rPr>
                <w:sz w:val="20"/>
                <w:szCs w:val="20"/>
                <w:color w:val="auto"/>
              </w:rPr>
            </w:pPr>
            <w:r>
              <w:rPr>
                <w:rFonts w:ascii="Arial" w:cs="Arial" w:eastAsia="Arial" w:hAnsi="Arial"/>
                <w:sz w:val="14"/>
                <w:szCs w:val="14"/>
                <w:b w:val="1"/>
                <w:bCs w:val="1"/>
                <w:color w:val="auto"/>
                <w:w w:val="91"/>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2005 and October 1, 2004</w:t>
            </w:r>
          </w:p>
        </w:tc>
        <w:tc>
          <w:tcPr>
            <w:tcW w:w="19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5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Accrued (reduced) warranty reserve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(1,705)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2, 2005 and December 31, 2004</w:t>
            </w:r>
          </w:p>
        </w:tc>
        <w:tc>
          <w:tcPr>
            <w:tcW w:w="19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5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6127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277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Short-term and Long-term Borrowings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Details of short-term borrowings as of October 2, 2005 and December 31, 2004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5"/>
          </w:tcPr>
          <w:p>
            <w:pPr>
              <w:ind w:left="200"/>
              <w:spacing w:after="0"/>
              <w:rPr>
                <w:sz w:val="20"/>
                <w:szCs w:val="20"/>
                <w:color w:val="auto"/>
              </w:rPr>
            </w:pPr>
            <w:r>
              <w:rPr>
                <w:rFonts w:ascii="Arial" w:cs="Arial" w:eastAsia="Arial" w:hAnsi="Arial"/>
                <w:sz w:val="14"/>
                <w:szCs w:val="14"/>
                <w:b w:val="1"/>
                <w:bCs w:val="1"/>
                <w:color w:val="auto"/>
              </w:rPr>
              <w:t>October 2, 2005</w:t>
            </w:r>
          </w:p>
        </w:tc>
        <w:tc>
          <w:tcPr>
            <w:tcW w:w="1540" w:type="dxa"/>
            <w:vAlign w:val="bottom"/>
            <w:gridSpan w:val="5"/>
          </w:tcPr>
          <w:p>
            <w:pPr>
              <w:ind w:left="400"/>
              <w:spacing w:after="0"/>
              <w:rPr>
                <w:sz w:val="20"/>
                <w:szCs w:val="20"/>
                <w:color w:val="auto"/>
              </w:rPr>
            </w:pPr>
            <w:r>
              <w:rPr>
                <w:rFonts w:ascii="Arial" w:cs="Arial" w:eastAsia="Arial" w:hAnsi="Arial"/>
                <w:sz w:val="14"/>
                <w:szCs w:val="14"/>
                <w:b w:val="1"/>
                <w:bCs w:val="1"/>
                <w:color w:val="auto"/>
                <w:w w:val="88"/>
              </w:rPr>
              <w:t>December 31, 2004</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Annual interest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Amount of</w:t>
            </w: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Annual interest</w:t>
            </w:r>
          </w:p>
        </w:tc>
        <w:tc>
          <w:tcPr>
            <w:tcW w:w="6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rate (%)</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principal</w:t>
            </w: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rate (%)</w:t>
            </w:r>
          </w:p>
        </w:tc>
        <w:tc>
          <w:tcPr>
            <w:tcW w:w="6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principal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Banker’s Usance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 ~ 4.95</w:t>
            </w:r>
          </w:p>
        </w:tc>
        <w:tc>
          <w:tcPr>
            <w:tcW w:w="940" w:type="dxa"/>
            <w:vAlign w:val="bottom"/>
            <w:gridSpan w:val="3"/>
            <w:shd w:val="clear" w:color="auto" w:fill="CCEEFF"/>
          </w:tcPr>
          <w:p>
            <w:pPr>
              <w:jc w:val="center"/>
              <w:ind w:left="232"/>
              <w:spacing w:after="0"/>
              <w:rPr>
                <w:sz w:val="20"/>
                <w:szCs w:val="20"/>
                <w:color w:val="auto"/>
              </w:rPr>
            </w:pPr>
            <w:r>
              <w:rPr>
                <w:rFonts w:ascii="Arial" w:cs="Arial" w:eastAsia="Arial" w:hAnsi="Arial"/>
                <w:sz w:val="18"/>
                <w:szCs w:val="18"/>
                <w:color w:val="auto"/>
                <w:w w:val="88"/>
              </w:rPr>
              <w:t>$ 11,118</w:t>
            </w: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1.05 ~ 1.55</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300" w:type="dxa"/>
            <w:vAlign w:val="bottom"/>
            <w:gridSpan w:val="5"/>
          </w:tcPr>
          <w:p>
            <w:pPr>
              <w:spacing w:after="0"/>
              <w:rPr>
                <w:sz w:val="20"/>
                <w:szCs w:val="20"/>
                <w:color w:val="auto"/>
              </w:rPr>
            </w:pPr>
            <w:r>
              <w:rPr>
                <w:rFonts w:ascii="Arial" w:cs="Arial" w:eastAsia="Arial" w:hAnsi="Arial"/>
                <w:sz w:val="18"/>
                <w:szCs w:val="18"/>
                <w:color w:val="auto"/>
              </w:rPr>
              <w:t>Details of long-term borrowings as of October 2, 2005 and December 31, 2004 are presented as below:</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86"/>
              </w:rPr>
              <w:t>Annual interest</w:t>
            </w: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18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w w:val="95"/>
              </w:rPr>
              <w:t>Maturity</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rate (%)</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Borders>
              <w:bottom w:val="single" w:sz="8" w:color="auto"/>
            </w:tcBorders>
            <w:gridSpan w:val="4"/>
          </w:tcPr>
          <w:p>
            <w:pPr>
              <w:spacing w:after="0"/>
              <w:rPr>
                <w:sz w:val="8"/>
                <w:szCs w:val="8"/>
                <w:color w:val="auto"/>
              </w:rPr>
            </w:pPr>
          </w:p>
        </w:tc>
        <w:tc>
          <w:tcPr>
            <w:tcW w:w="680" w:type="dxa"/>
            <w:vAlign w:val="bottom"/>
            <w:gridSpan w:val="2"/>
          </w:tcPr>
          <w:p>
            <w:pPr>
              <w:spacing w:after="0"/>
              <w:rPr>
                <w:sz w:val="8"/>
                <w:szCs w:val="8"/>
                <w:color w:val="auto"/>
              </w:rPr>
            </w:pPr>
          </w:p>
        </w:tc>
        <w:tc>
          <w:tcPr>
            <w:tcW w:w="68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Floating Rate Second Priority Senior Secured Notes</w:t>
            </w:r>
          </w:p>
        </w:tc>
        <w:tc>
          <w:tcPr>
            <w:tcW w:w="118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8"/>
                <w:szCs w:val="18"/>
                <w:color w:val="auto"/>
              </w:rPr>
            </w:pPr>
          </w:p>
        </w:tc>
        <w:tc>
          <w:tcPr>
            <w:tcW w:w="2420" w:type="dxa"/>
            <w:vAlign w:val="bottom"/>
            <w:gridSpan w:val="6"/>
            <w:shd w:val="clear" w:color="auto" w:fill="CCEEFF"/>
          </w:tcPr>
          <w:p>
            <w:pPr>
              <w:jc w:val="center"/>
              <w:ind w:right="660"/>
              <w:spacing w:after="0"/>
              <w:rPr>
                <w:sz w:val="20"/>
                <w:szCs w:val="20"/>
                <w:color w:val="auto"/>
              </w:rPr>
            </w:pPr>
            <w:r>
              <w:rPr>
                <w:rFonts w:ascii="Arial" w:cs="Arial" w:eastAsia="Arial" w:hAnsi="Arial"/>
                <w:sz w:val="18"/>
                <w:szCs w:val="18"/>
                <w:color w:val="auto"/>
                <w:w w:val="90"/>
              </w:rPr>
              <w:t>3 month LIBOR + 3.250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line="217" w:lineRule="exact"/>
              <w:rPr>
                <w:sz w:val="20"/>
                <w:szCs w:val="20"/>
                <w:color w:val="auto"/>
              </w:rPr>
            </w:pPr>
            <w:r>
              <w:rPr>
                <w:rFonts w:ascii="Arial" w:cs="Arial" w:eastAsia="Arial" w:hAnsi="Arial"/>
                <w:sz w:val="18"/>
                <w:szCs w:val="18"/>
                <w:color w:val="auto"/>
              </w:rPr>
              <w:t>6</w:t>
            </w:r>
            <w:r>
              <w:rPr>
                <w:rFonts w:ascii="Arial" w:cs="Arial" w:eastAsia="Arial" w:hAnsi="Arial"/>
                <w:sz w:val="22"/>
                <w:szCs w:val="22"/>
                <w:color w:val="auto"/>
                <w:vertAlign w:val="superscript"/>
              </w:rPr>
              <w:t>7/8</w:t>
            </w:r>
            <w:r>
              <w:rPr>
                <w:rFonts w:ascii="Arial" w:cs="Arial" w:eastAsia="Arial" w:hAnsi="Arial"/>
                <w:sz w:val="18"/>
                <w:szCs w:val="18"/>
                <w:color w:val="auto"/>
              </w:rPr>
              <w:t>% Second Priority Senior Secured Notes</w:t>
            </w:r>
          </w:p>
        </w:tc>
        <w:tc>
          <w:tcPr>
            <w:tcW w:w="1180" w:type="dxa"/>
            <w:vAlign w:val="bottom"/>
            <w:gridSpan w:val="3"/>
          </w:tcPr>
          <w:p>
            <w:pPr>
              <w:jc w:val="right"/>
              <w:ind w:right="572"/>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w w:val="79"/>
              </w:rPr>
              <w:t>6.875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8% Senior Subordinated Notes</w:t>
            </w:r>
          </w:p>
        </w:tc>
        <w:tc>
          <w:tcPr>
            <w:tcW w:w="118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8.000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 xml:space="preserve">Interest Rate Swap: </w:t>
      </w:r>
      <w:r>
        <w:rPr>
          <w:rFonts w:ascii="Arial" w:cs="Arial" w:eastAsia="Arial" w:hAnsi="Arial"/>
          <w:sz w:val="18"/>
          <w:szCs w:val="18"/>
          <w:color w:val="auto"/>
        </w:rPr>
        <w:t>Effective June 27, 2005, the Company entered into an interest rate swap agreement (the “Swap”) that converted the variable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3-month London Inter-bank Offering Rate (“LIBOR”) plus 3.25% to fixed interest rate on the Company’s Floating Rate Second Priority Senior Secured Notes (the “Notes”). This Swap will be in effect until 15 June, 2008.</w:t>
      </w:r>
    </w:p>
    <w:p>
      <w:pPr>
        <w:spacing w:after="0" w:line="1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The Swap qualifies as a cash flow hedge under Statements of Financial Accounting Standards (“SFAS”) No. 133,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 as amended. The Company is utilizing the “hypothetical derivative method” to measure the effectiveness by comparing the changes in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actual derivative versus the change in fair value of the “hypothetical derivative”. Under this methodology, the actual swap was effective when compared to the hypothetical hedge.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nine-month periods ended October 2, 2005, the Company recorded changes in the fair value of the Swap amounting to $2,962,033 and</w:t>
      </w:r>
    </w:p>
    <w:p>
      <w:pPr>
        <w:spacing w:after="0" w:line="38" w:lineRule="exact"/>
        <w:rPr>
          <w:sz w:val="20"/>
          <w:szCs w:val="20"/>
          <w:color w:val="auto"/>
        </w:rPr>
      </w:pPr>
    </w:p>
    <w:p>
      <w:pPr>
        <w:ind w:right="340"/>
        <w:spacing w:after="0" w:line="361" w:lineRule="auto"/>
        <w:rPr>
          <w:sz w:val="20"/>
          <w:szCs w:val="20"/>
          <w:color w:val="auto"/>
        </w:rPr>
      </w:pPr>
      <w:r>
        <w:rPr>
          <w:rFonts w:ascii="Arial" w:cs="Arial" w:eastAsia="Arial" w:hAnsi="Arial"/>
          <w:sz w:val="15"/>
          <w:szCs w:val="15"/>
          <w:color w:val="auto"/>
        </w:rPr>
        <w:t>$3,045,399, respectively, under other comprehensive income in the accompanying consolidated financial statements. In addition, during the same periods, the Company recognized additional interest expense of $435,333 and $475,000, respectively, which represent the differences between fixed and variable rate.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Severance Benefits</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Changes in accrued severance benefits for the three and nine-month periods ended October 2, 2005 (successor company) and for the three and nine-month periods ended September 30, 2004 (predecessor company)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Three months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4"/>
                <w:szCs w:val="14"/>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0"/>
              </w:rPr>
              <w:t>Three months</w:t>
            </w:r>
          </w:p>
        </w:tc>
        <w:tc>
          <w:tcPr>
            <w:tcW w:w="2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109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October 2,</w:t>
            </w:r>
          </w:p>
        </w:tc>
        <w:tc>
          <w:tcPr>
            <w:tcW w:w="20" w:type="dxa"/>
            <w:vAlign w:val="bottom"/>
          </w:tcPr>
          <w:p>
            <w:pPr>
              <w:spacing w:after="0"/>
              <w:rPr>
                <w:sz w:val="12"/>
                <w:szCs w:val="12"/>
                <w:color w:val="auto"/>
              </w:rPr>
            </w:pPr>
          </w:p>
        </w:tc>
        <w:tc>
          <w:tcPr>
            <w:tcW w:w="1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ended October 2,</w:t>
            </w:r>
          </w:p>
        </w:tc>
        <w:tc>
          <w:tcPr>
            <w:tcW w:w="1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September 30,</w:t>
            </w:r>
          </w:p>
        </w:tc>
        <w:tc>
          <w:tcPr>
            <w:tcW w:w="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ended 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7"/>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1030" w:type="dxa"/>
            <w:vAlign w:val="bottom"/>
          </w:tcPr>
          <w:p>
            <w:pPr>
              <w:jc w:val="right"/>
              <w:ind w:right="39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gridSpan w:val="2"/>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720" w:type="dxa"/>
            <w:vAlign w:val="bottom"/>
            <w:gridSpan w:val="2"/>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103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20" w:type="dxa"/>
            <w:vAlign w:val="bottom"/>
            <w:gridSpan w:val="7"/>
          </w:tcPr>
          <w:p>
            <w:pPr>
              <w:ind w:left="620"/>
              <w:spacing w:after="0"/>
              <w:rPr>
                <w:sz w:val="20"/>
                <w:szCs w:val="20"/>
                <w:color w:val="auto"/>
              </w:rPr>
            </w:pPr>
            <w:r>
              <w:rPr>
                <w:rFonts w:ascii="Arial" w:cs="Arial" w:eastAsia="Arial" w:hAnsi="Arial"/>
                <w:sz w:val="14"/>
                <w:szCs w:val="14"/>
                <w:b w:val="1"/>
                <w:bCs w:val="1"/>
                <w:color w:val="auto"/>
              </w:rPr>
              <w:t>(Successor Company)</w:t>
            </w:r>
          </w:p>
        </w:tc>
        <w:tc>
          <w:tcPr>
            <w:tcW w:w="140" w:type="dxa"/>
            <w:vAlign w:val="bottom"/>
          </w:tcPr>
          <w:p>
            <w:pPr>
              <w:spacing w:after="0"/>
              <w:rPr>
                <w:sz w:val="21"/>
                <w:szCs w:val="21"/>
                <w:color w:val="auto"/>
              </w:rPr>
            </w:pPr>
          </w:p>
        </w:tc>
        <w:tc>
          <w:tcPr>
            <w:tcW w:w="30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(Predecessor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53,870</w:t>
            </w:r>
          </w:p>
        </w:tc>
        <w:tc>
          <w:tcPr>
            <w:tcW w:w="7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52,925</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50,793</w:t>
            </w:r>
          </w:p>
        </w:tc>
        <w:tc>
          <w:tcPr>
            <w:tcW w:w="700" w:type="dxa"/>
            <w:vAlign w:val="bottom"/>
            <w:shd w:val="clear" w:color="auto" w:fill="CCEEFF"/>
          </w:tcPr>
          <w:p>
            <w:pPr>
              <w:spacing w:after="0"/>
              <w:rPr>
                <w:sz w:val="18"/>
                <w:szCs w:val="18"/>
                <w:color w:val="auto"/>
              </w:rPr>
            </w:pPr>
          </w:p>
        </w:tc>
        <w:tc>
          <w:tcPr>
            <w:tcW w:w="19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Provisions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4,063</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12,189</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15,353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Transferred from acquired company</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Severance payments</w:t>
            </w:r>
          </w:p>
        </w:tc>
        <w:tc>
          <w:tcPr>
            <w:tcW w:w="10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(3,201)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(10,664)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(4,763)</w:t>
            </w:r>
          </w:p>
        </w:tc>
        <w:tc>
          <w:tcPr>
            <w:tcW w:w="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090" w:type="dxa"/>
            <w:vAlign w:val="bottom"/>
            <w:gridSpan w:val="2"/>
          </w:tcPr>
          <w:p>
            <w:pPr>
              <w:jc w:val="right"/>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 and other</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103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Pr>
          <w:p>
            <w:pPr>
              <w:spacing w:after="0"/>
              <w:rPr>
                <w:sz w:val="8"/>
                <w:szCs w:val="8"/>
                <w:color w:val="auto"/>
              </w:rPr>
            </w:pPr>
          </w:p>
        </w:tc>
        <w:tc>
          <w:tcPr>
            <w:tcW w:w="103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50,003</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103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Pr>
          <w:p>
            <w:pPr>
              <w:spacing w:after="0"/>
              <w:rPr>
                <w:sz w:val="8"/>
                <w:szCs w:val="8"/>
                <w:color w:val="auto"/>
              </w:rPr>
            </w:pPr>
          </w:p>
        </w:tc>
        <w:tc>
          <w:tcPr>
            <w:tcW w:w="103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contributions to the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03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National Pension Fund</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(1,304)</w:t>
            </w: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0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Group Severance insurance plan</w:t>
            </w:r>
          </w:p>
        </w:tc>
        <w:tc>
          <w:tcPr>
            <w:tcW w:w="100" w:type="dxa"/>
            <w:vAlign w:val="bottom"/>
          </w:tcPr>
          <w:p>
            <w:pPr>
              <w:spacing w:after="0"/>
              <w:rPr>
                <w:sz w:val="19"/>
                <w:szCs w:val="19"/>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090" w:type="dxa"/>
            <w:vAlign w:val="bottom"/>
            <w:gridSpan w:val="2"/>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103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Pr>
          <w:p>
            <w:pPr>
              <w:spacing w:after="0"/>
              <w:rPr>
                <w:sz w:val="8"/>
                <w:szCs w:val="8"/>
                <w:color w:val="auto"/>
              </w:rPr>
            </w:pPr>
          </w:p>
        </w:tc>
        <w:tc>
          <w:tcPr>
            <w:tcW w:w="103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52,166</w:t>
            </w:r>
          </w:p>
        </w:tc>
        <w:tc>
          <w:tcPr>
            <w:tcW w:w="7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52,166</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47,497</w:t>
            </w:r>
          </w:p>
        </w:tc>
        <w:tc>
          <w:tcPr>
            <w:tcW w:w="700" w:type="dxa"/>
            <w:vAlign w:val="bottom"/>
            <w:shd w:val="clear" w:color="auto" w:fill="CCEEFF"/>
          </w:tcPr>
          <w:p>
            <w:pPr>
              <w:spacing w:after="0"/>
              <w:rPr>
                <w:sz w:val="18"/>
                <w:szCs w:val="18"/>
                <w:color w:val="auto"/>
              </w:rPr>
            </w:pPr>
          </w:p>
        </w:tc>
        <w:tc>
          <w:tcPr>
            <w:tcW w:w="19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103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-29210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severance benefits are funded approximately 3.46% and 5.01% as of October 2, 2005 and September 30, 2004, respectively, through our national pension fund and group severance insurance deposit plan which will be used exclusively for payment of severance benefits to eligible employees. Theses amounts have been deducted from the accrued severance benefit balance.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expects to pay the following future benefits to its employees upon their normal retirement age:</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4680" w:type="dxa"/>
            <w:vAlign w:val="bottom"/>
            <w:gridSpan w:val="3"/>
          </w:tcPr>
          <w:p>
            <w:pPr>
              <w:ind w:left="3600"/>
              <w:spacing w:after="0"/>
              <w:rPr>
                <w:sz w:val="20"/>
                <w:szCs w:val="20"/>
                <w:color w:val="auto"/>
              </w:rPr>
            </w:pPr>
            <w:r>
              <w:rPr>
                <w:rFonts w:ascii="Arial" w:cs="Arial" w:eastAsia="Arial" w:hAnsi="Arial"/>
                <w:sz w:val="14"/>
                <w:szCs w:val="14"/>
                <w:b w:val="1"/>
                <w:bCs w:val="1"/>
                <w:color w:val="auto"/>
                <w:w w:val="86"/>
              </w:rPr>
              <w:t>Retirement benefit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2005 - 2008</w:t>
            </w:r>
          </w:p>
        </w:tc>
        <w:tc>
          <w:tcPr>
            <w:tcW w:w="3980" w:type="dxa"/>
            <w:vAlign w:val="bottom"/>
            <w:gridSpan w:val="2"/>
            <w:shd w:val="clear" w:color="auto" w:fill="CCEEFF"/>
          </w:tcPr>
          <w:p>
            <w:pPr>
              <w:ind w:left="3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2009</w:t>
            </w:r>
          </w:p>
        </w:tc>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2010 - 2014</w:t>
            </w:r>
          </w:p>
        </w:tc>
        <w:tc>
          <w:tcPr>
            <w:tcW w:w="3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above amounts were determined based on the employees’ current rate of salary and the number of service years that will be accumulated when they would meet their normal retirement date. These amounts do not include amounts that might be paid to employees who may terminate employment with the Company before their normal retirement age.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Series B Redeemable Convertible Preferred Units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Changes in series B redeemable convertible preferred units for the three and nine-month periods ended October 2, 2005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3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4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36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October 2, 2005</w:t>
            </w:r>
          </w:p>
        </w:tc>
        <w:tc>
          <w:tcPr>
            <w:tcW w:w="100" w:type="dxa"/>
            <w:vAlign w:val="bottom"/>
          </w:tcPr>
          <w:p>
            <w:pPr>
              <w:spacing w:after="0"/>
              <w:rPr>
                <w:sz w:val="15"/>
                <w:szCs w:val="15"/>
                <w:color w:val="auto"/>
              </w:rPr>
            </w:pPr>
          </w:p>
        </w:tc>
        <w:tc>
          <w:tcPr>
            <w:tcW w:w="1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October 2,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40" w:type="dxa"/>
            <w:vAlign w:val="bottom"/>
          </w:tcPr>
          <w:p>
            <w:pPr>
              <w:spacing w:after="0"/>
              <w:rPr>
                <w:sz w:val="22"/>
                <w:szCs w:val="22"/>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8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b w:val="1"/>
                <w:bCs w:val="1"/>
                <w:color w:val="auto"/>
                <w:w w:val="85"/>
              </w:rPr>
              <w:t>Amounts</w:t>
            </w:r>
          </w:p>
        </w:tc>
        <w:tc>
          <w:tcPr>
            <w:tcW w:w="100" w:type="dxa"/>
            <w:vAlign w:val="bottom"/>
          </w:tcPr>
          <w:p>
            <w:pPr>
              <w:spacing w:after="0"/>
              <w:rPr>
                <w:sz w:val="22"/>
                <w:szCs w:val="22"/>
                <w:color w:val="auto"/>
              </w:rPr>
            </w:pPr>
          </w:p>
        </w:tc>
        <w:tc>
          <w:tcPr>
            <w:tcW w:w="540" w:type="dxa"/>
            <w:vAlign w:val="bottom"/>
          </w:tcPr>
          <w:p>
            <w:pPr>
              <w:jc w:val="right"/>
              <w:ind w:right="47"/>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93,997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$ 101,407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non cash preferred dividends</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9"/>
                <w:szCs w:val="19"/>
                <w:color w:val="auto"/>
              </w:rPr>
            </w:pPr>
          </w:p>
        </w:tc>
        <w:tc>
          <w:tcPr>
            <w:tcW w:w="54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93,997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$ 103,913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103,913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82245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245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Unit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computation of basic loss per common unit for the three and nine-month periods ended October 2, 2005.</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580" w:type="dxa"/>
            <w:vAlign w:val="bottom"/>
            <w:gridSpan w:val="5"/>
          </w:tcPr>
          <w:p>
            <w:pPr>
              <w:ind w:left="18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October 2, 2005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6"/>
              </w:rPr>
              <w:t>October 2,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(13,242)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Non cash dividends to preferred unitholders</w:t>
            </w: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2,506</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00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(15,748)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(85,383)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w:t>
            </w: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53,037,320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52,848,430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unit</w:t>
            </w:r>
          </w:p>
        </w:tc>
        <w:tc>
          <w:tcPr>
            <w:tcW w:w="200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-612140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-612140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-612140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-612140</wp:posOffset>
            </wp:positionV>
            <wp:extent cx="74168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4168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were excluded from the computation of diluted loss per unit as they would have an anti-dilutive effect on the calculation:</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Three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320" w:type="dxa"/>
            <w:vAlign w:val="bottom"/>
            <w:gridSpan w:val="2"/>
          </w:tcPr>
          <w:p>
            <w:pPr>
              <w:jc w:val="center"/>
              <w:ind w:left="3097"/>
              <w:spacing w:after="0" w:line="149" w:lineRule="exact"/>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October 2,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Options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3,536,080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5,079,254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connection with the Acquisition, the Company issued a warrant to Hynix which enables Hynix to purchase 5,079,254 common units of the Company at an exercise price of $1.00 per unit. This warrant expires on October 6, 2006. Refer to Note 8. Unit-Based Compensation for details of option grants.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Unit-Based Compensation</w:t>
      </w:r>
    </w:p>
    <w:p>
      <w:pPr>
        <w:spacing w:after="0" w:line="83"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In addition to 1,146,178 options to purchase the Company’s common units outstanding as of January 1, 2005, the Company granted on January 5, 2005, 1,922,500 options to purchase common units to management and employees with exercise prices ranging from $1 to $3 per unit. Under the Company’s Equity Incentive Plan, 25% of the units vested with a right to exercise by the option holder on September 30, 2005 and 6.25% of the units will vest with a right to exercise on the last day of each calendar quarter thereafter pursuant to the resolution approved by board of directors.</w:t>
      </w:r>
    </w:p>
    <w:p>
      <w:pPr>
        <w:spacing w:after="0" w:line="99"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Subsequent to the grants on January 5, 2005, the Company additionally granted 900,062 options to purchase common units to its management and employees with exercise prices ranging from $1 to $3 per unit. Most of these options have a vesting term of 25% of the units on the first anniversary of the grant date and 6.25% of the units on the last day of each calendar quarter thereafter pursuant to the resolution of the Company’s board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October 2, 2005, 432,660 of previously issued options to purchase common units were forfeited.</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Company accounts for unit-based awards to employees using the intrinsic value method prescribed by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accordingly, no compensation cost was recorded for the nine months ended October 2, 2005. The Company utilizes the Black-Scholes option valuation model to value options for pro forma presentation of income as if the fair value based accounting method in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had been used to account for unit-based compensation and the Company’s adjusted net income (loss) would have increased and is illustrated in the pro forma table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5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6"/>
              </w:rPr>
              <w:t>Three months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2"/>
              </w:rPr>
              <w:t>Nine months</w:t>
            </w:r>
          </w:p>
        </w:tc>
        <w:tc>
          <w:tcPr>
            <w:tcW w:w="120" w:type="dxa"/>
            <w:vAlign w:val="bottom"/>
          </w:tcPr>
          <w:p>
            <w:pPr>
              <w:spacing w:after="0"/>
              <w:rPr>
                <w:sz w:val="14"/>
                <w:szCs w:val="14"/>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0"/>
              </w:rPr>
              <w:t>Three months</w:t>
            </w:r>
          </w:p>
        </w:tc>
        <w:tc>
          <w:tcPr>
            <w:tcW w:w="1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470" w:type="dxa"/>
            <w:vAlign w:val="bottom"/>
            <w:gridSpan w:val="2"/>
          </w:tcPr>
          <w:p>
            <w:pPr>
              <w:jc w:val="center"/>
              <w:ind w:right="770"/>
              <w:spacing w:after="0" w:line="149" w:lineRule="exact"/>
              <w:rPr>
                <w:sz w:val="20"/>
                <w:szCs w:val="20"/>
                <w:color w:val="auto"/>
              </w:rPr>
            </w:pPr>
            <w:r>
              <w:rPr>
                <w:rFonts w:ascii="Arial" w:cs="Arial" w:eastAsia="Arial" w:hAnsi="Arial"/>
                <w:sz w:val="14"/>
                <w:szCs w:val="14"/>
                <w:b w:val="1"/>
                <w:bCs w:val="1"/>
                <w:color w:val="auto"/>
                <w:w w:val="87"/>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6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October 2, 2005</w:t>
            </w:r>
          </w:p>
        </w:tc>
        <w:tc>
          <w:tcPr>
            <w:tcW w:w="20" w:type="dxa"/>
            <w:vAlign w:val="bottom"/>
          </w:tcPr>
          <w:p>
            <w:pPr>
              <w:spacing w:after="0"/>
              <w:rPr>
                <w:sz w:val="15"/>
                <w:szCs w:val="15"/>
                <w:color w:val="auto"/>
              </w:rPr>
            </w:pP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October 2, 2005</w:t>
            </w: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2004</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680" w:type="dxa"/>
            <w:vAlign w:val="bottom"/>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3050" w:type="dxa"/>
            <w:vAlign w:val="bottom"/>
            <w:gridSpan w:val="7"/>
          </w:tcPr>
          <w:p>
            <w:pPr>
              <w:jc w:val="right"/>
              <w:ind w:right="1280"/>
              <w:spacing w:after="0"/>
              <w:rPr>
                <w:sz w:val="20"/>
                <w:szCs w:val="20"/>
                <w:color w:val="auto"/>
              </w:rPr>
            </w:pPr>
            <w:r>
              <w:rPr>
                <w:rFonts w:ascii="Arial" w:cs="Arial" w:eastAsia="Arial" w:hAnsi="Arial"/>
                <w:sz w:val="14"/>
                <w:szCs w:val="14"/>
                <w:b w:val="1"/>
                <w:bCs w:val="1"/>
                <w:color w:val="auto"/>
              </w:rPr>
              <w:t>(Successor Company)</w:t>
            </w:r>
          </w:p>
        </w:tc>
        <w:tc>
          <w:tcPr>
            <w:tcW w:w="120" w:type="dxa"/>
            <w:vAlign w:val="bottom"/>
          </w:tcPr>
          <w:p>
            <w:pPr>
              <w:spacing w:after="0"/>
              <w:rPr>
                <w:sz w:val="21"/>
                <w:szCs w:val="21"/>
                <w:color w:val="auto"/>
              </w:rPr>
            </w:pPr>
          </w:p>
        </w:tc>
        <w:tc>
          <w:tcPr>
            <w:tcW w:w="28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(Predecessor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As reported net income (loss)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7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(13,242)</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(78,004)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Add: Amortization of non-cash deferred unit compensation</w:t>
            </w:r>
          </w:p>
        </w:tc>
        <w:tc>
          <w:tcPr>
            <w:tcW w:w="11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expense determined under the intrinsic value method as</w:t>
            </w:r>
          </w:p>
        </w:tc>
        <w:tc>
          <w:tcPr>
            <w:tcW w:w="11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reported in net income, net of tax</w:t>
            </w:r>
          </w:p>
        </w:tc>
        <w:tc>
          <w:tcPr>
            <w:tcW w:w="110" w:type="dxa"/>
            <w:vAlign w:val="bottom"/>
          </w:tcPr>
          <w:p>
            <w:pPr>
              <w:spacing w:after="0"/>
              <w:rPr>
                <w:sz w:val="19"/>
                <w:szCs w:val="19"/>
                <w:color w:val="auto"/>
              </w:rPr>
            </w:pPr>
          </w:p>
        </w:tc>
        <w:tc>
          <w:tcPr>
            <w:tcW w:w="147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Deduct: Total unit-based employee compensation expense</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determined under the fair value method for all awards, net of</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110" w:type="dxa"/>
            <w:vAlign w:val="bottom"/>
            <w:shd w:val="clear" w:color="auto" w:fill="CCEEFF"/>
          </w:tcPr>
          <w:p>
            <w:pPr>
              <w:spacing w:after="0"/>
              <w:rPr>
                <w:sz w:val="19"/>
                <w:szCs w:val="19"/>
                <w:color w:val="auto"/>
              </w:rPr>
            </w:pPr>
          </w:p>
        </w:tc>
        <w:tc>
          <w:tcPr>
            <w:tcW w:w="147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(3,849)</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7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(13,351)</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(78,331)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1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 forma loss per unit</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7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(0.30)</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10" w:type="dxa"/>
            <w:vAlign w:val="bottom"/>
          </w:tcPr>
          <w:p>
            <w:pPr>
              <w:jc w:val="center"/>
              <w:ind w:right="27"/>
              <w:spacing w:after="0"/>
              <w:rPr>
                <w:sz w:val="20"/>
                <w:szCs w:val="20"/>
                <w:color w:val="auto"/>
              </w:rPr>
            </w:pPr>
            <w:r>
              <w:rPr>
                <w:rFonts w:ascii="Arial" w:cs="Arial" w:eastAsia="Arial" w:hAnsi="Arial"/>
                <w:sz w:val="18"/>
                <w:szCs w:val="18"/>
                <w:color w:val="auto"/>
                <w:w w:val="79"/>
              </w:rPr>
              <w:t>8</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-626110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-626110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-626110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-626110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-626110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-626110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-626110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-626110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-626110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-626110</wp:posOffset>
            </wp:positionV>
            <wp:extent cx="7499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49935"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-325755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-325755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-325755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6127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weighted average fair value of options granted during the three and nine months ended October 2, 2005 (Successor Company) was $0.09 and $0.22, respectively.</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option-pricing model based on the following set of assumptions (average-weight):</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4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 Years</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Expected volatility</w:t>
            </w:r>
          </w:p>
        </w:tc>
        <w:tc>
          <w:tcPr>
            <w:tcW w:w="420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Expected dividends</w:t>
            </w:r>
          </w:p>
        </w:tc>
        <w:tc>
          <w:tcPr>
            <w:tcW w:w="4200" w:type="dxa"/>
            <w:vAlign w:val="bottom"/>
          </w:tcPr>
          <w:p>
            <w:pPr>
              <w:jc w:val="right"/>
              <w:ind w:right="152"/>
              <w:spacing w:after="0"/>
              <w:rPr>
                <w:sz w:val="20"/>
                <w:szCs w:val="20"/>
                <w:color w:val="auto"/>
              </w:rPr>
            </w:pPr>
            <w:r>
              <w:rPr>
                <w:rFonts w:ascii="Arial" w:cs="Arial" w:eastAsia="Arial" w:hAnsi="Arial"/>
                <w:sz w:val="18"/>
                <w:szCs w:val="18"/>
                <w:color w:val="auto"/>
              </w:rPr>
              <w:t>—</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and Impairment Charges</w:t>
      </w:r>
    </w:p>
    <w:p>
      <w:pPr>
        <w:spacing w:after="0" w:line="8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During the nine months ended October 2, 2005, the Company recorded restructuring and asset impairment charges totaling $8,720 thousand, as the Company determined that recent strategic decisions to outsource some of the manufacturing processes would impact future cash flows of certain capital equipment used specifically for packaging and testing of one of the Company’s product lines. Based on such decisions, the Company recognized an impairment charge of $7,996 thousand for long-lived assets under Statements of Financial Accounting Standards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as well as a one time restructuring charge of $724 thousand for completion of an early retirement program.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Comprehensive income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4"/>
              </w:rPr>
              <w:t>Three months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7"/>
              </w:rPr>
              <w:t>Nine months</w:t>
            </w:r>
          </w:p>
        </w:tc>
        <w:tc>
          <w:tcPr>
            <w:tcW w:w="140" w:type="dxa"/>
            <w:vAlign w:val="bottom"/>
          </w:tcPr>
          <w:p>
            <w:pPr>
              <w:spacing w:after="0"/>
              <w:rPr>
                <w:sz w:val="14"/>
                <w:szCs w:val="14"/>
                <w:color w:val="auto"/>
              </w:rPr>
            </w:pPr>
          </w:p>
        </w:tc>
        <w:tc>
          <w:tcPr>
            <w:tcW w:w="1060" w:type="dxa"/>
            <w:vAlign w:val="bottom"/>
          </w:tcPr>
          <w:p>
            <w:pPr>
              <w:jc w:val="right"/>
              <w:ind w:right="121"/>
              <w:spacing w:after="0"/>
              <w:rPr>
                <w:sz w:val="20"/>
                <w:szCs w:val="20"/>
                <w:color w:val="auto"/>
              </w:rPr>
            </w:pPr>
            <w:r>
              <w:rPr>
                <w:rFonts w:ascii="Arial" w:cs="Arial" w:eastAsia="Arial" w:hAnsi="Arial"/>
                <w:sz w:val="14"/>
                <w:szCs w:val="14"/>
                <w:b w:val="1"/>
                <w:bCs w:val="1"/>
                <w:color w:val="auto"/>
                <w:w w:val="90"/>
              </w:rPr>
              <w:t>Three months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ended October 2,</w:t>
            </w:r>
          </w:p>
        </w:tc>
        <w:tc>
          <w:tcPr>
            <w:tcW w:w="340" w:type="dxa"/>
            <w:vAlign w:val="bottom"/>
          </w:tcPr>
          <w:p>
            <w:pPr>
              <w:spacing w:after="0"/>
              <w:rPr>
                <w:sz w:val="12"/>
                <w:szCs w:val="12"/>
                <w:color w:val="auto"/>
              </w:rPr>
            </w:pPr>
          </w:p>
        </w:tc>
        <w:tc>
          <w:tcPr>
            <w:tcW w:w="1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ended October 2,</w:t>
            </w:r>
          </w:p>
        </w:tc>
        <w:tc>
          <w:tcPr>
            <w:tcW w:w="1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ended September 30,</w:t>
            </w:r>
          </w:p>
        </w:tc>
        <w:tc>
          <w:tcPr>
            <w:tcW w:w="6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ended 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81"/>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79"/>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20" w:type="dxa"/>
            <w:vAlign w:val="bottom"/>
            <w:gridSpan w:val="2"/>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80" w:type="dxa"/>
            <w:vAlign w:val="bottom"/>
            <w:gridSpan w:val="7"/>
          </w:tcPr>
          <w:p>
            <w:pPr>
              <w:ind w:left="600"/>
              <w:spacing w:after="0"/>
              <w:rPr>
                <w:sz w:val="20"/>
                <w:szCs w:val="20"/>
                <w:color w:val="auto"/>
              </w:rPr>
            </w:pPr>
            <w:r>
              <w:rPr>
                <w:rFonts w:ascii="Arial" w:cs="Arial" w:eastAsia="Arial" w:hAnsi="Arial"/>
                <w:sz w:val="14"/>
                <w:szCs w:val="14"/>
                <w:b w:val="1"/>
                <w:bCs w:val="1"/>
                <w:color w:val="auto"/>
              </w:rPr>
              <w:t>(Successor Company)</w:t>
            </w:r>
          </w:p>
        </w:tc>
        <w:tc>
          <w:tcPr>
            <w:tcW w:w="140" w:type="dxa"/>
            <w:vAlign w:val="bottom"/>
          </w:tcPr>
          <w:p>
            <w:pPr>
              <w:spacing w:after="0"/>
              <w:rPr>
                <w:sz w:val="21"/>
                <w:szCs w:val="21"/>
                <w:color w:val="auto"/>
              </w:rPr>
            </w:pPr>
          </w:p>
        </w:tc>
        <w:tc>
          <w:tcPr>
            <w:tcW w:w="2940" w:type="dxa"/>
            <w:vAlign w:val="bottom"/>
            <w:gridSpan w:val="5"/>
          </w:tcPr>
          <w:p>
            <w:pPr>
              <w:ind w:left="700"/>
              <w:spacing w:after="0"/>
              <w:rPr>
                <w:sz w:val="20"/>
                <w:szCs w:val="20"/>
                <w:color w:val="auto"/>
              </w:rPr>
            </w:pPr>
            <w:r>
              <w:rPr>
                <w:rFonts w:ascii="Arial" w:cs="Arial" w:eastAsia="Arial" w:hAnsi="Arial"/>
                <w:sz w:val="14"/>
                <w:szCs w:val="14"/>
                <w:b w:val="1"/>
                <w:bCs w:val="1"/>
                <w:color w:val="auto"/>
              </w:rPr>
              <w:t>(Predecessor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(13,242)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6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(78,004)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Fair valuation of derivatives</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2,962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3,045</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effect and others</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(1,246)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(11,526)</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6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(73,673)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-325755</wp:posOffset>
            </wp:positionV>
            <wp:extent cx="411162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11162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Condensed Consolidating Financial Statements</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MagnaChip Semiconductor LLC and all of its subsidiaries, except for Shanghai Ximei Corporation (China) and IC Media Japan Kabushiki Kaisha (Japan). The Senior Subordinated Notes are fully and unconditionally guaranteed by MagnaChip Semiconductor LLC and all of its subsidiaries, except for MagnaChip Semiconductor, Ltd. (Korea), Shanghai Ximei Corporation (China) and IC Media Japan Kabushiki Kaisha (Japan). Below are the condensed consolidating balance sheets as of October 2, 2005 and December 31, 2004, condensed consolidating statements of operations for the three and nine months ended October 2, 2005 (Successor Company) and condensed consolidating statement of cash flows for the nine months ended October 2, 2005 of those entities that guarantee the Senior Subordinated Notes, those that do not, MagnaChip Semiconductor LLC, and the co-issuers.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2,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Finance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Company &amp;</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2"/>
              </w:rPr>
              <w:t>MagnaChip</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2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LLC</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S.A.</w:t>
            </w: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(Parent)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(Co-Issuers)</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Guarantors</w:t>
            </w:r>
          </w:p>
        </w:tc>
        <w:tc>
          <w:tcPr>
            <w:tcW w:w="2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7"/>
              </w:rPr>
              <w:t>Guarantors</w:t>
            </w:r>
          </w:p>
        </w:tc>
        <w:tc>
          <w:tcPr>
            <w:tcW w:w="220" w:type="dxa"/>
            <w:vAlign w:val="bottom"/>
          </w:tcPr>
          <w:p>
            <w:pPr>
              <w:spacing w:after="0"/>
              <w:rPr>
                <w:sz w:val="15"/>
                <w:szCs w:val="15"/>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Eliminations</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281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48,751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128,931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(65,661)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76,461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(69,736)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Short-term inter company loans</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(19,625)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(38,392)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274,536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141,804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(194,881)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497,117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Intangibles, net</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183,152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155,681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(175,719)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Long-term inter company loans</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776,755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(1,397,755)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(27,059)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999,547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959,491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(1,795,414)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1,053,070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80,310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55,900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(69,736)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(35,169)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11,118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(19,625)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184,158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158,911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(193,414)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776,755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(1,397,755)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51,911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(27,059)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863,918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965,043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(1,618,228)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-2555875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-2555875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-2555875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-2555875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-2555875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-2555875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-2555875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-2555875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-2555875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-2555875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-2555875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-2555875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-2555875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-2555875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-2555875</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-2555875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-2555875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-2555875</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2,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MagnaChip</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Finance</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Company &amp;</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MagnaChip</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MagnaChip</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LLC</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S.A.</w:t>
            </w: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Non-</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(Co-Issuers)</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Guarantors</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5"/>
                <w:szCs w:val="15"/>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Eliminations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redeemable convertible preferred unites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103,913</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redeemable convertible preferred units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103,913</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Common units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53,037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102,986</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38,845</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61,063</w:t>
            </w:r>
          </w:p>
        </w:tc>
        <w:tc>
          <w:tcPr>
            <w:tcW w:w="18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(202,894)</w:t>
            </w:r>
          </w:p>
        </w:tc>
        <w:tc>
          <w:tcPr>
            <w:tcW w:w="800" w:type="dxa"/>
            <w:vAlign w:val="bottom"/>
          </w:tcPr>
          <w:p>
            <w:pPr>
              <w:jc w:val="right"/>
              <w:spacing w:after="0"/>
              <w:rPr>
                <w:sz w:val="20"/>
                <w:szCs w:val="20"/>
                <w:color w:val="auto"/>
              </w:rPr>
            </w:pPr>
            <w:r>
              <w:rPr>
                <w:rFonts w:ascii="Arial" w:cs="Arial" w:eastAsia="Arial" w:hAnsi="Arial"/>
                <w:sz w:val="18"/>
                <w:szCs w:val="18"/>
                <w:color w:val="auto"/>
              </w:rPr>
              <w:t>53,037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155,212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63,371</w:t>
            </w: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(219,610)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(104,649)</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(81,911)</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(80,573)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(153,376)</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315,860</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(104,649)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23,390</w:t>
            </w: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(70,542)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unitholders’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(24,666)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135,629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(5,552)</w:t>
            </w: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(177,186)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7"/>
              </w:rPr>
              <w:t>Total liabilities, redeemable convertible preferred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units and unitholders’ equity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80,247</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809,199</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$999,547</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$ 959,491</w:t>
            </w:r>
          </w:p>
        </w:tc>
        <w:tc>
          <w:tcPr>
            <w:tcW w:w="1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9"/>
              </w:rPr>
              <w:t>$(1,795,414)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$1,053,070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117"/>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3244850</wp:posOffset>
            </wp:positionH>
            <wp:positionV relativeFrom="paragraph">
              <wp:posOffset>-325755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-325755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-325755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-325755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-325755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-325755</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-325755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-325755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-325755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-325755</wp:posOffset>
            </wp:positionV>
            <wp:extent cx="9906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906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MagnaChip</w:t>
            </w:r>
          </w:p>
        </w:tc>
        <w:tc>
          <w:tcPr>
            <w:tcW w:w="2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9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2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9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6"/>
              </w:rPr>
              <w:t>Finance</w:t>
            </w:r>
          </w:p>
        </w:tc>
        <w:tc>
          <w:tcPr>
            <w:tcW w:w="2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9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Company &amp;</w:t>
            </w:r>
          </w:p>
        </w:tc>
        <w:tc>
          <w:tcPr>
            <w:tcW w:w="2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9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MagnaChip</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MagnaChip</w:t>
            </w:r>
          </w:p>
        </w:tc>
        <w:tc>
          <w:tcPr>
            <w:tcW w:w="2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9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2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9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LLC</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7"/>
              </w:rPr>
              <w:t>S.A.</w:t>
            </w:r>
          </w:p>
        </w:tc>
        <w:tc>
          <w:tcPr>
            <w:tcW w:w="2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9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(Parent)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88"/>
              </w:rPr>
              <w:t>(Co-Issuers)</w:t>
            </w:r>
          </w:p>
        </w:tc>
        <w:tc>
          <w:tcPr>
            <w:tcW w:w="2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Non-Guarantors</w:t>
            </w:r>
          </w:p>
        </w:tc>
        <w:tc>
          <w:tcPr>
            <w:tcW w:w="2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Guarantors</w:t>
            </w:r>
          </w:p>
        </w:tc>
        <w:tc>
          <w:tcPr>
            <w:tcW w:w="220" w:type="dxa"/>
            <w:vAlign w:val="bottom"/>
          </w:tcPr>
          <w:p>
            <w:pPr>
              <w:spacing w:after="0"/>
              <w:rPr>
                <w:sz w:val="15"/>
                <w:szCs w:val="15"/>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Eliminations</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9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31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12,962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(55,257)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77,338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(36,317)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Short-term inter company loans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10,625</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(10,625)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21,279</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(109,657)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211,981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29,231</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205,358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(350,998)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Long-term inter company loans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794,805</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619,991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(1,414,796)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21,869</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153,568</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867,184</w:t>
            </w:r>
          </w:p>
        </w:tc>
        <w:tc>
          <w:tcPr>
            <w:tcW w:w="31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1,103,670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905,559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(1,875,451)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1,154,530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9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1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118,572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(36,317)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749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(8,650)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(106,133)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796,780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(1,416,771)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50,702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751,381</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874,172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(1,522,904)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1,002,124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-2555875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-2555875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-2555875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-2555875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-2555875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-2555875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-2555875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-2555875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-2555875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-2555875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-2555875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-2555875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-2555875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-2555875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-2555875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-2555875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-2555875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-2555875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MagnaChip</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Finance</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Company &amp;</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MagnaChip</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MagnaChip</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LLC</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S.A.</w:t>
            </w: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(Parent)</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(Co-Issuers)</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Guarantors</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Guarantors</w:t>
            </w:r>
          </w:p>
        </w:tc>
        <w:tc>
          <w:tcPr>
            <w:tcW w:w="100" w:type="dxa"/>
            <w:vAlign w:val="bottom"/>
          </w:tcPr>
          <w:p>
            <w:pPr>
              <w:spacing w:after="0"/>
              <w:rPr>
                <w:sz w:val="15"/>
                <w:szCs w:val="15"/>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Eliminations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redeemable convertible preferred unites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Common units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52,533</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102,986</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38,845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(142,092)</w:t>
            </w:r>
          </w:p>
        </w:tc>
        <w:tc>
          <w:tcPr>
            <w:tcW w:w="800" w:type="dxa"/>
            <w:vAlign w:val="bottom"/>
          </w:tcPr>
          <w:p>
            <w:pPr>
              <w:jc w:val="right"/>
              <w:spacing w:after="0"/>
              <w:rPr>
                <w:sz w:val="20"/>
                <w:szCs w:val="20"/>
                <w:color w:val="auto"/>
              </w:rPr>
            </w:pPr>
            <w:r>
              <w:rPr>
                <w:rFonts w:ascii="Arial" w:cs="Arial" w:eastAsia="Arial" w:hAnsi="Arial"/>
                <w:sz w:val="18"/>
                <w:szCs w:val="18"/>
                <w:color w:val="auto"/>
              </w:rPr>
              <w:t>52,533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155,212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29,370</w:t>
            </w: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(185,609)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Accumulated deficit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(19,266)</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(8,715)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(9,420)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(18,784)</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36,919</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20,540</w:t>
            </w: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(61,765)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unitholders’ equity</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55,872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115,803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205,357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31,387</w:t>
            </w: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(352,547)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Total liabilities, redeemable convertible preferred units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unitholders’ equity</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153,568</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867,184</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$ 1,103,670</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$905,559</w:t>
            </w:r>
          </w:p>
        </w:tc>
        <w:tc>
          <w:tcPr>
            <w:tcW w:w="1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9"/>
              </w:rPr>
              <w:t>$(1,875,451)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$1,154,530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80" w:type="dxa"/>
            <w:vAlign w:val="bottom"/>
            <w:gridSpan w:val="2"/>
          </w:tcPr>
          <w:p>
            <w:pPr>
              <w:jc w:val="right"/>
              <w:ind w:right="6"/>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-325755</wp:posOffset>
            </wp:positionV>
            <wp:extent cx="82740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740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-325755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-325755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-325755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-325755</wp:posOffset>
            </wp:positionV>
            <wp:extent cx="9906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906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2,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MagnaChip</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Finance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Company &amp;</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MagnaChip</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1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S.A.</w:t>
            </w:r>
          </w:p>
        </w:tc>
        <w:tc>
          <w:tcPr>
            <w:tcW w:w="10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(Co-Issuers)</w:t>
            </w: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4"/>
              </w:rPr>
              <w:t>Guarantors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Guarantors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$673,969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$318,381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(299,848)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692,502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540,155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299,970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(295,891)</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544,234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133,814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(3,957)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75,731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(1,942)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(1,408)</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(28,006)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(11,065)</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(43,147)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equity in earnings (loss) of</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equity investment</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(12,473)</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(71,153)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earnings (loss) of related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(12,596)</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(71,153)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of related investment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(77,657)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(60,600)</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(68,916)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207,173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(78,004)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(73,196)</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5"/>
              </w:rPr>
              <w:t>$ (71,153)</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 (62,834)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207,183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Non cash dividends to preferred unitholders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(73,196)</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5"/>
              </w:rPr>
              <w:t>$ (71,153)</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 (62,834)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207,183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-909320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-909320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-909320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-909320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-909320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-909320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-909320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-909320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-909320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-909320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-909320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-909320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-909320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-909320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-909320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-909320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-909320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-909320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-325755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-325755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-325755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-325755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-325755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-325755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-325755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-325755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October 2,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MagnaChip</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Finance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Company &amp;</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MagnaChip</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1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S.A.</w:t>
            </w:r>
          </w:p>
        </w:tc>
        <w:tc>
          <w:tcPr>
            <w:tcW w:w="80" w:type="dxa"/>
            <w:vAlign w:val="bottom"/>
          </w:tcPr>
          <w:p>
            <w:pPr>
              <w:spacing w:after="0"/>
              <w:rPr>
                <w:sz w:val="12"/>
                <w:szCs w:val="12"/>
                <w:color w:val="auto"/>
              </w:rPr>
            </w:pPr>
          </w:p>
        </w:tc>
        <w:tc>
          <w:tcPr>
            <w:tcW w:w="98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(Co-Issuers)</w:t>
            </w:r>
          </w:p>
        </w:tc>
        <w:tc>
          <w:tcPr>
            <w:tcW w:w="10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4"/>
              </w:rPr>
              <w:t>Guarantors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Guarantors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$239,454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$ 115,232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(111,597)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243,089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182,430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105,692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(106,945)</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57,024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(4,652)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26,595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24,123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(803)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4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(18,495)</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(7,687)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equity in earnings (loss) of</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equity investment</w:t>
            </w: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40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(12,189)</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(5,545)</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earnings (loss) of related</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40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(12,189)</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(5,058)</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of related investment</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(13,005)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(17,464)</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(13,242)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(12,537)</w:t>
            </w:r>
          </w:p>
        </w:tc>
        <w:tc>
          <w:tcPr>
            <w:tcW w:w="10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w w:val="85"/>
              </w:rPr>
              <w:t>$ (12,189)</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 (13,810)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Non cash dividends to preferred unitholders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(15,748)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(12,537)</w:t>
            </w:r>
          </w:p>
        </w:tc>
        <w:tc>
          <w:tcPr>
            <w:tcW w:w="10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w w:val="85"/>
              </w:rPr>
              <w:t>$ (12,189)</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 (13,810)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-909320</wp:posOffset>
            </wp:positionV>
            <wp:extent cx="5873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-909320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-909320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-909320</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-909320</wp:posOffset>
            </wp:positionV>
            <wp:extent cx="45847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-909320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-909320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-909320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-909320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-909320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-909320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-909320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-909320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-909320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-325755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-325755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-325755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-325755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-325755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-325755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-325755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-325755</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2,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MagnaChip</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Finance</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Company &amp;</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MagnaChip</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MagnaChip</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LLC</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S.A.</w:t>
            </w: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(Parent)</w:t>
            </w: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(Co-Issuers)</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Guarantors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Guarantors</w:t>
            </w:r>
          </w:p>
        </w:tc>
        <w:tc>
          <w:tcPr>
            <w:tcW w:w="1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Eliminations</w:t>
            </w: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(loss)</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   (78,004)</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   (73,196)</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 (71,153)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 (62,834)</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$ 207,183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(78,004)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provided by (used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149,561</w:t>
            </w: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5,187</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1,955</w:t>
            </w:r>
          </w:p>
        </w:tc>
        <w:tc>
          <w:tcPr>
            <w:tcW w:w="680" w:type="dxa"/>
            <w:vAlign w:val="bottom"/>
          </w:tcPr>
          <w:p>
            <w:pPr>
              <w:jc w:val="right"/>
              <w:spacing w:after="0"/>
              <w:rPr>
                <w:sz w:val="20"/>
                <w:szCs w:val="20"/>
                <w:color w:val="auto"/>
              </w:rPr>
            </w:pPr>
            <w:r>
              <w:rPr>
                <w:rFonts w:ascii="Arial" w:cs="Arial" w:eastAsia="Arial" w:hAnsi="Arial"/>
                <w:sz w:val="18"/>
                <w:szCs w:val="18"/>
                <w:color w:val="auto"/>
              </w:rPr>
              <w:t>606</w:t>
            </w:r>
          </w:p>
        </w:tc>
        <w:tc>
          <w:tcPr>
            <w:tcW w:w="3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foreign currency translation, net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(17,789)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w w:val="93"/>
              </w:rPr>
              <w:t>(Gain) loss on disposal of property, plant and equipment,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64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(861)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Impairment charges on property, plant and equipment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Loss (earnings) of related investment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77,657</w:t>
            </w:r>
          </w:p>
        </w:tc>
        <w:tc>
          <w:tcPr>
            <w:tcW w:w="3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60,600</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68,916</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(207,173)</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(30,556)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(11,105)</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10,404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2,029</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(241)</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65,289</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(33,970)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16,567</w:t>
            </w: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6,070</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(10,404)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(160)</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183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(72,206)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29,225</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(33,419)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10,403</w:t>
            </w:r>
          </w:p>
        </w:tc>
        <w:tc>
          <w:tcPr>
            <w:tcW w:w="680" w:type="dxa"/>
            <w:vAlign w:val="bottom"/>
          </w:tcPr>
          <w:p>
            <w:pPr>
              <w:jc w:val="right"/>
              <w:spacing w:after="0"/>
              <w:rPr>
                <w:sz w:val="20"/>
                <w:szCs w:val="20"/>
                <w:color w:val="auto"/>
              </w:rPr>
            </w:pPr>
            <w:r>
              <w:rPr>
                <w:rFonts w:ascii="Arial" w:cs="Arial" w:eastAsia="Arial" w:hAnsi="Arial"/>
                <w:sz w:val="18"/>
                <w:szCs w:val="18"/>
                <w:color w:val="auto"/>
              </w:rPr>
              <w:t>3,644</w:t>
            </w: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19,777</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(29,260)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(7,761)</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29,260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123</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(5,455)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4,894</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(10,653)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Others, net</w:t>
            </w:r>
          </w:p>
        </w:tc>
        <w:tc>
          <w:tcPr>
            <w:tcW w:w="24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(31,611)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19,605</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(1,912)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(13,918)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(748)</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22,372</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17</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2,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Finance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Company &amp;</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MagnaChip</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220" w:type="dxa"/>
            <w:vAlign w:val="bottom"/>
          </w:tcPr>
          <w:p>
            <w:pPr>
              <w:spacing w:after="0"/>
              <w:rPr>
                <w:sz w:val="12"/>
                <w:szCs w:val="12"/>
                <w:color w:val="auto"/>
              </w:rPr>
            </w:pPr>
          </w:p>
        </w:tc>
        <w:tc>
          <w:tcPr>
            <w:tcW w:w="13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LLC</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S.A.</w:t>
            </w:r>
          </w:p>
        </w:tc>
        <w:tc>
          <w:tcPr>
            <w:tcW w:w="8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(Co-Issuers)</w:t>
            </w: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4"/>
              </w:rPr>
              <w:t>Guarantors</w:t>
            </w: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7"/>
              </w:rPr>
              <w:t>Guarantors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Purchases of plant, property and equipment</w:t>
            </w:r>
          </w:p>
        </w:tc>
        <w:tc>
          <w:tcPr>
            <w:tcW w:w="1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(39,729)</w:t>
            </w:r>
          </w:p>
        </w:tc>
        <w:tc>
          <w:tcPr>
            <w:tcW w:w="1180" w:type="dxa"/>
            <w:vAlign w:val="bottom"/>
            <w:gridSpan w:val="4"/>
          </w:tcPr>
          <w:p>
            <w:pPr>
              <w:jc w:val="right"/>
              <w:ind w:right="440"/>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w w:val="79"/>
              </w:rPr>
              <w:t>401</w:t>
            </w:r>
          </w:p>
        </w:tc>
        <w:tc>
          <w:tcPr>
            <w:tcW w:w="4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intangibles,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(1,614)</w:t>
            </w: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Acquisition of business</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40"/>
              <w:spacing w:after="0"/>
              <w:rPr>
                <w:sz w:val="20"/>
                <w:szCs w:val="20"/>
                <w:color w:val="auto"/>
              </w:rPr>
            </w:pPr>
            <w:r>
              <w:rPr>
                <w:rFonts w:ascii="Arial" w:cs="Arial" w:eastAsia="Arial" w:hAnsi="Arial"/>
                <w:sz w:val="18"/>
                <w:szCs w:val="18"/>
                <w:color w:val="auto"/>
              </w:rPr>
              <w:t>(14,581)</w:t>
            </w:r>
          </w:p>
        </w:tc>
        <w:tc>
          <w:tcPr>
            <w:tcW w:w="14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of intercompany loans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(15,009)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16,018</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Decrease in restricted cash</w:t>
            </w:r>
          </w:p>
        </w:tc>
        <w:tc>
          <w:tcPr>
            <w:tcW w:w="1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7,876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(1,009)</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(30,470)</w:t>
            </w:r>
          </w:p>
        </w:tc>
        <w:tc>
          <w:tcPr>
            <w:tcW w:w="11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(29,577)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16,018</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Repayment of short-term borrowings</w:t>
            </w:r>
          </w:p>
        </w:tc>
        <w:tc>
          <w:tcPr>
            <w:tcW w:w="1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40"/>
              <w:spacing w:after="0"/>
              <w:rPr>
                <w:sz w:val="20"/>
                <w:szCs w:val="20"/>
                <w:color w:val="auto"/>
              </w:rPr>
            </w:pPr>
            <w:r>
              <w:rPr>
                <w:rFonts w:ascii="Arial" w:cs="Arial" w:eastAsia="Arial" w:hAnsi="Arial"/>
                <w:sz w:val="18"/>
                <w:szCs w:val="18"/>
                <w:color w:val="auto"/>
              </w:rPr>
              <w:t>(12,400)</w:t>
            </w:r>
          </w:p>
        </w:tc>
        <w:tc>
          <w:tcPr>
            <w:tcW w:w="14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short-term borrowings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10,578</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Proceeds from long-term borrowings</w:t>
            </w:r>
          </w:p>
        </w:tc>
        <w:tc>
          <w:tcPr>
            <w:tcW w:w="1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4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(2,018)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513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(378)</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513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(378)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(16,018)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9"/>
              </w:rPr>
              <w:t>Effect of exchange rate on cash and cash equivalents</w:t>
            </w:r>
          </w:p>
        </w:tc>
        <w:tc>
          <w:tcPr>
            <w:tcW w:w="1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480" w:type="dxa"/>
            <w:vAlign w:val="bottom"/>
          </w:tcPr>
          <w:p>
            <w:pPr>
              <w:spacing w:after="0"/>
              <w:rPr>
                <w:sz w:val="18"/>
                <w:szCs w:val="18"/>
                <w:color w:val="auto"/>
              </w:rPr>
            </w:pPr>
          </w:p>
        </w:tc>
        <w:tc>
          <w:tcPr>
            <w:tcW w:w="1180" w:type="dxa"/>
            <w:vAlign w:val="bottom"/>
            <w:gridSpan w:val="4"/>
          </w:tcPr>
          <w:p>
            <w:pPr>
              <w:jc w:val="right"/>
              <w:ind w:right="440"/>
              <w:spacing w:after="0"/>
              <w:rPr>
                <w:sz w:val="20"/>
                <w:szCs w:val="20"/>
                <w:color w:val="auto"/>
              </w:rPr>
            </w:pPr>
            <w:r>
              <w:rPr>
                <w:rFonts w:ascii="Arial" w:cs="Arial" w:eastAsia="Arial" w:hAnsi="Arial"/>
                <w:sz w:val="18"/>
                <w:szCs w:val="18"/>
                <w:color w:val="auto"/>
              </w:rPr>
              <w:t>(1,834)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1,381</w:t>
            </w:r>
          </w:p>
        </w:tc>
        <w:tc>
          <w:tcPr>
            <w:tcW w:w="4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(2,534)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19,080</w:t>
            </w:r>
          </w:p>
        </w:tc>
        <w:tc>
          <w:tcPr>
            <w:tcW w:w="4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(6,430)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3,201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29,671</w:t>
            </w:r>
          </w:p>
        </w:tc>
        <w:tc>
          <w:tcPr>
            <w:tcW w:w="4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23,138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 from</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of consolidated subsidiaries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281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667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$ 48,751</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$ 21,328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71,027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gridSpan w:val="2"/>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-325755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-325755</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-325755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64045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64045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 –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within the meaning of the federal securities laws that involve risks and uncertainties. Our actual results may differ materially from those anticipated in these forward-looking statements as a result of certain factors set forth elsewhere in this report and in prior Company filings with the Securities and Exchange Commission (the “SEC”). In addition, other factors have been or may be discussed from time to time in the Company’s SEC filings. These forward–looking statements are made based upon management’s expectations and beliefs concerning future events impacting the Company and, therefore, involve a number of risks and uncertainties. The Company’s management cautions that forward–looking statements are not guarantees and that actual results could differ materially from those expressed or implied in the forward–looking statements. The following discussion should be read in conjunction with the unaudited consolidated interim financial statements and related notes included elsewhere in this report. 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are a leading designer, developer and manufacturer of mixed-signal and digital multimedia semiconductors addressing the convergence of consumer electronics and communication devices. We focus our core business on Complementary Metal-Oxide Semiconductor (“CMOS”) image sensors and flat panel display drivers, which are complex, high-performance mixed-signal semiconductors that capture images and enable and enhance the features and capabilities of both small and large flat panel displays. We also provide wafer foundry services utilizing CMOS high voltage, embedded memory, analog and power process technologies for the manufacture of IC’s for customer-owned designs.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PDAs and audio-visual equipment such as DVD players.</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derive our net sales from products and services in three principal areas: CMOS imaging solutions, display solutions, and semiconductor manufacturing services.</w:t>
      </w:r>
    </w:p>
    <w:p>
      <w:pPr>
        <w:spacing w:after="0" w:line="37" w:lineRule="exact"/>
        <w:rPr>
          <w:sz w:val="20"/>
          <w:szCs w:val="20"/>
          <w:color w:val="auto"/>
        </w:rPr>
      </w:pPr>
    </w:p>
    <w:p>
      <w:pPr>
        <w:ind w:left="780" w:right="10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CMOS imaging solutions: </w:t>
      </w:r>
      <w:r>
        <w:rPr>
          <w:rFonts w:ascii="Arial" w:cs="Arial" w:eastAsia="Arial" w:hAnsi="Arial"/>
          <w:sz w:val="18"/>
          <w:szCs w:val="18"/>
          <w:color w:val="auto"/>
        </w:rPr>
        <w:t>Our CMOS image sensor solutions are used in image-capture applications such as camera-equipped mobile handsets,</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 computer cameras, fingerprint sensors and surveillance cameras. Our highly integrated image sensors are designed to be cost-effective and to provide brighter, sharper, more colorful, and thus enhanced, image quality.</w:t>
      </w:r>
    </w:p>
    <w:p>
      <w:pPr>
        <w:spacing w:after="0" w:line="45" w:lineRule="exact"/>
        <w:rPr>
          <w:rFonts w:ascii="Arial" w:cs="Arial" w:eastAsia="Arial" w:hAnsi="Arial"/>
          <w:sz w:val="18"/>
          <w:szCs w:val="18"/>
          <w:color w:val="auto"/>
        </w:rPr>
      </w:pPr>
    </w:p>
    <w:p>
      <w:pPr>
        <w:ind w:left="780" w:right="40" w:hanging="326"/>
        <w:spacing w:after="0" w:line="294"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Our flat panel display drivers are used in several major types of large and small flat panel displays, including TFT-LCD, Color-STN</w:t>
      </w:r>
      <w:r>
        <w:rPr>
          <w:rFonts w:ascii="Arial" w:cs="Arial" w:eastAsia="Arial" w:hAnsi="Arial"/>
          <w:sz w:val="16"/>
          <w:szCs w:val="16"/>
          <w:i w:val="1"/>
          <w:iCs w:val="1"/>
          <w:color w:val="auto"/>
        </w:rPr>
        <w:t xml:space="preserve"> </w:t>
      </w:r>
      <w:r>
        <w:rPr>
          <w:rFonts w:ascii="Arial" w:cs="Arial" w:eastAsia="Arial" w:hAnsi="Arial"/>
          <w:sz w:val="16"/>
          <w:szCs w:val="16"/>
          <w:color w:val="auto"/>
        </w:rPr>
        <w:t>and OLED displays. Our flat panel display solutions are used in applications such as mobile handsets, flat panel televisions, displays for portable and desktop computers, handheld gaming devices and PDAs. We produce highly integrated flat panel display driver solutions and have pioneered developments in embedded memory and in the design and manufacturing of display drivers, enabling our customers to provide improved picture quality through thinner, smaller and more power efficient displays.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0" w:hanging="326"/>
        <w:spacing w:after="0" w:line="256"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We use our process technology and manufacturing facilities to manufacture semiconductor wafers for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based on their designs. Our five fabs have a combined capacity of over 115,000 eight-inch equivalent wafers per month and are located in Cheongju and Gumi, Korea. Our fabs provide us with large scale, cost-effective and flexible capacity enabling us to rapidly scale to high volume to meet shifts in demand by our end customers.</w:t>
      </w:r>
    </w:p>
    <w:p>
      <w:pPr>
        <w:spacing w:after="0" w:line="13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business was named MagnaChip Semiconductor when it was acquired from Hynix Semiconductor on October 6, 2004, by Citigroup Venture Capital Equity Partners, or CVC, Francisco Partners, CVC Asia Pacific, certain members of management and other investors, following discussions with Hynix that began in late 2001 and the execution of a definitive agreement in June 2004. Previously, we were the System IC division within Hynix which, in 1999, had been formed from a merger between the Hyundai Electronics and LG Semiconductor System IC businesses and can trace its history back to the late 1970s. Although we were previously part of Hynix, our business had a history of operating autonomously within Hynix and had a separate global sales force and management structure.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October 1, 2004, our consolidated financial statements were prepared on a carve-out basis from the consolidated financial statements and accounting records of Hynix using the actual results of operations and actual basis of assets and liabilities of our business. The consolidated statements of operations include allocations of certain raw materials, other assets and accounts payable which our business has historically shared with Hynix, and allocations of certain manufacturing costs, general and administrative, sales and marketing, and other miscellaneous expenses. These allocations were made on a specifically identifiable basis or using the relative percentages, as compared to Hynix’s other businesses, of sales, headcount, raw material consumption or other reasonable methods. We and Hynix considered these allocations to be a reasonable reflection of the utilization of services provided. Our expenses as a separate, stand alone company may be higher or lower than the amounts reflected in the consolidated statements of operations.</w:t>
      </w:r>
    </w:p>
    <w:p>
      <w:pPr>
        <w:spacing w:after="0" w:line="105"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We believe the assumptions underlying the consolidated financial statements are reasonable. However, the consolidated financial statements may not necessarily reflect our results of operations, financial position and cash flows in the future or what our results of operations, financial position and cash flows would have been had we been a separate stand-alone company during the historical carve-out periods presented. As part of the Acquisition, we did not acquire certain assets that were included in the carve-out financial statements and we assumed certain additional obligations that are not reflected in the carve-out financial statements. Accordingly, the carve-out financial statements should not be relied upon as being representative of our financial position or operating results had we operated on a stand alone basis, nor may they be representative of our financial position or operating results following the Acquisition.</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Three-Month Periods Ended October 2, 2005 and September 30,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0"/>
              </w:rPr>
              <w:t>Three months ended</w:t>
            </w:r>
          </w:p>
        </w:tc>
        <w:tc>
          <w:tcPr>
            <w:tcW w:w="160" w:type="dxa"/>
            <w:vAlign w:val="bottom"/>
          </w:tcPr>
          <w:p>
            <w:pPr>
              <w:spacing w:after="0"/>
              <w:rPr>
                <w:sz w:val="14"/>
                <w:szCs w:val="14"/>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0"/>
              </w:rPr>
              <w:t>Three months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5"/>
              </w:rPr>
              <w:t>October 2, 2005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5"/>
              </w:rPr>
              <w:t>September 30, 2004</w:t>
            </w:r>
          </w:p>
        </w:tc>
        <w:tc>
          <w:tcPr>
            <w:tcW w:w="14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of</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Amount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net sales</w:t>
            </w:r>
          </w:p>
        </w:tc>
        <w:tc>
          <w:tcPr>
            <w:tcW w:w="160" w:type="dxa"/>
            <w:vAlign w:val="bottom"/>
          </w:tcPr>
          <w:p>
            <w:pPr>
              <w:spacing w:after="0"/>
              <w:rPr>
                <w:sz w:val="15"/>
                <w:szCs w:val="15"/>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Amount</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net sales</w:t>
            </w: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6"/>
              </w:rPr>
              <w:t>Amount</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6"/>
          </w:tcPr>
          <w:p>
            <w:pPr>
              <w:jc w:val="right"/>
              <w:ind w:right="420"/>
              <w:spacing w:after="0"/>
              <w:rPr>
                <w:sz w:val="20"/>
                <w:szCs w:val="20"/>
                <w:color w:val="auto"/>
              </w:rPr>
            </w:pPr>
            <w:r>
              <w:rPr>
                <w:rFonts w:ascii="Arial" w:cs="Arial" w:eastAsia="Arial" w:hAnsi="Arial"/>
                <w:sz w:val="14"/>
                <w:szCs w:val="14"/>
                <w:b w:val="1"/>
                <w:bCs w:val="1"/>
                <w:i w:val="1"/>
                <w:iCs w:val="1"/>
                <w:color w:val="auto"/>
                <w:w w:val="86"/>
              </w:rPr>
              <w:t>(in millions of US dollars)</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Related party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w w:val="83"/>
              </w:rPr>
              <w:t>$ (41.3)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243.1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236.1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243.1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277.4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181.2</w:t>
            </w:r>
          </w:p>
        </w:tc>
        <w:tc>
          <w:tcPr>
            <w:tcW w:w="2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220.6</w:t>
            </w:r>
          </w:p>
        </w:tc>
        <w:tc>
          <w:tcPr>
            <w:tcW w:w="2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79.5%</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(39.4)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(0.5)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19"/>
                <w:szCs w:val="19"/>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(310.8)%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tax expenses (benefit)</w:t>
            </w: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3"/>
              </w:rPr>
              <w:t>$ (18.9)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(331.6)%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3644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644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the three-month period ended October 2, 2005 were $243.1 million, a $34.3 million or 12.4% decrease from $277.4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three-month period ended September 30, 2004. The reduction from prior-year revenue was primarily due to a decrease of $32.5 million or 78.7% in DRAM foundry business with Hynix. This reduction was due to our strategic decision to focus manufacturing capacity and processes on expanding CMOS image sensor capability, which should help improve prospects for increased profitability and growth in the long term. The effect of this decision was a reduction in available capacity to supply Hynix with memory products and lower sales.</w:t>
      </w:r>
    </w:p>
    <w:p>
      <w:pPr>
        <w:spacing w:after="0" w:line="10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Revenues from our core business for the three month period ended October 2, 2005 increased $4.3 million or 2.0% from $217.3 million for the three month period ended September 30, 2004. The slight increase was related to a shift in mix and generally favorable revenue trends in our display solution business and an increase in market demand. Revenue decreases in our imaging solution business and semiconductor manufacturing services were attributable to lower average sales prices and the timing of new design wins ramping into volume production. Our application processor revenue decreased as a result of repositioning these products, de-emphasizing optical storage device products to focus on consumer appliance and mobile device application areas. We believe that this is more in line with our global focus and we can leverage our infrastructure to maximize opportunity in larger markets.</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Net sales to related parties in the quarter ended October 2, 2005 decreased by $41.3 million from the third quarter of 2004. Subsequent to the Acquisition date, all sales made to Hynix were classified as customer sales as the two companies are now separate and do not require related party revenue classification. Net sales to others for the quarter ended October 2, 2005 increased by $7.0 million or 3.0 % from the third quarter in the prior year.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was $181.2 million in the third quarter of 2005, a $39.4 million or 17.9% decrease from $220.6 million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2004. The decrease was primarily due to a lower revenue base and a reduction in depreciation expenses associated with the application of purchase accounting in connection with the Acquisition. Cost of sales as a percentage of net sales decreased by 5.0% to 74.5% in the current-year period from 79.5% in the prior-year period.</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$28.2 million or 11.6% of net sales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October 2, 2005. This represents a $10.2 million or 56.7% increase from $18.0 million or 6.5% of net sales in the three months ended September 30, 2004. The increase in selling, general and administrative expenses was primarily attributable to amortization of intangible assets recorded in purchase accounting as a result of the Acquisition. We also recognized increased professional fees related to consulting and infrastructure build-out as well as additional warranty reserves to cover possible exposure of future claims from customers.</w:t>
      </w:r>
    </w:p>
    <w:p>
      <w:pPr>
        <w:spacing w:after="0" w:line="10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relatively flat at $27.0 million in the three-month period ended October 2,</w:t>
      </w:r>
      <w:r>
        <w:rPr>
          <w:rFonts w:ascii="Arial" w:cs="Arial" w:eastAsia="Arial" w:hAnsi="Arial"/>
          <w:sz w:val="18"/>
          <w:szCs w:val="18"/>
          <w:i w:val="1"/>
          <w:iCs w:val="1"/>
          <w:color w:val="auto"/>
        </w:rPr>
        <w:t xml:space="preserve"> </w:t>
      </w:r>
      <w:r>
        <w:rPr>
          <w:rFonts w:ascii="Arial" w:cs="Arial" w:eastAsia="Arial" w:hAnsi="Arial"/>
          <w:sz w:val="18"/>
          <w:szCs w:val="18"/>
          <w:color w:val="auto"/>
        </w:rPr>
        <w:t>2005, compared to $27.5 million in the three months ended September 30, 2004. We continue to invest in our research and development centers worldwide and process technology to support next generation products. As a percentage of net sales, research and development expense increased to 11.1% during the third quarter of 2005 from 9.9% in the third quarter of 2004.</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for the three-month period ended October 2, 2005 was $6.7 million, a $4.6 million or 40.7% decrease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income of $11.3 million for the three-month period ended September 30, 2004. Operating income as a percentage of net sales was 2.8% and 4.1% in the third quarters of 2005 and 2004, respectively.</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$14.9 million during the three-month period ended October 2, 2005, a $10.0 million increase from $4.9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three-month period ended September 30, 2004. The increase in net interest expense was primarily due to the interest expense from the long-term debt of $750.0 million in the current year quarter versus $249.1 million in long-term debt on a carve-out basis at September 30, 2004. Refer to Note 4. Short-term and Long-term Borrowings for details.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Income tax benefit was $0.5 million in the third quarter of 2005, compared to income tax expense of $0.8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quarter of 2004. Income tax benefit for the quarter ended October 2, 2005 was primarily attributable to the increase of a deferred tax asset based on expected future utilization of the Company’s cumulative tax net operating loss. This tax benefit is offset by the effect of the Korean withholding tax on the interest income paid to our Korean subsidiary’s parent company. Due to the uncertainty of utilization for foreign tax credits, the Korean withholding tax was treated as a current tax expense to the Company.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Nine - Month Periods Ended October 2, 2005 and September 30,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9"/>
              </w:rPr>
              <w:t>Nine months ended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4"/>
              </w:rPr>
              <w:t>Nine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2"/>
              </w:rPr>
              <w:t>October 2, 2005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 2004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0"/>
              </w:rPr>
              <w:t>net sales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0"/>
              </w:rPr>
              <w:t>net sales</w:t>
            </w:r>
          </w:p>
        </w:tc>
        <w:tc>
          <w:tcPr>
            <w:tcW w:w="100" w:type="dxa"/>
            <w:vAlign w:val="bottom"/>
          </w:tcPr>
          <w:p>
            <w:pPr>
              <w:spacing w:after="0"/>
              <w:rPr>
                <w:sz w:val="15"/>
                <w:szCs w:val="15"/>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7"/>
          </w:tcPr>
          <w:p>
            <w:pPr>
              <w:jc w:val="center"/>
              <w:ind w:right="160"/>
              <w:spacing w:after="0"/>
              <w:rPr>
                <w:sz w:val="20"/>
                <w:szCs w:val="20"/>
                <w:color w:val="auto"/>
              </w:rPr>
            </w:pPr>
            <w:r>
              <w:rPr>
                <w:rFonts w:ascii="Arial" w:cs="Arial" w:eastAsia="Arial" w:hAnsi="Arial"/>
                <w:sz w:val="14"/>
                <w:szCs w:val="14"/>
                <w:b w:val="1"/>
                <w:bCs w:val="1"/>
                <w:i w:val="1"/>
                <w:iCs w:val="1"/>
                <w:color w:val="auto"/>
                <w:w w:val="85"/>
              </w:rPr>
              <w:t>(in millions of US dollars)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Related party</w:t>
            </w:r>
          </w:p>
        </w:tc>
        <w:tc>
          <w:tcPr>
            <w:tcW w:w="1820" w:type="dxa"/>
            <w:vAlign w:val="bottom"/>
            <w:gridSpan w:val="2"/>
          </w:tcPr>
          <w:p>
            <w:pPr>
              <w:ind w:left="17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163.8</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$(163.8)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692.5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677.8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w:t>
            </w: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692.5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841.6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(149.1)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sales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544.2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654.6</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77.8%</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(110.4)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148.3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(38.7)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35.2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80.6</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4.9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(30.2)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expense, net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(42.8)</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(25.1)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(77.7)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(123.8)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(268.5)%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tax expenses (benefit)</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(2.5)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2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(78.0)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$(121.3)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(280.1)%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-29210</wp:posOffset>
            </wp:positionV>
            <wp:extent cx="34734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3816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nine-month period ended October 2, 2005 were $692.5 million. This represents a $149.1 million or 17.7% decrease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$841.6 million for the nine-month period ended September 30, 2004. This decrease in net sales is primarily attributable to a reduction in DRAM foundry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Hynix and revenue from our application processor product line. As mentioned previously, we have realigned these products to focus on consumer appliance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mobile application areas where our strategic and technical strength can be leveraged and is more consistent with our core business.</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nine months ended October 2, 2005, revenues from our core business declined by $6.3 million primarily due to higher display solutions revenues from higher market demand being more than offset by declines in our CMOS imaging solution business and semiconductor manufacturing services. The decrease in CMOS imaging solution revenues was due to the decrease in average selling price. The decrease in semiconductor manufacturing services revenues was attributable to lower volume coupled with a decline in average selling price.</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Net sales to related parties for the current period decreased by $163.8 million from the prior-year period. Subsequent to the Acquisition date, all sales made to Hynix were not reflected as Related Party sales. We do not break out sales to Hynix as an independent company. During the nine-month period ended October 2, 2005, net sales to others were $692.5 million, a $14.7 million or 2.2% increase from the nine-month period ended September 30, 2004.</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were $544.2 million for the nine-month period ended October 2, 2005, a $110.4 million or 16.9% decrease from $654.6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prior-year period. The decrease in cost of sales was attributable to lower revenue and reduced depreciation expense, which is attributable to the Acquisition. Also included in cost of sales in the current-year period was $4.5 million in amortization of the fair market value of inventory in conjunction with the valuation of assets in purchase accounting resulting from the Acquisition. Cost of sales as a percentage of net sales was 78.6% for the nine-month period compared to 77.8% for the prior-year period primarily due to higher variable costs, partially offset by reduction in depreciation expense.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$89.2 million or 12.9% of net sales for the nine-month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ended October 2, 2005, a $35.2 million or 65.2% increase from the prior-period selling, general and administrative expenses of $54.0 million or 6.4% of net sales. The increase in SG&amp;A expenses was primarily attributable to increased amortization costs due to purchase accounting resulting from the Acquisition as well as increased professional fees, partially offset by reduced stock option expenses.</w:t>
      </w:r>
    </w:p>
    <w:p>
      <w:pPr>
        <w:spacing w:after="0" w:line="13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$80.6 million for the nine-month period ended October 2, 2005, a $4.9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6.5% increase compared to $75.7 million for the nine-month period ended September 30, 2004. This increase was primarily attributable to increased labor costs, resulting from the addition of senior engineering headcount from the acquisitions of ISRON Corporation and IC Media Corporation coupled with improved development tools and associated maintenance contracts. Research and development expenses as a percentage of net sales for current-year period was 11.6% compared to 9.0% in the prior-year period.</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Restructuring and Impairment Charges</w:t>
      </w:r>
      <w:r>
        <w:rPr>
          <w:rFonts w:ascii="Arial" w:cs="Arial" w:eastAsia="Arial" w:hAnsi="Arial"/>
          <w:sz w:val="18"/>
          <w:szCs w:val="18"/>
          <w:color w:val="auto"/>
        </w:rPr>
        <w:t>. During the current year period, the Company recorded a one-time charge of $8.7 million for restructuring and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This amount included $8.0 million for long-lived asset impairment and $0.7 million for an early retirement program. Refer to Note 9. Restructuring and Impairment Charges for details.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Operating Income (Loss)</w:t>
      </w:r>
      <w:r>
        <w:rPr>
          <w:rFonts w:ascii="Arial" w:cs="Arial" w:eastAsia="Arial" w:hAnsi="Arial"/>
          <w:sz w:val="16"/>
          <w:szCs w:val="16"/>
          <w:color w:val="auto"/>
        </w:rPr>
        <w:t>. Operating loss for the nine-month period ended October 2, 2005 was $30.2 million, an $87.5 million decrease from the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$57.3 million for the nine-month period ended September 30, 2004. Operating loss as a percentage of net sales was 4.4% in current-year period compared to operating income as a percentage of net sales of 6.8% in the same period during 2004. The current period operating loss was primarily attributable to a decrease in net sales due to a realignment of our businesses and an increase in our operating expenses which included higher intangible amortization resulting from the Acquisition, professional fees and one-time charges mentioned above.</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$42.8 million during the nine-month period ended October 2, 2005, a $25.1 million or 141.8% increase from</w:t>
      </w:r>
      <w:r>
        <w:rPr>
          <w:rFonts w:ascii="Arial" w:cs="Arial" w:eastAsia="Arial" w:hAnsi="Arial"/>
          <w:sz w:val="18"/>
          <w:szCs w:val="18"/>
          <w:i w:val="1"/>
          <w:iCs w:val="1"/>
          <w:color w:val="auto"/>
        </w:rPr>
        <w:t xml:space="preserve"> </w:t>
      </w:r>
      <w:r>
        <w:rPr>
          <w:rFonts w:ascii="Arial" w:cs="Arial" w:eastAsia="Arial" w:hAnsi="Arial"/>
          <w:sz w:val="18"/>
          <w:szCs w:val="18"/>
          <w:color w:val="auto"/>
        </w:rPr>
        <w:t>$17.7 million for the nine-month period ended September 30, 2004. The increase in net interest expense was primarily due to the resulting interest expense associated with the outstanding long-term debt of $750.0 million in the current year period versus $249.1 million in long-term debt on a carve-out basis at September 30, 2004. Refer to Note 4. Short-term and Long-term Borrowings for details.</w:t>
      </w:r>
    </w:p>
    <w:p>
      <w:pPr>
        <w:spacing w:after="0" w:line="13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Income tax expense was $0.3 million for the nine-month ended October 2, 2005, a $2.5 million decrease from $2.8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nine-month period ended September 30, 2004. Income tax expense of current year period was principally attributable to the effect of the Korean withholding tax on the interest income paid to our Korean subsidiary’s parent company that was mostly offset by the recognition of a deferred tax asset for expected future utilization of the Company’s cumulative tax net operating loss. Due to the uncertainty of utilization for foreign tax credits, the Korean withholding tax was treated as a current tax expense to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principal capital requirements are to fund working capital needs, meet required debt payments, including debt service payments on the notes and, if drawn upon, the senior credit facility, to invest in research and development and capital expenditures. We anticipate that operating cash flow, together with available borrowing capacity under our senior credit facility, will be sufficient to meet our working capital needs, our research and development and capital expenditures and service requirements on our debt obligations for the foreseeable future. As of October 2, 2005 we had total long-term debt outstanding of $750.0 million.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generated cash from operating activities of $57.2 million and $312.2 million for the nine-month periods ended October 2, 2005 and September 30, 2004, respectively. The decrease in cash from operating activities between the two periods was primarily due to a 20.7% decrease in gross profit and a 26.5% increase in operating expense on a cash basis.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working capital balance as of October 2, 2005 was $128.0 million compared to $129.3 million as of December 31, 2004. Increases in accounts payable and short-term borrowings resulting from higher capital equipment purchases during the nine-month period ended October 2, 2005 were mostly offset by an increase in accounts receivable.</w:t>
      </w:r>
    </w:p>
    <w:p>
      <w:pPr>
        <w:spacing w:after="0" w:line="12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Investing activities included cash outlays of approximately $46.9 million and $85.3 million for the nine-month periods ended October 2, 2005 and September 30, 2004, respectively. The decrease in cash used for investing activities was due to lower expenditures on plant, property and equipment year over year, partially offset by an increase in cash spent on business acquisitions in the current year.</w:t>
      </w:r>
    </w:p>
    <w:p>
      <w:pPr>
        <w:spacing w:after="0" w:line="12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used $1.9 million during the nine-month period ended October 2, 2005 and $226.8 million for nine-month period ended September 30, 2004 for financing activities. In the current year, the Company repaid short-term borrowings of $12.4 million and obtained short-term borrowings of $10.6 million. In the prior year, the Company repaid short-term and long-term borrowings in the amounts of $46.9 million and $179.9 million, respectively.</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For the nine-month period ended October 2, 2005, capital expenditures totaled $41.5 million compared to $86.7 million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nine-month period ended September 30, 2004. The year over year decrease was due to management of the timing of capital expenditures, to balancing demand of new and existing businesses and to optimizing returns on investment.</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Future Financing Activities. </w:t>
      </w:r>
      <w:r>
        <w:rPr>
          <w:rFonts w:ascii="Arial" w:cs="Arial" w:eastAsia="Arial" w:hAnsi="Arial"/>
          <w:sz w:val="16"/>
          <w:szCs w:val="16"/>
          <w:color w:val="auto"/>
        </w:rPr>
        <w:t>Our primary future capital requirements on a recurring basis will be funding working capital needs, meeting required debt</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funding research and development, and capital expenditures. Going forward, we expect to make investments in advanced software and hardware design tools that increase our design engineer productivity. In addition, we plan to add design centers in key geographical locations near our strategic customers. We anticipate that operating cash flows, together with available borrowings under our senior credit facility, will be sufficient to meet these capital requirements for the foreseeable future. We may from time to time incur additional debt.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Summarized in the table below are our obligations and commitments to make future payments under debt obligations and minimum lease payment obligations as of October 2,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6"/>
              </w:rPr>
              <w:t>Payments Due by Period</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69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6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8"/>
              </w:rPr>
              <w:t>Interest</w:t>
            </w:r>
          </w:p>
        </w:tc>
      </w:tr>
      <w:tr>
        <w:trPr>
          <w:trHeight w:val="174"/>
        </w:trPr>
        <w:tc>
          <w:tcPr>
            <w:tcW w:w="696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9"/>
              </w:rPr>
              <w:t>expense</w:t>
            </w:r>
          </w:p>
        </w:tc>
      </w:tr>
      <w:tr>
        <w:trPr>
          <w:trHeight w:val="95"/>
        </w:trPr>
        <w:tc>
          <w:tcPr>
            <w:tcW w:w="69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6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7"/>
          </w:tcPr>
          <w:p>
            <w:pPr>
              <w:jc w:val="center"/>
              <w:ind w:right="140"/>
              <w:spacing w:after="0"/>
              <w:rPr>
                <w:sz w:val="20"/>
                <w:szCs w:val="20"/>
                <w:color w:val="auto"/>
              </w:rPr>
            </w:pPr>
            <w:r>
              <w:rPr>
                <w:rFonts w:ascii="Arial" w:cs="Arial" w:eastAsia="Arial" w:hAnsi="Arial"/>
                <w:sz w:val="14"/>
                <w:szCs w:val="14"/>
                <w:b w:val="1"/>
                <w:bCs w:val="1"/>
                <w:i w:val="1"/>
                <w:iCs w:val="1"/>
                <w:color w:val="auto"/>
                <w:w w:val="86"/>
              </w:rPr>
              <w:t>(in millions of US Dollars)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Secured notes and subordinated notes(*)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750.0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Others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Excludes interest obligations on the revolving credit facility and the notes.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Unit/Stock-based Compensation Expense</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For options granted to employees on or after October 6, 2004, we record a compensation charge equal to the excess, if any, of the deemed fair value of the stock at the measurement date over the option exercise price, in accordance with Accounting Principles Board Opinion No. 25. </w:t>
      </w:r>
      <w:r>
        <w:rPr>
          <w:rFonts w:ascii="Arial" w:cs="Arial" w:eastAsia="Arial" w:hAnsi="Arial"/>
          <w:sz w:val="18"/>
          <w:szCs w:val="18"/>
          <w:i w:val="1"/>
          <w:iCs w:val="1"/>
          <w:color w:val="auto"/>
        </w:rPr>
        <w:t>Accounting for Stock Issued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Employees. </w:t>
      </w:r>
      <w:r>
        <w:rPr>
          <w:rFonts w:ascii="Arial" w:cs="Arial" w:eastAsia="Arial" w:hAnsi="Arial"/>
          <w:sz w:val="18"/>
          <w:szCs w:val="18"/>
          <w:color w:val="auto"/>
        </w:rPr>
        <w:t>All of the option grants during this period reflected an exercise price equal to or higher than the fair value, therefore, no compensation expense was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Refer to Note 8. Unit-Based Compensation for details.</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Options were previously granted by Hynix to our employees and the related compensation costs are reflected in the historical financials. For the three months ended September 30, 2004, $0.5 million was reversed out from previously recorded expenses primarily as a result of changes in market value of Hynix common stock, whereas $3.3 million was recorded as expense for the nine months ended September 30, 2004. None of these options were transferred as part of the Acquisition, and therefore, no additional future charges will be required related to these previously issued option grants. We have established a new employee option plan and intend to make grants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In December 2004, FASB issued SFAS 123(R), </w:t>
      </w:r>
      <w:r>
        <w:rPr>
          <w:rFonts w:ascii="Arial" w:cs="Arial" w:eastAsia="Arial" w:hAnsi="Arial"/>
          <w:sz w:val="16"/>
          <w:szCs w:val="16"/>
          <w:i w:val="1"/>
          <w:iCs w:val="1"/>
          <w:color w:val="auto"/>
        </w:rPr>
        <w:t>Share-Based Payment (revised 2004)</w:t>
      </w:r>
      <w:r>
        <w:rPr>
          <w:rFonts w:ascii="Arial" w:cs="Arial" w:eastAsia="Arial" w:hAnsi="Arial"/>
          <w:sz w:val="16"/>
          <w:szCs w:val="16"/>
          <w:color w:val="auto"/>
        </w:rPr>
        <w:t>. This revision will affect current practice in a number of ways, including the elimination of the alternative to use the intrinsic value method of accounting from Accounting Principles Board (“APB”) Opinion No. 25 that was provided in FASB Statement No.123 as originally issued. Pursuant to this statement, companies are required to record stock option expense in its financial statements based on a fair value methodology. This statement will become effective and impact the Company on January 1, 2006. The Company is currently evaluating the impact of this proposed FASB Statement on its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xml:space="preserve"> an amendment of ARB No. 43, Chapter 4. This Statement amends the guidance in Accounting Research Bulletin (“ARB”) No. 43, Chapter 4, </w:t>
      </w:r>
      <w:r>
        <w:rPr>
          <w:rFonts w:ascii="Arial" w:cs="Arial" w:eastAsia="Arial" w:hAnsi="Arial"/>
          <w:sz w:val="18"/>
          <w:szCs w:val="18"/>
          <w:i w:val="1"/>
          <w:iCs w:val="1"/>
          <w:color w:val="auto"/>
        </w:rPr>
        <w:t>Inventory Pricing</w:t>
      </w:r>
      <w:r>
        <w:rPr>
          <w:rFonts w:ascii="Arial" w:cs="Arial" w:eastAsia="Arial" w:hAnsi="Arial"/>
          <w:sz w:val="18"/>
          <w:szCs w:val="18"/>
          <w:color w:val="auto"/>
        </w:rPr>
        <w:t>, to clarify the accounting for abnormal amounts of idle facility expense, freight, handling costs, and wasted material (spoilage), and requires that allocation of fixed production overheads to the costs of conversion be based on the normal capacity of the production facilities. The effective date for the Company was January 1, 2005, and there was no material impact on our financial statements resulting from this proposed FASB Statement.</w:t>
      </w:r>
    </w:p>
    <w:p>
      <w:pPr>
        <w:spacing w:after="0" w:line="1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May 2005, the FASB issued SFAS 154, Accounting Changes and Error Corrections – a replacement of APB Opinion No. 20 and FASB Statement No. 3. This Statement supersedes APB Opinion No. 20, Accounting Changes and FASB Statement No. 3, Reporting Accounting Changes in Interim Financial Statements, and changes the requirements for the accounting and reporting for a change in accounting principle. This statement requires retrospective application to prior periods’ financial statements of changes in accounting principle, unless it is impracticable to determine either the period-specific effects or the cumulative effect of the change. This standard is effective for accounting changes and corrections of errors made in fiscal years beginning after December 15, 2005. The adoption of this standard will have no impact on our financial statements. To our knowledge, no accounting changes or errors have occurred in the current or prior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cyclical nature of the semiconductor industry may limit our ability to maintain or increase net sales and profit levels during industry downturns.</w:t>
      </w:r>
    </w:p>
    <w:p>
      <w:pPr>
        <w:spacing w:after="0" w:line="10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semiconductor industry is highly cyclical and periodically experiences significant economic downturns characterized by diminished product demand, resulting in production overcapacity and excess inventory in the markets we serve, which can result in rapid erosion of average selling prices. The industry has experienced significant downturns, often in connection with, or in anticipation of, maturing product cycles of both semiconductor companies’ and their customers’ products and the decline in general economic conditions.</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experienced these conditions in our business in the past and may experience renewed, and possibly more severe and prolonged, downturns in the future as a result of such cyclical changes. This may reduce our profitability and the value of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demand is difficult to accurately forecast.</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requirements. The short-term nature of commitments by many of our customers and the possibility of rapid changes in demand for their products reduces our ability to accurately estimate future customer demand. On occasion, customers may require rapid increases in production, which can challenge our resources and reduce margins. We may not have sufficient capacity at any given time to meet our customers’ increased demand for our product. Conversely, downturns in the semiconductor industry may cause and have caused our customers to significantly reduce the amount of products ordered from us. Because many of our costs and operating expenses are relatively fixed, a reduction in customer demand may decrease our gross margins and operating income.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change production quantities or delay production.</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change production quantities or delay production for a number of reasons. Cancellations, reductions or delays by a significant customer or by a group of customers, which we have experienced as a result of the recent downturn in the semiconductor industry, have adversely affected and may continue to adversely affect our results of operations. In addition, while we do not obtain long-term purchase commitments, we generally agree to the pricing of a particular product for the entire lifecycle of the product, which can extend over a number of years. If we underestimate our costs when determining the pricing, our margins and results of operations would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If we were to lose key customers or if customers cease to place orders for our high volume devices, our financial results will be adversely affected. While we served more than 190 customers in the nine-month period ended October 2, 2005, net sales to our 10 largest customers represented approximately 63.5% of our net revenue for the period. We had one customer representing greater than 10% of our revenue during the quarter ended October 2, 2005. Significant reductions in sales to any of these customers, the loss of major customers or the curtailment of orders for our high-volume devices within a short period of time would adversely affect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Current and prospective customers for our products evaluate our capabilities against the merits of our direct competitors. Some of our competitors are well-established as independent companies and have substantially greater market share and manufacturing, financial, research and development and marketing resources than we do. We also compete with emerging companies that are attempting to sell their products in specialized markets, and with the internal capabilities of many of our significant customers. We expect to experience continuing competitive pressures in our markets from existing competitors and new entrants. Any consolidation among our competitors could enhance their product offerings and financial resources, further enhancing their competitive position. Our ability to compete successfully depends on a number of factors, including the following: our ability to offer cost effective products on a timely basis using our technologies; our ability to accurately identify and respond to emerging technological trends and demand for product features and performance characteristics; product introductions by our competitors; our ability to adopt or adapt to emerging industry standards; and the number and nature of our competitors in a given market. Many of these factors are outside of our control. In the future, our competitors may capture our existing or potential customers and our customers may satisfy more of their requirements internally. As a result, we may experience declining revenues and profits.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average selling prices could decrease our profits.</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the past, our industry has experienced a decline in average selling prices. A decline in average selling prices for our products, if not offset by reductions in the costs of producing such products, would decrease our gross profits and could have a material adverse effect on our business, financial condition and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 the consumer electronics and other end markets for our products is an important component in our success.</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continued success will depend in part on the growth of various consumer electronics markets and other end markets that use our semiconductors and on general economic growth. To the extent that we cannot offset recessionary periods or periods of reduced growth that may occur in these markets through greater penetration of these markets, our sales may decline and our business, financial condition and results of operations may suffer as a result.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technological advances for growth.</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leading edge process technologies or to license or otherwise obtain essential intellectual property required by our customers. Our inability to continue identifying new product opportunities, or manufacturing technologically advanced products on a cost-effective basis, may result in decreased revenues and a loss of market share to our competitors.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or retain the technical or management employees necessary to remain competitive in our industry.</w:t>
      </w:r>
    </w:p>
    <w:p>
      <w:pPr>
        <w:spacing w:after="0" w:line="8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depend on our ability to attract and retain skilled technical and managerial personnel. Generally, with the exception of certain key executives, our employees are not bound by employment or noncompetition agreements. We could lose the services of, or fail to recruit, skilled personnel, which could hinder our research and product development programs or otherwise have a material adverse effect on our business.</w:t>
      </w:r>
    </w:p>
    <w:p>
      <w:pPr>
        <w:spacing w:after="0" w:line="87"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in a timely manner which could adversely affect our revenues and profitability.</w:t>
      </w:r>
    </w:p>
    <w:p>
      <w:pPr>
        <w:spacing w:after="0" w:line="31"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As of October 2, 2005, approximately 60% of our employees were represented by the MagnaChip Semiconductor Labor Union, which is a member of the Federation of Korean Metal Workers Trade Unions. We cannot assure you that issues with the labor union and other employees will be resolved favorably for us in the future, that we will not experience significant work stoppages in future years or that we will not record significant charges related to those work stoppages.</w:t>
      </w:r>
    </w:p>
    <w:p>
      <w:pPr>
        <w:spacing w:after="0" w:line="6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the anticipated benefits of those transactions may not be realized.</w:t>
      </w:r>
    </w:p>
    <w:p>
      <w:pPr>
        <w:spacing w:after="0" w:line="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Those transactions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worth less than the amount paid for them in the Acquisition. In addition, our senior secured credit facility and the indentures governing the notes may prohibit us from making acquisitions that we may otherwise wish to pursue.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83"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As many of our costs are fixed, a reduction in capacity utilization, together with other factors such as yield and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manufacture of semiconductors requires precision, a highly-regulated and sterile environment and expensive equipment. We may have difficulty achieving acceptable yields in the manufacture of our products. Slight impurities or defects in the masks used to print circuits on a wafer or other factors can cause significant difficulties, particularly in connection with the production of a new product, the adoption of a new manufacturing process or any expansion of our manufacturing capacity and related transitions.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certain subcontractors.</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majority of our net sales are derived from semiconductor devices assembled in advanced packages. The packaging of semiconductors is a complex process requiring, among other things, a high degree of technical skill and advanced equipment. We outsource our semiconductor packaging to subcontractors, most of which are located in Korea and Southeast Asia. We rely on these subcontractors to package our devices with acceptable quality and yield levels. If our semiconductor packagers experience problems in packaging our semiconductor devices or experience prolonged quality or yield problems, our operating results could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gases, precious metals and electronic and mechanical components. We procure materials and electronic and mechanical components from domestic and foreign sources and original equipment manufacturers. As a division of Hynix, we were able to take advantage of Hynix’s size and purchasing power in procuring parts and materials. As an independent company, we are smaller and less diversified than Hynix, and we may be unable to obtain parts and materials at prices and on terms as favorable as those available to us prior to the separation from Hynix in October 2004. If we cannot obtain adequate materials in a timely manner or on favorable terms for the manufacture of our products, either or both of our revenues or profits will decline.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liability risks and the risk of negative publicity if our products fail.</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are exposed to the product liability risk and the risk of negative publicity affecting our customers and suppliers. Our sales may decline if any of our customers are sued on a product liability claim. We may also suffer a decline in sales from the negative publicity associated with such a lawsuit or with adverse public perceptions in general regarding our customers’ products.</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as well as our ability to operate without infringing the proprietary rights of others.</w:t>
      </w:r>
    </w:p>
    <w:p>
      <w:pPr>
        <w:spacing w:after="0" w:line="31"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We cannot assure you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may be breached and may not be adequate to protect our proprietary technologies. We cannot assure you that other countries in which we market our services will protect our intellectual property rights to the same extent as the United States.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Although we have never received any notices of infringement of a third-party patent, to our knowledge, Hynix has received five notices of infringement from third parties regarding various technology transferred to us in the Acquisition. We cannot assure you that these or other third parties will not tender notices of patent infringement or assert infringement claims against us in the future. Litigation, which could result in substantial costs to us and diversion of our resources, may also be necessary to enforce our patents or other intellectual property rights or to defend against claimed infringement of the rights of others. In the event of an adverse outcome in any such litigation, we may be required to pay substantial damages, indemnify customers for damages they may suffer if the products they purchase from us violate the intellectual property rights of others, stop our manufacture, use, sale or importation of infringing products, expend significant resources to develop or acquire non-infringing technologies, discontinue processes or obtain licenses to the intellectual property we are found to have infringed. We cannot assure you that we would be successful in such development or acquisition or that such licenses would be available under reasonable terms, or at all.</w:t>
      </w:r>
    </w:p>
    <w:p>
      <w:pPr>
        <w:spacing w:after="0" w:line="11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a business segment of Hynix, we were the beneficiary of some of Hynix’s intellectual property arrangements, including cross-licensing arrangements with other leading semiconductor companies and licenses from third parties of technology incorporated in our products and used to operate our business. We are no longer a beneficiary under some of these agreements and arrangements. There may be third parties who had refrained from asserting intellectual property infringement claims against our products or processes while we were a business segment of Hynix that elect to pursue such claims against us now that we are an independent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company. In addition, some of our technologies have been sublicensed from Hynix on a non-exclusive basis and Hynix may sublicense such technologies to others. We have cross-licensed most of our technologies to Hynix. This cross-license is subject to the non-competition provision of the Hynix business transfer agreement. Our competitors may develop, patent or gain access to similar know-how and technology. Failure to protect our existing intellectual property rights may result in the loss of valuable technologies or having to pay other companies for infringing on their intellectual property rights.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10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company organizational structure is based, in part, on assumptions about the various tax laws, including withholding tax, and other laws of applicable non-U.S. jurisdictions. In addition, MagnaChip Korea was granted a limited tax-holiday under Korean law in October 2004, which provides for certain tax exemptions for corporate taxes, withholding taxes, acquisition taxes, property and land taxes and other taxes for varying number of years. Our interpretations and conclusions are not binding on any taxing authority, and, if our assumptions about tax and other laws are incorrect, if the authorities were to change or modify the relevant laws or if MagnaChip Korea were to lose its tax holiday, we could suffer adverse tax and other financial consequences or have the anticipated benefits of our company organizational structure materially impaired.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limited number of persons indirectly control us and may exercise their control in a manner adverse to your interests.</w:t>
      </w:r>
    </w:p>
    <w:p>
      <w:pPr>
        <w:spacing w:after="0" w:line="8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CVC, Francisco Partners, and CVC Asia Pacific, own approximately 34%, 34% and 18%, respectively, of the outstanding voting interests in MagnaChip LLC. By virtue of their ownership of these voting interests, and the securityholders’ agreement among MagnaChip LLC and its unitholders, these entities have significant influence over our management and will be able to determine the outcome of all matters required to be submitted to the unitholders for approval, including the election of a majority of our directors and the approval of mergers, consolidations and the sale of all or substantially all of our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it may not be available on acceptable terms or at all.</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require more capital in the future to fund our operations, finance investments in equipment and infrastructure, and respond to competitive pressures and potential strategic opportunities. Additional capital may not be available when needed or, if available, may not be available on satisfactory terms. If we are unable to obtain capital on favorable terms, or if we are unable to obtain capital at all, we may have to reduce our operations or forego opportunities and it may have a material adverse effect on our business, financial condition and results of operations.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are subject to various risks that may lead to decreases in financial results.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receivables collection, extended payment terms and differing labor standards, enforcement of contractual obligations and protection of intellectual property. These risks may lead to increased costs or decreased revenue growth, or both.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revenues are denominated in various currencies, specifically, the Korean Won, Japanese Yen, Euro and U.S. dollar. As a result, changes in the exchange rates of these currencies or any other applicable currencies to the U.S. dollar will affect the translated price of products and therefore operating margins and could result in exchange losses.</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majority of our costs are denominated in Korean Won and to a lesser extent in Japanese Yen, U.S. dollar and Euro. Therefore, changes in the exchange rates of these currencies or any other applicable currencies to the U.S. dollar will affect cost of goods sold and operating margins and could result in exchange losses.</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cannot fully predict the impact of future exchange rate fluctuations on our profitability. From time to time, we may have engaged in, and may continue to engage in, exchange rate hedging activities in an effort to mitigate the impact of exchange rate fluctuations. However, we cannot assure you that any hedging technique we implement will be effective. If it is not effective, we may experience reduced operating margins.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historical financial information may not be representative of our results as a separate company.</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limited operating history as a stand-alone company due to our recent Acquisition by the equity sponsors in October 2004. Prior to the Acquisition, we operated as a division of Hynix. Historical financial information for periods prior to September 30, 2004 has been derived from Hynix’s consolidated financial statements, is presented on a carve-out basis and does not necessarily reflect what our financial position, results of operations or cash flows would have been had we been a separate, stand-alone company during the periods presented. As carve-out financial statements, the financial statements include allocations of the costs of shared activities and overhead of Hynix and of intangible assets and property, plant and equipment shared with Hynix. These allocations are based upon various assumptions and estimates, some of which are subjective. Actual results of our operations had we operated on a stand-alone basis, may differ from those allocations and estimates. Also, as part of the Acquisition we did not acquire certain assets that were included in the carve-out financial statements and we assumed certain additional costs and obligations that are not reflected in the carve-out financial statements. Accordingly, the carve-out financial statements should not be relied upon as being representative of our financial position or operating results had we operated on a stand-alone basis, nor may they be representative of our financial position or operating results following the Acquisition.</w:t>
      </w:r>
    </w:p>
    <w:p>
      <w:pPr>
        <w:spacing w:after="0" w:line="10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depend on Hynix for services and our business and results of operations could be adversely affected if Hynix were unwilling or unable to provide such services or terminated the relationship.</w:t>
      </w:r>
    </w:p>
    <w:p>
      <w:pPr>
        <w:spacing w:after="0" w:line="31"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Pursuant to agreements we entered into at the time we acquired our business, a number of services that are essential to our business are provided to us by or through Hynix. Some of these services include electricity, bulk gasses and de-ionized water, campus facilities, wastewater and sewage management and environmental safety and facility monitoring services. If any of our agreements with Hynix were terminated or if Hynix were unwilling or unable to fulfill its obligations to us under the terms of these agreements, we may experience a material decrease in our production capabilities and increase in our expenses.</w:t>
      </w:r>
    </w:p>
    <w:p>
      <w:pPr>
        <w:spacing w:after="0" w:line="99"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In addition, we lease building and warehouse space from Hynix in Cheongju, Korea and Ichon, Korea and lease to Hynix some of the space we own in Cheongju, Korea. If Hynix were to become insolvent, we could lose our leases on some of our building and warehouse space.</w:t>
      </w:r>
    </w:p>
    <w:p>
      <w:pPr>
        <w:spacing w:after="0" w:line="66"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Third parties may seek to hold us responsible for liabilities of Hynix that we did not assume in connection with the Acquisition of our business from Hynix.</w:t>
      </w:r>
    </w:p>
    <w:p>
      <w:pPr>
        <w:spacing w:after="0" w:line="3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Third parties may seek to hold us responsible for Hynix’s retained liabilities. Under our agreements with Hynix, Hynix has agreed to indemnify us for claims and losses relating to such retained liabilities. However, if such liabilities are significant and we are ultimately held liable for them, we cannot assure you that we will be able to recover the full amount of our losses from Hynix.</w:t>
      </w:r>
    </w:p>
    <w:p>
      <w:pPr>
        <w:spacing w:after="0" w:line="12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products and thus will not necessarily result in increases in revenues for us.</w:t>
      </w:r>
    </w:p>
    <w:p>
      <w:pPr>
        <w:spacing w:after="0" w:line="3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invest significant resources in our research and development. However, research and development efforts may not yield commercially viable products. During each stage of research and development there is a substantial risk that we will have to abandon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potential product which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confidence and the price of the notes may be adversely impacted if we are unable to comply with Section 404 of the Sarbanes-Oxley Act of 2002.</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As an SEC reporting company, we are subject to rules adopted by the SEC pursuant to Section 404 of the Sarbanes-Oxley Act of 2002, which require us to include in our annual report on Form 10-K our management’s report on, and assessment of the effectiveness of, our internal controls over financial reporting. In addition, our independent auditors must attest to and report on management’s assessment of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which ultimately could harm our business and could negatively impact the market price of our securities.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Foreign Currency Risk. </w:t>
      </w:r>
      <w:r>
        <w:rPr>
          <w:rFonts w:ascii="Arial" w:cs="Arial" w:eastAsia="Arial" w:hAnsi="Arial"/>
          <w:sz w:val="16"/>
          <w:szCs w:val="16"/>
          <w:color w:val="auto"/>
        </w:rPr>
        <w:t>We have exposure to some foreign currency exchange-rate fluctuations on net income from our subsidiaries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currencies other than U.S. dollars. We have foreign subsidiaries in Korea, Taiwan, China, Japan and Hong Kong. From time to time these subsidiaries have cash and financial instruments in local currency. The amounts held in Japan, Taiwan, Hong Kong and China are not material in regards to foreign currency movements. However, based on the cash and financial instruments balance at October 2, 2005 for our Korean subsidiary, a 10% devaluation of the Korean Won against the U.S. dollar would have resulted in a decrease of $3.2 million in our U.S. dollar financial instruments balance and cash balance.</w:t>
      </w:r>
    </w:p>
    <w:p>
      <w:pPr>
        <w:spacing w:after="0" w:line="102" w:lineRule="exact"/>
        <w:rPr>
          <w:sz w:val="20"/>
          <w:szCs w:val="20"/>
          <w:color w:val="auto"/>
        </w:rPr>
      </w:pPr>
    </w:p>
    <w:p>
      <w:pPr>
        <w:ind w:right="60" w:firstLine="456"/>
        <w:spacing w:after="0" w:line="258"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The $200 million 6</w:t>
      </w:r>
      <w:r>
        <w:rPr>
          <w:rFonts w:ascii="Arial" w:cs="Arial" w:eastAsia="Arial" w:hAnsi="Arial"/>
          <w:sz w:val="17"/>
          <w:szCs w:val="17"/>
          <w:i w:val="1"/>
          <w:iCs w:val="1"/>
          <w:color w:val="auto"/>
        </w:rPr>
        <w:t xml:space="preserve">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 Notes due 2011 and the $250 million 8% Senior Subordinated Notes due 2014</w:t>
      </w:r>
      <w:r>
        <w:rPr>
          <w:rFonts w:ascii="Arial" w:cs="Arial" w:eastAsia="Arial" w:hAnsi="Arial"/>
          <w:sz w:val="17"/>
          <w:szCs w:val="17"/>
          <w:i w:val="1"/>
          <w:iCs w:val="1"/>
          <w:color w:val="auto"/>
        </w:rPr>
        <w:t xml:space="preserve"> </w:t>
      </w:r>
      <w:r>
        <w:rPr>
          <w:rFonts w:ascii="Arial" w:cs="Arial" w:eastAsia="Arial" w:hAnsi="Arial"/>
          <w:sz w:val="17"/>
          <w:szCs w:val="17"/>
          <w:color w:val="auto"/>
        </w:rPr>
        <w:t>are subject to changes in fair value due to interest rate changes. If the market interest rate had decreased by 10% and all other variables were held constant from their levels at October 2, 2005, we estimate that we would have additional interest expense cost over market rate of $2.0 million (270 days basis). Our net loss for nine-month period ended October 2, 2005 would have increased by 2.6%. The fair value on these fixed rate notes would have decreased by $10.5 million or increased by $11.0 million with a 10% increase or decrease in the interest rate, respectively.</w:t>
      </w:r>
    </w:p>
    <w:p>
      <w:pPr>
        <w:spacing w:after="0" w:line="129"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i w:val="1"/>
          <w:iCs w:val="1"/>
          <w:color w:val="auto"/>
        </w:rPr>
        <w:t>Cash Flow Interest Rate Risk</w:t>
      </w:r>
      <w:r>
        <w:rPr>
          <w:rFonts w:ascii="Arial" w:cs="Arial" w:eastAsia="Arial" w:hAnsi="Arial"/>
          <w:sz w:val="15"/>
          <w:szCs w:val="15"/>
          <w:color w:val="auto"/>
        </w:rPr>
        <w:t>. During the current year, the Company entered into an interest rate swap agreement to convert the variable interest rate on our</w:t>
      </w:r>
      <w:r>
        <w:rPr>
          <w:rFonts w:ascii="Arial" w:cs="Arial" w:eastAsia="Arial" w:hAnsi="Arial"/>
          <w:sz w:val="15"/>
          <w:szCs w:val="15"/>
          <w:i w:val="1"/>
          <w:iCs w:val="1"/>
          <w:color w:val="auto"/>
        </w:rPr>
        <w:t xml:space="preserve"> </w:t>
      </w:r>
      <w:r>
        <w:rPr>
          <w:rFonts w:ascii="Arial" w:cs="Arial" w:eastAsia="Arial" w:hAnsi="Arial"/>
          <w:sz w:val="15"/>
          <w:szCs w:val="15"/>
          <w:color w:val="auto"/>
        </w:rPr>
        <w:t>Floating Rate Second Priority Senior Secured Notes to a fixed interest rate for the periods to maturity date of June 2008. By this interest rate swap, cash flow interest rate risk was replaced with exposure to interest rate risk. Refer to Interest Swap under Note 4. Short-term and Long-term Borrowings for details.</w:t>
      </w:r>
    </w:p>
    <w:p>
      <w:pPr>
        <w:spacing w:after="0" w:line="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required by the Securities Exchange Act of 1934, as amended (the “Exchange Act”),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our chief executive officer (“CEO”) and our chief financial officer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Based on that evaluation, our CEO and our CFO concluded that our disclosure controls and procedures were effective as of the end of the period covered by this report.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quarterly period covered by this report, there were no changes in the Company’s internal controls over financial reporting that have materially affected, or are reasonably likely to materially affect, the Company’s internal controls over financial reporting.</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t>Limitations on Controls</w:t>
      </w:r>
      <w:r>
        <w:rPr>
          <w:rFonts w:ascii="Arial" w:cs="Arial" w:eastAsia="Arial" w:hAnsi="Arial"/>
          <w:sz w:val="16"/>
          <w:szCs w:val="16"/>
          <w:color w:val="auto"/>
        </w:rPr>
        <w:t>: Our management, including our CEO and CFO, does not expect that our disclosure controls and procedures will prevent or detect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Exhibits</w:t>
            </w:r>
          </w:p>
        </w:tc>
        <w:tc>
          <w:tcPr>
            <w:tcW w:w="860" w:type="dxa"/>
            <w:vAlign w:val="bottom"/>
          </w:tcPr>
          <w:p>
            <w:pPr>
              <w:spacing w:after="0"/>
              <w:rPr>
                <w:sz w:val="19"/>
                <w:szCs w:val="19"/>
                <w:color w:val="auto"/>
              </w:rPr>
            </w:pPr>
          </w:p>
        </w:tc>
        <w:tc>
          <w:tcPr>
            <w:tcW w:w="8520" w:type="dxa"/>
            <w:vAlign w:val="bottom"/>
          </w:tcPr>
          <w:p>
            <w:pPr>
              <w:spacing w:after="0"/>
              <w:rPr>
                <w:sz w:val="19"/>
                <w:szCs w:val="19"/>
                <w:color w:val="auto"/>
              </w:rPr>
            </w:pPr>
          </w:p>
        </w:tc>
      </w:tr>
      <w:tr>
        <w:trPr>
          <w:trHeight w:val="312"/>
        </w:trPr>
        <w:tc>
          <w:tcPr>
            <w:tcW w:w="19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0"/>
              </w:rPr>
              <w:t>Exhibit Number</w:t>
            </w:r>
          </w:p>
        </w:tc>
        <w:tc>
          <w:tcPr>
            <w:tcW w:w="93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520" w:type="dxa"/>
            <w:vAlign w:val="bottom"/>
          </w:tcPr>
          <w:p>
            <w:pPr>
              <w:spacing w:after="0"/>
              <w:rPr>
                <w:sz w:val="8"/>
                <w:szCs w:val="8"/>
                <w:color w:val="auto"/>
              </w:rPr>
            </w:pPr>
          </w:p>
        </w:tc>
      </w:tr>
      <w:tr>
        <w:trPr>
          <w:trHeight w:val="316"/>
        </w:trPr>
        <w:tc>
          <w:tcPr>
            <w:tcW w:w="900" w:type="dxa"/>
            <w:vAlign w:val="bottom"/>
          </w:tcPr>
          <w:p>
            <w:pPr>
              <w:jc w:val="center"/>
              <w:ind w:left="216"/>
              <w:spacing w:after="0"/>
              <w:rPr>
                <w:sz w:val="20"/>
                <w:szCs w:val="20"/>
                <w:color w:val="auto"/>
              </w:rPr>
            </w:pPr>
            <w:r>
              <w:rPr>
                <w:rFonts w:ascii="Arial" w:cs="Arial" w:eastAsia="Arial" w:hAnsi="Arial"/>
                <w:sz w:val="18"/>
                <w:szCs w:val="18"/>
                <w:color w:val="auto"/>
                <w:w w:val="91"/>
              </w:rPr>
              <w:t>31.1</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w w:val="91"/>
              </w:rPr>
              <w:t>Certification pursuant to Rule 13a-14(a) or Rule 15d-14(a) of the Securities Exchange Act of 1934 of the Chief Executive Officer.</w:t>
            </w:r>
          </w:p>
        </w:tc>
      </w:tr>
      <w:tr>
        <w:trPr>
          <w:trHeight w:val="324"/>
        </w:trPr>
        <w:tc>
          <w:tcPr>
            <w:tcW w:w="900" w:type="dxa"/>
            <w:vAlign w:val="bottom"/>
          </w:tcPr>
          <w:p>
            <w:pPr>
              <w:jc w:val="center"/>
              <w:ind w:left="216"/>
              <w:spacing w:after="0"/>
              <w:rPr>
                <w:sz w:val="20"/>
                <w:szCs w:val="20"/>
                <w:color w:val="auto"/>
              </w:rPr>
            </w:pPr>
            <w:r>
              <w:rPr>
                <w:rFonts w:ascii="Arial" w:cs="Arial" w:eastAsia="Arial" w:hAnsi="Arial"/>
                <w:sz w:val="18"/>
                <w:szCs w:val="18"/>
                <w:color w:val="auto"/>
                <w:w w:val="91"/>
              </w:rPr>
              <w:t>31.2</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w w:val="92"/>
              </w:rPr>
              <w:t>Certification pursuant to Rule 13a-14(a) or Rule 15d-14(a) of the Securities Exchange Act of 1934 of the Chief Financial Officer.</w:t>
            </w:r>
          </w:p>
        </w:tc>
      </w:tr>
      <w:tr>
        <w:trPr>
          <w:trHeight w:val="318"/>
        </w:trPr>
        <w:tc>
          <w:tcPr>
            <w:tcW w:w="900" w:type="dxa"/>
            <w:vAlign w:val="bottom"/>
          </w:tcPr>
          <w:p>
            <w:pPr>
              <w:jc w:val="center"/>
              <w:ind w:left="216"/>
              <w:spacing w:after="0"/>
              <w:rPr>
                <w:sz w:val="20"/>
                <w:szCs w:val="20"/>
                <w:color w:val="auto"/>
              </w:rPr>
            </w:pPr>
            <w:r>
              <w:rPr>
                <w:rFonts w:ascii="Arial" w:cs="Arial" w:eastAsia="Arial" w:hAnsi="Arial"/>
                <w:sz w:val="18"/>
                <w:szCs w:val="18"/>
                <w:color w:val="auto"/>
                <w:w w:val="91"/>
              </w:rPr>
              <w:t>32.1</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 of the Chief</w:t>
            </w:r>
          </w:p>
        </w:tc>
      </w:tr>
      <w:tr>
        <w:trPr>
          <w:trHeight w:val="222"/>
        </w:trPr>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Executive Officer.</w:t>
            </w:r>
          </w:p>
        </w:tc>
      </w:tr>
      <w:tr>
        <w:trPr>
          <w:trHeight w:val="318"/>
        </w:trPr>
        <w:tc>
          <w:tcPr>
            <w:tcW w:w="900" w:type="dxa"/>
            <w:vAlign w:val="bottom"/>
          </w:tcPr>
          <w:p>
            <w:pPr>
              <w:jc w:val="center"/>
              <w:ind w:left="216"/>
              <w:spacing w:after="0"/>
              <w:rPr>
                <w:sz w:val="20"/>
                <w:szCs w:val="20"/>
                <w:color w:val="auto"/>
              </w:rPr>
            </w:pPr>
            <w:r>
              <w:rPr>
                <w:rFonts w:ascii="Arial" w:cs="Arial" w:eastAsia="Arial" w:hAnsi="Arial"/>
                <w:sz w:val="18"/>
                <w:szCs w:val="18"/>
                <w:color w:val="auto"/>
                <w:w w:val="91"/>
              </w:rPr>
              <w:t>32.2</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 of the Chief</w:t>
            </w:r>
          </w:p>
        </w:tc>
      </w:tr>
      <w:tr>
        <w:trPr>
          <w:trHeight w:val="222"/>
        </w:trPr>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Financial Officer.</w:t>
            </w:r>
          </w:p>
        </w:tc>
      </w:tr>
      <w:tr>
        <w:trPr>
          <w:trHeight w:val="365"/>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80" w:type="dxa"/>
            <w:vAlign w:val="bottom"/>
            <w:gridSpan w:val="2"/>
          </w:tcPr>
          <w:p>
            <w:pPr>
              <w:ind w:left="370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640" w:type="dxa"/>
            <w:vAlign w:val="bottom"/>
            <w:gridSpan w:val="2"/>
          </w:tcPr>
          <w:p>
            <w:pPr>
              <w:ind w:left="226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780" w:type="dxa"/>
            <w:vAlign w:val="bottom"/>
          </w:tcPr>
          <w:p>
            <w:pPr>
              <w:spacing w:after="0"/>
              <w:rPr>
                <w:sz w:val="20"/>
                <w:szCs w:val="20"/>
                <w:color w:val="auto"/>
              </w:rPr>
            </w:pPr>
            <w:r>
              <w:rPr>
                <w:rFonts w:ascii="Arial" w:cs="Arial" w:eastAsia="Arial" w:hAnsi="Arial"/>
                <w:sz w:val="18"/>
                <w:szCs w:val="18"/>
                <w:color w:val="auto"/>
              </w:rPr>
              <w:t>Dated: November 14, 2005</w:t>
            </w:r>
          </w:p>
        </w:tc>
        <w:tc>
          <w:tcPr>
            <w:tcW w:w="7640" w:type="dxa"/>
            <w:vAlign w:val="bottom"/>
            <w:gridSpan w:val="2"/>
          </w:tcPr>
          <w:p>
            <w:pPr>
              <w:ind w:left="2260"/>
              <w:spacing w:after="0"/>
              <w:rPr>
                <w:sz w:val="20"/>
                <w:szCs w:val="20"/>
                <w:color w:val="auto"/>
              </w:rPr>
            </w:pPr>
            <w:r>
              <w:rPr>
                <w:rFonts w:ascii="Arial" w:cs="Arial" w:eastAsia="Arial" w:hAnsi="Arial"/>
                <w:sz w:val="18"/>
                <w:szCs w:val="18"/>
                <w:color w:val="auto"/>
              </w:rPr>
              <w:t>By:  /s/ Youm Huh</w:t>
            </w:r>
          </w:p>
        </w:tc>
      </w:tr>
      <w:tr>
        <w:trPr>
          <w:trHeight w:val="202"/>
        </w:trPr>
        <w:tc>
          <w:tcPr>
            <w:tcW w:w="3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Youm Huh</w:t>
            </w:r>
          </w:p>
        </w:tc>
      </w:tr>
      <w:tr>
        <w:trPr>
          <w:trHeight w:val="222"/>
        </w:trPr>
        <w:tc>
          <w:tcPr>
            <w:tcW w:w="3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582"/>
        </w:trPr>
        <w:tc>
          <w:tcPr>
            <w:tcW w:w="3780" w:type="dxa"/>
            <w:vAlign w:val="bottom"/>
          </w:tcPr>
          <w:p>
            <w:pPr>
              <w:spacing w:after="0"/>
              <w:rPr>
                <w:sz w:val="20"/>
                <w:szCs w:val="20"/>
                <w:color w:val="auto"/>
              </w:rPr>
            </w:pPr>
            <w:r>
              <w:rPr>
                <w:rFonts w:ascii="Arial" w:cs="Arial" w:eastAsia="Arial" w:hAnsi="Arial"/>
                <w:sz w:val="18"/>
                <w:szCs w:val="18"/>
                <w:color w:val="auto"/>
              </w:rPr>
              <w:t>Dated: November 14, 2005</w:t>
            </w:r>
          </w:p>
        </w:tc>
        <w:tc>
          <w:tcPr>
            <w:tcW w:w="7640" w:type="dxa"/>
            <w:vAlign w:val="bottom"/>
            <w:gridSpan w:val="2"/>
          </w:tcPr>
          <w:p>
            <w:pPr>
              <w:ind w:left="2260"/>
              <w:spacing w:after="0"/>
              <w:rPr>
                <w:sz w:val="20"/>
                <w:szCs w:val="20"/>
                <w:color w:val="auto"/>
              </w:rPr>
            </w:pPr>
            <w:r>
              <w:rPr>
                <w:rFonts w:ascii="Arial" w:cs="Arial" w:eastAsia="Arial" w:hAnsi="Arial"/>
                <w:sz w:val="18"/>
                <w:szCs w:val="18"/>
                <w:color w:val="auto"/>
              </w:rPr>
              <w:t>By:  /s/ Robert J. Krakauer</w:t>
            </w:r>
          </w:p>
        </w:tc>
      </w:tr>
      <w:tr>
        <w:trPr>
          <w:trHeight w:val="202"/>
        </w:trPr>
        <w:tc>
          <w:tcPr>
            <w:tcW w:w="3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J. Krakauer</w:t>
            </w:r>
          </w:p>
        </w:tc>
      </w:tr>
      <w:tr>
        <w:trPr>
          <w:trHeight w:val="216"/>
        </w:trPr>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Executive Vice President, Strategic Operations</w:t>
            </w:r>
          </w:p>
        </w:tc>
      </w:tr>
      <w:tr>
        <w:trPr>
          <w:trHeight w:val="222"/>
        </w:trPr>
        <w:tc>
          <w:tcPr>
            <w:tcW w:w="3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and Chief Financial Officer</w:t>
            </w:r>
          </w:p>
        </w:tc>
      </w:tr>
      <w:tr>
        <w:trPr>
          <w:trHeight w:val="378"/>
        </w:trPr>
        <w:tc>
          <w:tcPr>
            <w:tcW w:w="3780" w:type="dxa"/>
            <w:vAlign w:val="bottom"/>
          </w:tcPr>
          <w:p>
            <w:pPr>
              <w:spacing w:after="0"/>
              <w:rPr>
                <w:sz w:val="24"/>
                <w:szCs w:val="24"/>
                <w:color w:val="auto"/>
              </w:rPr>
            </w:pPr>
          </w:p>
        </w:tc>
        <w:tc>
          <w:tcPr>
            <w:tcW w:w="2520" w:type="dxa"/>
            <w:vAlign w:val="bottom"/>
          </w:tcPr>
          <w:p>
            <w:pPr>
              <w:jc w:val="right"/>
              <w:ind w:right="412"/>
              <w:spacing w:after="0"/>
              <w:rPr>
                <w:sz w:val="20"/>
                <w:szCs w:val="20"/>
                <w:color w:val="auto"/>
              </w:rPr>
            </w:pPr>
            <w:r>
              <w:rPr>
                <w:rFonts w:ascii="Arial" w:cs="Arial" w:eastAsia="Arial" w:hAnsi="Arial"/>
                <w:sz w:val="18"/>
                <w:szCs w:val="18"/>
                <w:color w:val="auto"/>
              </w:rPr>
              <w:t>36</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00" w:type="dxa"/>
            <w:vAlign w:val="bottom"/>
          </w:tcPr>
          <w:p>
            <w:pPr>
              <w:jc w:val="center"/>
              <w:ind w:right="2272"/>
              <w:spacing w:after="0"/>
              <w:rPr>
                <w:sz w:val="20"/>
                <w:szCs w:val="20"/>
                <w:color w:val="auto"/>
              </w:rPr>
            </w:pPr>
            <w:r>
              <w:rPr>
                <w:rFonts w:ascii="Arial" w:cs="Arial" w:eastAsia="Arial" w:hAnsi="Arial"/>
                <w:sz w:val="18"/>
                <w:szCs w:val="18"/>
                <w:color w:val="auto"/>
                <w:w w:val="96"/>
              </w:rPr>
              <w:t>INDEX TO EXHIBITS</w:t>
            </w:r>
          </w:p>
        </w:tc>
      </w:tr>
      <w:tr>
        <w:trPr>
          <w:trHeight w:val="312"/>
        </w:trPr>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Number</w:t>
            </w:r>
          </w:p>
        </w:tc>
        <w:tc>
          <w:tcPr>
            <w:tcW w:w="70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2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300" w:type="dxa"/>
            <w:vAlign w:val="bottom"/>
          </w:tcPr>
          <w:p>
            <w:pPr>
              <w:spacing w:after="0"/>
              <w:rPr>
                <w:sz w:val="8"/>
                <w:szCs w:val="8"/>
                <w:color w:val="auto"/>
              </w:rPr>
            </w:pPr>
          </w:p>
        </w:tc>
      </w:tr>
      <w:tr>
        <w:trPr>
          <w:trHeight w:val="316"/>
        </w:trPr>
        <w:tc>
          <w:tcPr>
            <w:tcW w:w="12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70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w w:val="89"/>
              </w:rPr>
              <w:t>Certification pursuant to Rule 13a-14(a) or Rule 15d-14(a) of the Securities Exchange Act of 1934 of the Chief Executive Officer.</w:t>
            </w:r>
          </w:p>
        </w:tc>
      </w:tr>
      <w:tr>
        <w:trPr>
          <w:trHeight w:val="324"/>
        </w:trPr>
        <w:tc>
          <w:tcPr>
            <w:tcW w:w="12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70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w w:val="89"/>
              </w:rPr>
              <w:t>Certification pursuant to Rule 13a-14(a) or Rule 15d-14(a) of the Securities Exchange Act of 1934 of the Chief Financial Officer.</w:t>
            </w:r>
          </w:p>
        </w:tc>
      </w:tr>
      <w:tr>
        <w:trPr>
          <w:trHeight w:val="318"/>
        </w:trPr>
        <w:tc>
          <w:tcPr>
            <w:tcW w:w="12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70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of the</w:t>
            </w:r>
          </w:p>
        </w:tc>
      </w:tr>
      <w:tr>
        <w:trPr>
          <w:trHeight w:val="222"/>
        </w:trPr>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318"/>
        </w:trPr>
        <w:tc>
          <w:tcPr>
            <w:tcW w:w="12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70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of the</w:t>
            </w:r>
          </w:p>
        </w:tc>
      </w:tr>
      <w:tr>
        <w:trPr>
          <w:trHeight w:val="222"/>
        </w:trPr>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365"/>
        </w:trPr>
        <w:tc>
          <w:tcPr>
            <w:tcW w:w="1200" w:type="dxa"/>
            <w:vAlign w:val="bottom"/>
          </w:tcPr>
          <w:p>
            <w:pPr>
              <w:spacing w:after="0"/>
              <w:rPr>
                <w:sz w:val="24"/>
                <w:szCs w:val="24"/>
                <w:color w:val="auto"/>
              </w:rPr>
            </w:pPr>
          </w:p>
        </w:tc>
        <w:tc>
          <w:tcPr>
            <w:tcW w:w="9840" w:type="dxa"/>
            <w:vAlign w:val="bottom"/>
            <w:gridSpan w:val="3"/>
          </w:tcPr>
          <w:p>
            <w:pPr>
              <w:jc w:val="right"/>
              <w:ind w:right="5152"/>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040"/>
          </w:cols>
          <w:pgMar w:left="240" w:top="459" w:right="6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EXECUTIVE OFFICER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Youm Huh, certify that:</w:t>
      </w:r>
    </w:p>
    <w:p>
      <w:pPr>
        <w:spacing w:after="0" w:line="15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460" w:right="120" w:firstLine="4"/>
        <w:spacing w:after="0" w:line="325" w:lineRule="auto"/>
        <w:tabs>
          <w:tab w:leader="none" w:pos="709"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right="720" w:firstLine="8"/>
        <w:spacing w:after="0" w:line="325" w:lineRule="auto"/>
        <w:tabs>
          <w:tab w:leader="none" w:pos="17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2005</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Youm Huh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FINANCIAL OFFICER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Robert J. Krakauer, certify that:</w:t>
      </w:r>
    </w:p>
    <w:p>
      <w:pPr>
        <w:spacing w:after="0" w:line="158"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460" w:right="120" w:firstLine="4"/>
        <w:spacing w:after="0" w:line="325" w:lineRule="auto"/>
        <w:tabs>
          <w:tab w:leader="none" w:pos="709"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right="720" w:firstLine="8"/>
        <w:spacing w:after="0" w:line="325"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2005</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Strategic Operations,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October 2, 2005 as filed with the Securities and Exchange Commission on the date hereof (the “Report”), I, Youm Huh, Chief Executive Officer and President of the Company, certify, pursuant to 18 U.S.C. §1350, as adopted pursuant to §906 of the Sarbanes-Oxley Act of 2002, that to my knowledge:</w:t>
      </w:r>
    </w:p>
    <w:p>
      <w:pPr>
        <w:spacing w:after="0" w:line="93" w:lineRule="exact"/>
        <w:rPr>
          <w:sz w:val="20"/>
          <w:szCs w:val="20"/>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Youm Huh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2005</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In connection with the Quarterly Report of MagnaChip Semiconductor LLC (the “Company”) on Form 10-Q for the period ending October 2, 2005 as filed with the Securities and Exchange Commission on the date hereof (the “Report”), I, Robert J. Krakauer, Executive Vice President, Strategic Operations, and Chief Financial Officer of the Company, certify, pursuant to 18 U.S.C. §1350, as adopted pursuant to §906 of the Sarbanes-Oxley Act of 2002, that to my knowledge:</w:t>
      </w:r>
    </w:p>
    <w:p>
      <w:pPr>
        <w:spacing w:after="0" w:line="75"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Strategic Operations,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2005</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2019-12-15T12:21:31Z</dcterms:created>
  <dcterms:modified xsi:type="dcterms:W3CDTF">2019-12-15T12:21:31Z</dcterms:modified>
</cp:coreProperties>
</file>