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00" w:type="dxa"/>
            <w:vAlign w:val="bottom"/>
          </w:tcPr>
          <w:p>
            <w:pPr>
              <w:jc w:val="center"/>
              <w:ind w:right="23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520" w:type="dxa"/>
            <w:vAlign w:val="bottom"/>
          </w:tcPr>
          <w:p>
            <w:pPr>
              <w:jc w:val="center"/>
              <w:ind w:left="118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00" w:type="dxa"/>
            <w:vAlign w:val="bottom"/>
          </w:tcPr>
          <w:p>
            <w:pPr>
              <w:jc w:val="center"/>
              <w:ind w:right="23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6"/>
        </w:trPr>
        <w:tc>
          <w:tcPr>
            <w:tcW w:w="634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520" w:type="dxa"/>
            <w:vAlign w:val="bottom"/>
          </w:tcPr>
          <w:p>
            <w:pPr>
              <w:spacing w:after="0"/>
              <w:rPr>
                <w:sz w:val="18"/>
                <w:szCs w:val="18"/>
                <w:color w:val="auto"/>
              </w:rPr>
            </w:pPr>
          </w:p>
        </w:tc>
      </w:tr>
      <w:tr>
        <w:trPr>
          <w:trHeight w:val="227"/>
        </w:trPr>
        <w:tc>
          <w:tcPr>
            <w:tcW w:w="634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Cheongju-si, Chungcheongbuk-do, 28581, Republic of Korea</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00" w:type="dxa"/>
            <w:vAlign w:val="bottom"/>
          </w:tcPr>
          <w:p>
            <w:pPr>
              <w:jc w:val="center"/>
              <w:ind w:left="11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left="4" w:right="420"/>
        <w:spacing w:after="0" w:line="312" w:lineRule="auto"/>
        <w:rPr>
          <w:sz w:val="20"/>
          <w:szCs w:val="20"/>
          <w:color w:val="auto"/>
        </w:rPr>
      </w:pPr>
      <w:r>
        <w:rPr>
          <w:rFonts w:ascii="Times New Roman" w:cs="Times New Roman" w:eastAsia="Times New Roman" w:hAnsi="Times New Roman"/>
          <w:sz w:val="17"/>
          <w:szCs w:val="17"/>
          <w:color w:val="auto"/>
        </w:rPr>
        <w:t>Attached hereto as Exhibit 99.1 and incorporated by reference herein is financial information for Magnachip Semiconductor Corporation and its consolidated subsidiaries for the fourth quarter and full year ended December 31, 2022, as presented in a press release dated February 16, 2023.</w:t>
      </w:r>
    </w:p>
    <w:p>
      <w:pPr>
        <w:spacing w:after="0" w:line="14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460" w:type="dxa"/>
            <w:vAlign w:val="bottom"/>
            <w:gridSpan w:val="3"/>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4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3"/>
                <w:szCs w:val="23"/>
                <w:color w:val="auto"/>
              </w:rPr>
            </w:pPr>
          </w:p>
        </w:tc>
        <w:tc>
          <w:tcPr>
            <w:tcW w:w="9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for Magnachip Semiconductor Corporation dated February 16, 2023, announcing the results for the fourth quarter and full</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year ended December 31, 2022.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04"/>
          </w:cols>
          <w:pgMar w:left="436" w:top="293" w:right="6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1996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99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Results for Fourth Quarter and Full-Year 2022</w:t>
      </w:r>
    </w:p>
    <w:p>
      <w:pPr>
        <w:spacing w:after="0" w:line="252" w:lineRule="exact"/>
        <w:rPr>
          <w:sz w:val="20"/>
          <w:szCs w:val="20"/>
          <w:color w:val="auto"/>
        </w:rPr>
      </w:pPr>
    </w:p>
    <w:p>
      <w:pPr>
        <w:ind w:left="960" w:right="780" w:hanging="424"/>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Fourth quarter revenue of $61.0 million was near the high-end of our guidance range. YoY, our revenue decreased 44.7% primarily due to severe 28nm wafer shortages required for our Display business.</w:t>
      </w:r>
    </w:p>
    <w:p>
      <w:pPr>
        <w:spacing w:after="0" w:line="60" w:lineRule="exact"/>
        <w:rPr>
          <w:rFonts w:ascii="Times New Roman" w:cs="Times New Roman" w:eastAsia="Times New Roman" w:hAnsi="Times New Roman"/>
          <w:sz w:val="18"/>
          <w:szCs w:val="18"/>
          <w:b w:val="1"/>
          <w:bCs w:val="1"/>
          <w:color w:val="auto"/>
        </w:rPr>
      </w:pPr>
    </w:p>
    <w:p>
      <w:pPr>
        <w:ind w:left="960" w:right="380" w:hanging="424"/>
        <w:spacing w:after="0" w:line="225"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Full-year revenue of $337.7 million decreased 28.8% YoY due to significantly lower Display revenue as a result of severe 28nm 12-inch OLED wafer shortages that impacted 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b w:val="1"/>
          <w:bCs w:val="1"/>
          <w:color w:val="auto"/>
        </w:rPr>
        <w:t xml:space="preserve"> half design-in projects from our large panel customers in Korea and weak demand for Android smartphones that led to an inventory correction by smartphone OEMs.</w:t>
      </w:r>
    </w:p>
    <w:p>
      <w:pPr>
        <w:spacing w:after="0" w:line="101"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Gross profit margin for the fourth quarter was 26.4%, within our guidance range.</w:t>
      </w:r>
    </w:p>
    <w:p>
      <w:pPr>
        <w:spacing w:after="0" w:line="130" w:lineRule="exact"/>
        <w:rPr>
          <w:rFonts w:ascii="Times New Roman" w:cs="Times New Roman" w:eastAsia="Times New Roman" w:hAnsi="Times New Roman"/>
          <w:sz w:val="18"/>
          <w:szCs w:val="18"/>
          <w:b w:val="1"/>
          <w:bCs w:val="1"/>
          <w:color w:val="auto"/>
        </w:rPr>
      </w:pPr>
    </w:p>
    <w:p>
      <w:pPr>
        <w:ind w:left="960" w:right="220" w:hanging="424"/>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Full-year gross profit margin of 30.0% was down 240 bps YoY due mainly to certain inventory reserves and scrap cost related to 12-inch OLED products as a result of lower demand for China smartphones.</w:t>
      </w:r>
    </w:p>
    <w:p>
      <w:pPr>
        <w:spacing w:after="0" w:line="6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diluted earnings per share for the fourth quarter was $0.07; Full-year GAAP diluted loss per share was $0.18.</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diluted loss per share for the fourth quarter was $0.36; Full-year non-GAAP diluted earnings per share was $0.19.</w:t>
      </w:r>
    </w:p>
    <w:p>
      <w:pPr>
        <w:spacing w:after="0" w:line="2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February 16, 2023 </w:t>
      </w:r>
      <w:r>
        <w:rPr>
          <w:rFonts w:ascii="Times New Roman" w:cs="Times New Roman" w:eastAsia="Times New Roman" w:hAnsi="Times New Roman"/>
          <w:sz w:val="18"/>
          <w:szCs w:val="18"/>
          <w:color w:val="auto"/>
        </w:rPr>
        <w:t>— Magnachip Semiconductor Corporation (NYSE: MX) (“Magnachip”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fourth quarter and full-year 2022.</w:t>
      </w:r>
    </w:p>
    <w:p>
      <w:pPr>
        <w:spacing w:after="0" w:line="15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YJ Kim, Magnachip’s chief executive officer commented, “We closed the fourth quarter with $61.0 million revenue, near the high-end of our guidance range. Q4 results continued to reflect the impact of severe wafer shortages and inventory correction in our Display business and deteriorating consumer demand in our Power Solutions business. Despite the challenges of this past year, we stayed focused and achieved milestones that set the foundation for recovery in 2023. In Display, we expanded our OLED business into international markets by winning a new tier one panel customer outside of Korea and strengthened our global supply chain by qualifying two additional foundries. Further, in Q4, we successfully qualified two OLED projects with our two leading panel customers and expect to begin shipping at the end of this quarter. In Power Solutions, we achieved a record year with 2022 revenue up 1.2% despite the slowdown in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half due to macro weakness. Further, our Power Solutions business won a record 209 design-in/wins, more than double compared to previous years.”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YJ continued, “Looking ahead, we continue to expect the first half of 2023 to be impacted by inventory corrections and broader macro weakness, but we believe the reopening of China should eventually lead to an improvement in their economy and consumer demand, which will help both our businesses. We expect a recovery in Display revenue in the second half of 2023 as we ramp shipments of our four design-in projects with our two leading panel customers. For Power, we anticipate on maintaining our momentum of design wins and premium tier product mix. As channel inventories are consumed and the broader economy recovers, we expect to see a rebound in Power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and 2022 Financial Highlights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Q4 2022</w:t>
            </w: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Q3 2022</w:t>
            </w:r>
          </w:p>
        </w:tc>
        <w:tc>
          <w:tcPr>
            <w:tcW w:w="1560" w:type="dxa"/>
            <w:vAlign w:val="bottom"/>
            <w:gridSpan w:val="3"/>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Q4 2021</w:t>
            </w:r>
          </w:p>
        </w:tc>
        <w:tc>
          <w:tcPr>
            <w:tcW w:w="10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Pr>
          <w:p>
            <w:pPr>
              <w:spacing w:after="0"/>
              <w:rPr>
                <w:sz w:val="12"/>
                <w:szCs w:val="12"/>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Display Solutions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7,556</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6,355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41,298</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Power Solutions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46,271</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56,416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18.0%</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58,212</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5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7,163</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8,428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10,825</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pts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8.6%pts</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63,870</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2,971</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(17,195)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53,611</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94.0%</w:t>
            </w: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93.8%</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(3)</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7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Q4 2022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Q3 2022</w:t>
            </w:r>
          </w:p>
        </w:tc>
        <w:tc>
          <w:tcPr>
            <w:tcW w:w="10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Q4 2021</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60" w:type="dxa"/>
            <w:vAlign w:val="bottom"/>
          </w:tcPr>
          <w:p>
            <w:pPr>
              <w:spacing w:after="0"/>
              <w:rPr>
                <w:sz w:val="12"/>
                <w:szCs w:val="12"/>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(6,646)</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(4,768)</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(2,995)</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18,144</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(15,848)</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13,699</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(Loss) per Common Share—Diluted</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down</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63"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384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r>
      <w:tr>
        <w:trPr>
          <w:trHeight w:val="142"/>
        </w:trPr>
        <w:tc>
          <w:tcPr>
            <w:tcW w:w="718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GAAP</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60" w:type="dxa"/>
            <w:vAlign w:val="bottom"/>
            <w:tcBorders>
              <w:bottom w:val="single" w:sz="8" w:color="CCEEFF"/>
            </w:tcBorders>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Display Solutions</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71,432</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205,322</w:t>
            </w: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Power Solutions</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230,464</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227,777</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up</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35,762</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41,131</w:t>
            </w: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 pts</w:t>
            </w:r>
          </w:p>
        </w:tc>
      </w:tr>
      <w:tr>
        <w:trPr>
          <w:trHeight w:val="216"/>
        </w:trPr>
        <w:tc>
          <w:tcPr>
            <w:tcW w:w="7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Operating Income (Loss)</w:t>
            </w:r>
            <w:r>
              <w:rPr>
                <w:rFonts w:ascii="Times New Roman" w:cs="Times New Roman" w:eastAsia="Times New Roman" w:hAnsi="Times New Roman"/>
                <w:sz w:val="25"/>
                <w:szCs w:val="25"/>
                <w:color w:val="auto"/>
                <w:vertAlign w:val="superscript"/>
              </w:rPr>
              <w:t>(2)</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(5,244)</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83,407</w:t>
            </w: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(8,036)</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56,708</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(0.18)</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(0.18)</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1.21</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w:t>
            </w:r>
          </w:p>
        </w:tc>
      </w:tr>
      <w:tr>
        <w:trPr>
          <w:trHeight w:val="383"/>
        </w:trPr>
        <w:tc>
          <w:tcPr>
            <w:tcW w:w="7180" w:type="dxa"/>
            <w:vAlign w:val="bottom"/>
          </w:tcPr>
          <w:p>
            <w:pPr>
              <w:spacing w:after="0"/>
              <w:rPr>
                <w:sz w:val="24"/>
                <w:szCs w:val="24"/>
                <w:color w:val="auto"/>
              </w:rPr>
            </w:pPr>
          </w:p>
        </w:tc>
        <w:tc>
          <w:tcPr>
            <w:tcW w:w="384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r>
      <w:tr>
        <w:trPr>
          <w:trHeight w:val="162"/>
        </w:trPr>
        <w:tc>
          <w:tcPr>
            <w:tcW w:w="71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(3)</w:t>
            </w:r>
          </w:p>
        </w:tc>
        <w:tc>
          <w:tcPr>
            <w:tcW w:w="4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35"/>
        </w:trPr>
        <w:tc>
          <w:tcPr>
            <w:tcW w:w="71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95"/>
              <w:spacing w:after="0" w:line="136"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ind w:left="160"/>
              <w:spacing w:after="0" w:line="136" w:lineRule="exact"/>
              <w:rPr>
                <w:sz w:val="20"/>
                <w:szCs w:val="20"/>
                <w:color w:val="auto"/>
              </w:rPr>
            </w:pPr>
            <w:r>
              <w:rPr>
                <w:rFonts w:ascii="Times New Roman" w:cs="Times New Roman" w:eastAsia="Times New Roman" w:hAnsi="Times New Roman"/>
                <w:sz w:val="14"/>
                <w:szCs w:val="14"/>
                <w:b w:val="1"/>
                <w:bCs w:val="1"/>
                <w:color w:val="auto"/>
              </w:rPr>
              <w:t>Y/Y</w:t>
            </w:r>
          </w:p>
        </w:tc>
        <w:tc>
          <w:tcPr>
            <w:tcW w:w="64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CCEEFF"/>
            </w:tcBorders>
          </w:tcPr>
          <w:p>
            <w:pPr>
              <w:spacing w:after="0"/>
              <w:rPr>
                <w:sz w:val="11"/>
                <w:szCs w:val="1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19,517</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70,701</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8,752</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50,152</w:t>
            </w:r>
          </w:p>
        </w:tc>
        <w:tc>
          <w:tcPr>
            <w:tcW w:w="7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w:t>
            </w: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Common Share—Diluted</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0.19</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down</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424" w:right="6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 lines.</w:t>
      </w:r>
    </w:p>
    <w:p>
      <w:pPr>
        <w:spacing w:after="0" w:line="3" w:lineRule="exact"/>
        <w:rPr>
          <w:rFonts w:ascii="Times New Roman" w:cs="Times New Roman" w:eastAsia="Times New Roman" w:hAnsi="Times New Roman"/>
          <w:sz w:val="18"/>
          <w:szCs w:val="18"/>
          <w:color w:val="auto"/>
        </w:rPr>
      </w:pPr>
    </w:p>
    <w:p>
      <w:pPr>
        <w:ind w:left="424" w:right="32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2021, operating income of $83.4 million included net gain of $35.5 million that represented $70.2 million income from the recognition of a reverse termination fee, net of professional service fees and expenses of $34.7 million incurred in connection with the contemplated merger transaction.</w:t>
      </w:r>
    </w:p>
    <w:p>
      <w:pPr>
        <w:spacing w:after="0" w:line="1"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21"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The Company’s near-term outlook is being challenged by previous OLED wafer allocation constraints that impacted 2nd half 2022 design-in projects and ongoing inventory correction in smartphones and other consumer end markets driven by weakening consumer demand. Q1 is also typically the Company’s seasonally slowest quarter following holiday shipments and is impacted by slower activity around the Chinese New Year.</w:t>
      </w:r>
    </w:p>
    <w:p>
      <w:pPr>
        <w:spacing w:after="0" w:line="176" w:lineRule="exact"/>
        <w:rPr>
          <w:sz w:val="20"/>
          <w:szCs w:val="20"/>
          <w:color w:val="auto"/>
        </w:rPr>
      </w:pPr>
    </w:p>
    <w:p>
      <w:pPr>
        <w:jc w:val="both"/>
        <w:ind w:left="4" w:right="520"/>
        <w:spacing w:after="0" w:line="266" w:lineRule="auto"/>
        <w:rPr>
          <w:sz w:val="20"/>
          <w:szCs w:val="20"/>
          <w:color w:val="auto"/>
        </w:rPr>
      </w:pPr>
      <w:r>
        <w:rPr>
          <w:rFonts w:ascii="Times New Roman" w:cs="Times New Roman" w:eastAsia="Times New Roman" w:hAnsi="Times New Roman"/>
          <w:sz w:val="18"/>
          <w:szCs w:val="18"/>
          <w:color w:val="auto"/>
        </w:rPr>
        <w:t>In response to the industry-wide slowdown and inventory correction, the Company has reduced production at its Fab 3. As a result, the Company expects Q1’23 gross profit margin will be further impacted by lower utilization as well as higher manufacturing input costs such as electricity and wages. The Company currently expects gross profit margin to recover as volume and utilization improves in the 2nd half of 2023.</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While actual results may vary, Magnachip currently expects the following for Q1’23:</w:t>
      </w:r>
    </w:p>
    <w:p>
      <w:pPr>
        <w:spacing w:after="0" w:line="131" w:lineRule="exact"/>
        <w:rPr>
          <w:sz w:val="20"/>
          <w:szCs w:val="20"/>
          <w:color w:val="auto"/>
        </w:rPr>
      </w:pPr>
    </w:p>
    <w:p>
      <w:pPr>
        <w:ind w:left="424" w:hanging="316"/>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in the range of $55 million to $59 million, including about $5 million of Transitional Fab 3 Foundry Services.</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to be in the range of 21% to 23%.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90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Q4 2022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will host a corresponding conference call at 2:00 p.m. PT / 5:00 p.m. ET on Thursday, February 16, 2023,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https://register.vevent.com/register/BI7b1cf7d40d2f43489a0d4fc290ea1ea2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first quarter 2023 revenue and gross profit margin expectations, and the impact of market conditions associated with inflation and rising interest rates, the COVID-19 pandemic or the emergence of various variants of the virus, geopolitical conflict between Russia and Ukraine, and escalated trade tensions and supply constraints on Magnachip’s first quarter 2023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inflation, potential recessions or other deteriorations, economic instability or civil unrest; the COVID-19 pandemic or the emergence of various variants of the virus or other outbreaks of disease, and governmental lock-downs or other measures implemented in response thereto, and the Russia-Ukraine conflict;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conflict;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February 23, 2022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90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214-0809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Yujia@blueshirtgroup.com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440" w:top="900" w:right="1440" w:bottom="1440" w:gutter="0" w:footer="0" w:header="0"/>
        </w:sectPr>
      </w:pPr>
    </w:p>
    <w:bookmarkStart w:id="7" w:name="page8"/>
    <w:bookmarkEnd w:id="7"/>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53,827</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62,771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301,896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433,099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7,163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35,762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41,131</w:t>
            </w:r>
          </w:p>
        </w:tc>
        <w:tc>
          <w:tcPr>
            <w:tcW w:w="0" w:type="dxa"/>
            <w:vAlign w:val="bottom"/>
          </w:tcPr>
          <w:p>
            <w:pPr>
              <w:spacing w:after="0"/>
              <w:rPr>
                <w:sz w:val="1"/>
                <w:szCs w:val="1"/>
                <w:color w:val="auto"/>
              </w:rPr>
            </w:pPr>
          </w:p>
        </w:tc>
      </w:tr>
      <w:tr>
        <w:trPr>
          <w:trHeight w:val="223"/>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337,658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45,497</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62,206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202,347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283,503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34,047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37,184</w:t>
            </w:r>
          </w:p>
        </w:tc>
        <w:tc>
          <w:tcPr>
            <w:tcW w:w="0" w:type="dxa"/>
            <w:vAlign w:val="bottom"/>
          </w:tcPr>
          <w:p>
            <w:pPr>
              <w:spacing w:after="0"/>
              <w:rPr>
                <w:sz w:val="1"/>
                <w:szCs w:val="1"/>
                <w:color w:val="auto"/>
              </w:rPr>
            </w:pPr>
          </w:p>
        </w:tc>
      </w:tr>
      <w:tr>
        <w:trPr>
          <w:trHeight w:val="230"/>
        </w:trPr>
        <w:tc>
          <w:tcPr>
            <w:tcW w:w="4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236,394</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101,264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153,543</w:t>
            </w:r>
          </w:p>
        </w:tc>
        <w:tc>
          <w:tcPr>
            <w:tcW w:w="0" w:type="dxa"/>
            <w:vAlign w:val="bottom"/>
          </w:tcPr>
          <w:p>
            <w:pPr>
              <w:spacing w:after="0"/>
              <w:rPr>
                <w:sz w:val="1"/>
                <w:szCs w:val="1"/>
                <w:color w:val="auto"/>
              </w:rPr>
            </w:pP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net sales</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50,872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52,440</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52,338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51,212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Merger-related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(35,527)</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106,508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70,136</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(11,853)</w:t>
            </w:r>
          </w:p>
        </w:tc>
        <w:tc>
          <w:tcPr>
            <w:tcW w:w="0" w:type="dxa"/>
            <w:vAlign w:val="bottom"/>
          </w:tcPr>
          <w:p>
            <w:pPr>
              <w:spacing w:after="0"/>
              <w:rPr>
                <w:sz w:val="1"/>
                <w:szCs w:val="1"/>
                <w:color w:val="auto"/>
              </w:rPr>
            </w:pPr>
          </w:p>
        </w:tc>
      </w:tr>
      <w:tr>
        <w:trPr>
          <w:trHeight w:val="216"/>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73,969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17,261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2,971</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56,708</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44,054,275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44,865,266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46,369,520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44,850,791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44,879,412</w:t>
            </w:r>
          </w:p>
        </w:tc>
        <w:tc>
          <w:tcPr>
            <w:tcW w:w="0" w:type="dxa"/>
            <w:vAlign w:val="bottom"/>
          </w:tcPr>
          <w:p>
            <w:pPr>
              <w:spacing w:after="0"/>
              <w:rPr>
                <w:sz w:val="1"/>
                <w:szCs w:val="1"/>
                <w:color w:val="auto"/>
              </w:rPr>
            </w:pPr>
          </w:p>
        </w:tc>
      </w:tr>
      <w:tr>
        <w:trPr>
          <w:trHeight w:val="234"/>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44,731,683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44,865,266</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47,691,816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44,850,791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47,709,373</w:t>
            </w:r>
          </w:p>
        </w:tc>
        <w:tc>
          <w:tcPr>
            <w:tcW w:w="0" w:type="dxa"/>
            <w:vAlign w:val="bottom"/>
          </w:tcPr>
          <w:p>
            <w:pPr>
              <w:spacing w:after="0"/>
              <w:rPr>
                <w:sz w:val="1"/>
                <w:szCs w:val="1"/>
                <w:color w:val="auto"/>
              </w:rPr>
            </w:pPr>
          </w:p>
        </w:tc>
      </w:tr>
      <w:tr>
        <w:trPr>
          <w:trHeight w:val="346"/>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00"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gridSpan w:val="5"/>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225,477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35,380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50,954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39,883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39,370</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10,560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7,675</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2,940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15,766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337,853</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110,747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107,882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5,265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1,930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10,939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38,324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41,095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11,587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516,645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17,998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9,702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9,688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20,071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3,154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1,397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5,306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47,245</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23,121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33,064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4,091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14,035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10,395</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88,492</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56,432,449 shares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43,824,575 outstanding at December 31, 2022 and 55,905,320 shares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45,659,304 outstanding at December 31, 2021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564</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266,058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241,197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335,506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343,542</w:t>
            </w:r>
          </w:p>
        </w:tc>
        <w:tc>
          <w:tcPr>
            <w:tcW w:w="0" w:type="dxa"/>
            <w:vAlign w:val="bottom"/>
          </w:tcPr>
          <w:p>
            <w:pPr>
              <w:spacing w:after="0"/>
              <w:rPr>
                <w:sz w:val="1"/>
                <w:szCs w:val="1"/>
                <w:color w:val="auto"/>
              </w:rPr>
            </w:pPr>
          </w:p>
        </w:tc>
      </w:tr>
      <w:tr>
        <w:trPr>
          <w:trHeight w:val="198"/>
        </w:trPr>
        <w:tc>
          <w:tcPr>
            <w:tcW w:w="6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12,607,874 shares at December 31, 2022 and 10,246,016 shares at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(161,422)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(130,306)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(12,553)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428,153</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516,645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00"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Pr>
          <w:p>
            <w:pPr>
              <w:spacing w:after="0"/>
              <w:rPr>
                <w:sz w:val="13"/>
                <w:szCs w:val="13"/>
                <w:color w:val="auto"/>
              </w:rPr>
            </w:pPr>
          </w:p>
        </w:tc>
        <w:tc>
          <w:tcPr>
            <w:tcW w:w="12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(8,036)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56,708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3,775</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6,289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(46,606)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19,729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32,432</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1,844</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9,574</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6,037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7,704</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10,276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7,505</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(12,626)</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18,146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(21,538)</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9,967</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(4,150)</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12,397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(16,325)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(11,437)</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(3,195)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(9,410)</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(13,094)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3,083</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 to severance insurance deposit accounts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(7,662)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(7,899)</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(6,012)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5,165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87,743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12,427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15,232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(15,282)</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(11,582)</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(23,394)</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(32,212)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(24,928)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(8,895)</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(13,960)</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stock under accelerated stock repurchase agreement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(20,073)</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under accelerated stock repurchase agreement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(17,427)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(12,744)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(35,544)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27,814</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(21,563)</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(21,154)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(25,354)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250,831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279,547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279,940</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225,477</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225,477</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00"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OPERATING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4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1220" w:type="dxa"/>
            <w:vAlign w:val="bottom"/>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September30,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49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83,407</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7,704</w:t>
            </w:r>
          </w:p>
        </w:tc>
      </w:tr>
      <w:tr>
        <w:trPr>
          <w:trHeight w:val="198"/>
        </w:trPr>
        <w:tc>
          <w:tcPr>
            <w:tcW w:w="4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 downstream</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trade restrictions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Merger-related income,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(35,527)</w:t>
            </w: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 net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3,298</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(8,567)</w:t>
            </w:r>
          </w:p>
        </w:tc>
        <w:tc>
          <w:tcPr>
            <w:tcW w:w="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14,421</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4,091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56,135</w:t>
            </w: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We present Adjusted Operating Income (Loss) as a supplemental measure of our performance. We define Adjusted Operating Income (Loss) for the periods indicated as operating income (loss) adjusted to exclude (i) Equity-based compensation expense (ii) Inventory reserve related to Huawei impact of downstream trade restrictions (iii) Merger-related income, net and (iv) Other charges, net.</w:t>
      </w:r>
    </w:p>
    <w:p>
      <w:pPr>
        <w:spacing w:after="0" w:line="176"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Other charges, net includes $2.8 million of one-time employee incentives and professional service fees and expenses of $1.0 million, incurred in connection with certain strategic evaluations, both of which were offset in part by a $0.5 million gain on sale of certain legacy equipment of the closed back-end line in our fabrication facility in Gumi. For the year ended December 31, 2021, Other charges, net includes $3.4 million of non-recurring professional service fees and expenses incurred in connection with the regulatory requests, partially offset by $1.4 million gain on sale of certain legacy equipment of the closed back-end line in our fabrication facility in Gumi (which was closed during the year ended December 31, 2018).</w:t>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recorded in our consolidated statement of operations net gain of $35.5 million that represented income of $70.2 million from the recognition of a reverse termination fee, net of professional service fees and expenses of $34.7 million incurred in connection with the contemplated merger transaction of the Company that was terminated in December 2021.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900"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17"/>
        </w:trPr>
        <w:tc>
          <w:tcPr>
            <w:tcW w:w="46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September30,</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46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56,708</w:t>
            </w: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(2,609)</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17,261</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14,239</w:t>
            </w:r>
          </w:p>
        </w:tc>
      </w:tr>
      <w:tr>
        <w:trPr>
          <w:trHeight w:val="27"/>
        </w:trPr>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86,970</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7,704</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11,853</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198"/>
        </w:trPr>
        <w:tc>
          <w:tcPr>
            <w:tcW w:w="46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downstream trade restrictions</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Merger-related income, net</w:t>
            </w:r>
          </w:p>
        </w:tc>
        <w:tc>
          <w:tcPr>
            <w:tcW w:w="8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(35,527)</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1,284</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1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56,708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7,704</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8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(17,492)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11,853</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198"/>
        </w:trPr>
        <w:tc>
          <w:tcPr>
            <w:tcW w:w="46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Inventory reserve related to Huawei impact of</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downstream trade restrictions</w:t>
            </w:r>
          </w:p>
        </w:tc>
        <w:tc>
          <w:tcPr>
            <w:tcW w:w="8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Merger-related income,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(49,369)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(35,527)</w:t>
            </w: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 net</w:t>
            </w:r>
          </w:p>
        </w:tc>
        <w:tc>
          <w:tcPr>
            <w:tcW w:w="8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9,713</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12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(0.36)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8"/>
              </w:rPr>
              <w:t>44,054,275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44,865,266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46,369,520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44,850,791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44,879,412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8"/>
              </w:rPr>
              <w:t>44,054,275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45,747,255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47,691,816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45,795,559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47,709,373</w:t>
            </w:r>
          </w:p>
        </w:tc>
      </w:tr>
    </w:tbl>
    <w:p>
      <w:pPr>
        <w:spacing w:after="0" w:line="198"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We present Adjusted EBITDA and Adjusted Net Income (Loss) as supplemental measures of our performance. We define Adjusted EBITDA for the periods indicated as EBITDA (as defined below), adjusted to exclude (i) Equity-based compensation expense, (ii) Foreign loss (gain), net,</w:t>
      </w:r>
    </w:p>
    <w:p>
      <w:pPr>
        <w:ind w:left="4" w:right="200" w:hanging="4"/>
        <w:spacing w:after="0" w:line="255"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(iv) Inventory reserve related to Huawei impact of downstream trade restrictions, (v) Merger-related income, net and (vi) Other charges, net. EBITDA for the periods indicated is defined as net income (loss) before interest income, interest expense, income tax expense (benefit) and depreciation and amortization.</w:t>
      </w:r>
    </w:p>
    <w:p>
      <w:pPr>
        <w:spacing w:after="0" w:line="18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Equity-based compensation expense, (ii) Foreign loss (gain), net, (iii) Derivative valuation loss (gain), net, (iv) Inventory reserve related to Huawei impact of downstream trade restrictions, (v) Merger-related income, net, (vi) Other charges, net and (vii) Income tax effect on non-GAAP adjustments.</w:t>
      </w:r>
    </w:p>
    <w:p>
      <w:pPr>
        <w:spacing w:after="0" w:line="187" w:lineRule="exact"/>
        <w:rPr>
          <w:sz w:val="20"/>
          <w:szCs w:val="20"/>
          <w:color w:val="auto"/>
        </w:rPr>
      </w:pPr>
    </w:p>
    <w:p>
      <w:pPr>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2022, Other charges, net includes $2.8 million of one-time employee incentives and professional service fees and expenses of $1.0 million, incurred in connection with certain strategic evaluations, both of which were offset in part by a $0.5 million gain on sale of certain legacy equipment of the closed back-end line in our fabrication facility in Gumi. For the year ended December 31, 2021, Other charges, net</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1116" w:right="43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308610"/>
                    </a:xfrm>
                    <a:prstGeom prst="rect">
                      <a:avLst/>
                    </a:prstGeom>
                    <a:noFill/>
                  </pic:spPr>
                </pic:pic>
              </a:graphicData>
            </a:graphic>
          </wp:anchor>
        </w:drawing>
        <w:t>includes $3.4 million of non-recurring professional service fees and expenses incurred in connection with the regulatory requests, partially offset by $1.4 million gain on sale of certain legacy equipment of the closed back-end line in our fabrication facility in Gumi (which was closed during the year ended December 31, 2018) and $0.7 million legal settlement gain related to certain expenses incurred in prior periods in connection with our legacy Fab 4 (which was sold during the year ended December 31, 2020) and awarded in the third quarter of 2021.</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recorded in our consolidated statement of operations net gain of $35.5 million that represented income of $70.2 million from the recognition of a reverse termination fee, net of professional service fees and expenses of $34.7 million incurred in connection with the contemplated merger transaction of the Company that was terminated in December 2021.</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For the quarter and year ended December 31, 2021, the adjustment for GAAP and cash tax expense difference in connection with the release of valuation allowances will no longer be an adjustment included in the Company’s non-GAAP financial measure. As such, Adjusted Net Income and Adjusted Net Income per Common Share for Q4 2021 and for the full year 2021 presented here have been recast to reflect the removal of this adjustment in accordance with Securities and Exchange Commission guidance.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0960"/>
      </w:cols>
      <w:pgMar w:left="44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2023-02-16T17:32:29Z</dcterms:created>
  <dcterms:modified xsi:type="dcterms:W3CDTF">2023-02-16T17:32:29Z</dcterms:modified>
</cp:coreProperties>
</file>