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1099820</wp:posOffset>
            </wp:positionH>
            <wp:positionV relativeFrom="page">
              <wp:posOffset>1117600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1134745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158750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187325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184785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Magnachip Semiconductor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167640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216"/>
        </w:trPr>
        <w:tc>
          <w:tcPr>
            <w:tcW w:w="23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4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225" w:lineRule="exact"/>
        <w:rPr>
          <w:sz w:val="24"/>
          <w:szCs w:val="24"/>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15F, 76 Jikji-daero 436beon-gil, Heungdeok-gu Cheongju-si, Chungcheongbuk-do, 28581, Republic of Korea </w:t>
      </w:r>
      <w:r>
        <w:rPr>
          <w:rFonts w:ascii="Times New Roman" w:cs="Times New Roman" w:eastAsia="Times New Roman" w:hAnsi="Times New Roman"/>
          <w:sz w:val="18"/>
          <w:szCs w:val="18"/>
          <w:color w:val="auto"/>
        </w:rPr>
        <w:t>(Address of principal executive offices)</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Shinyoung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+82-2-6903-3000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180340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35" w:lineRule="exact"/>
        <w:rPr>
          <w:sz w:val="24"/>
          <w:szCs w:val="24"/>
          <w:color w:val="auto"/>
        </w:rPr>
      </w:pPr>
    </w:p>
    <w:p>
      <w:pPr>
        <w:ind w:left="780" w:right="399" w:hanging="391"/>
        <w:spacing w:after="0" w:line="282" w:lineRule="auto"/>
        <w:tabs>
          <w:tab w:leader="none" w:pos="780" w:val="left"/>
        </w:tabs>
        <w:numPr>
          <w:ilvl w:val="0"/>
          <w:numId w:val="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62" w:lineRule="exact"/>
        <w:rPr>
          <w:sz w:val="24"/>
          <w:szCs w:val="24"/>
          <w:color w:val="auto"/>
        </w:rPr>
      </w:pPr>
    </w:p>
    <w:p>
      <w:pPr>
        <w:ind w:left="380"/>
        <w:spacing w:after="0"/>
        <w:tabs>
          <w:tab w:leader="none" w:pos="760" w:val="left"/>
        </w:tabs>
        <w:rPr>
          <w:sz w:val="20"/>
          <w:szCs w:val="20"/>
          <w:color w:val="auto"/>
        </w:rPr>
      </w:pPr>
      <w:r>
        <w:rPr>
          <w:rFonts w:ascii="Times New Roman" w:cs="Times New Roman" w:eastAsia="Times New Roman" w:hAnsi="Times New Roman"/>
          <w:sz w:val="18"/>
          <w:szCs w:val="18"/>
          <w:color w:val="auto"/>
        </w:rPr>
        <w:t>__</w:t>
        <w:tab/>
        <w:t>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1744980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565785</wp:posOffset>
            </wp:positionV>
            <wp:extent cx="5349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582930</wp:posOffset>
            </wp:positionV>
            <wp:extent cx="5349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Magnachip Semiconductor Corporation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xml:space="preserve">”) regarding the conflict minerals included in its products for the reporting period from January 1, 2025 to December 31, 2025.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Times New Roman" w:cs="Times New Roman" w:eastAsia="Times New Roman" w:hAnsi="Times New Roman"/>
          <w:sz w:val="18"/>
          <w:szCs w:val="18"/>
          <w:i w:val="1"/>
          <w:iCs w:val="1"/>
          <w:u w:val="single" w:color="auto"/>
          <w:color w:val="auto"/>
        </w:rPr>
        <w:t>https://www.magnachip.com/about-us/corporate-responsibility/social/supply-chain-management/</w:t>
      </w:r>
      <w:r>
        <w:rPr>
          <w:rFonts w:ascii="Times New Roman" w:cs="Times New Roman" w:eastAsia="Times New Roman" w:hAnsi="Times New Roman"/>
          <w:sz w:val="18"/>
          <w:szCs w:val="18"/>
          <w:color w:val="auto"/>
        </w:rPr>
        <w:t>. The content on, or accessible through, any website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Form SD is not incorporated by reference into this Form SD unless expressly noted.</w:t>
      </w:r>
    </w:p>
    <w:p>
      <w:pPr>
        <w:spacing w:after="0" w:line="144"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specialized disclosure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Resource Extraction Issuer Disclosure</w:t>
      </w:r>
    </w:p>
    <w:p>
      <w:pPr>
        <w:spacing w:after="0" w:line="225"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Resource Extraction Issuer Disclosure</w:t>
      </w:r>
    </w:p>
    <w:p>
      <w:pPr>
        <w:spacing w:after="0" w:line="225"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7040" w:type="dxa"/>
            <w:vAlign w:val="bottom"/>
            <w:tcBorders>
              <w:top w:val="single" w:sz="8" w:color="auto"/>
              <w:bottom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w w:val="99"/>
              </w:rPr>
              <w:t>Conflict Minerals Report of Magnachip Semiconductor Corporation for the reporting period from</w:t>
            </w:r>
          </w:p>
        </w:tc>
        <w:tc>
          <w:tcPr>
            <w:tcW w:w="40" w:type="dxa"/>
            <w:vAlign w:val="bottom"/>
            <w:tcBorders>
              <w:top w:val="single" w:sz="8" w:color="auto"/>
            </w:tcBorders>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January 1, 2025 to December 31, 2025.</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300" w:right="4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Shinyoung Park</w:t>
            </w:r>
          </w:p>
        </w:tc>
        <w:tc>
          <w:tcPr>
            <w:tcW w:w="760" w:type="dxa"/>
            <w:vAlign w:val="bottom"/>
          </w:tcPr>
          <w:p>
            <w:pPr>
              <w:spacing w:after="0"/>
              <w:rPr>
                <w:sz w:val="20"/>
                <w:szCs w:val="20"/>
                <w:color w:val="auto"/>
              </w:rPr>
            </w:pPr>
          </w:p>
        </w:tc>
        <w:tc>
          <w:tcPr>
            <w:tcW w:w="3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191"/>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Shinyoung Park</w:t>
            </w:r>
          </w:p>
        </w:tc>
        <w:tc>
          <w:tcPr>
            <w:tcW w:w="760" w:type="dxa"/>
            <w:vAlign w:val="bottom"/>
          </w:tcPr>
          <w:p>
            <w:pPr>
              <w:spacing w:after="0"/>
              <w:rPr>
                <w:sz w:val="16"/>
                <w:szCs w:val="16"/>
                <w:color w:val="auto"/>
              </w:rPr>
            </w:pPr>
          </w:p>
        </w:tc>
        <w:tc>
          <w:tcPr>
            <w:tcW w:w="37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400" w:type="dxa"/>
            <w:vAlign w:val="bottom"/>
          </w:tcPr>
          <w:p>
            <w:pPr>
              <w:spacing w:after="0"/>
              <w:rPr>
                <w:sz w:val="20"/>
                <w:szCs w:val="20"/>
                <w:color w:val="auto"/>
              </w:rPr>
            </w:pPr>
          </w:p>
        </w:tc>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76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587375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Magnachip Semiconductor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Conflict Minerals Report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reporting period from January 1, 2025 to December 31, 2025</w:t>
      </w:r>
    </w:p>
    <w:p>
      <w:pPr>
        <w:spacing w:after="0" w:line="306" w:lineRule="exact"/>
        <w:rPr>
          <w:sz w:val="20"/>
          <w:szCs w:val="20"/>
          <w:color w:val="auto"/>
        </w:rPr>
      </w:pPr>
    </w:p>
    <w:p>
      <w:pPr>
        <w:jc w:val="both"/>
        <w:ind w:right="100" w:firstLine="324"/>
        <w:spacing w:after="0" w:line="268"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Magnachip Semiconductor Corporation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been prepared pursuant to Rule 13p-1 and Form SD promulgated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 columbite-tantalite (or coltan, the metal ore from which tantalum is extracted), cassiterite (the metal ore from which tin is extracted), gold and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ind w:right="360"/>
        <w:spacing w:after="0" w:line="263" w:lineRule="auto"/>
        <w:rPr>
          <w:sz w:val="20"/>
          <w:szCs w:val="20"/>
          <w:color w:val="auto"/>
        </w:rPr>
      </w:pPr>
      <w:r>
        <w:rPr>
          <w:rFonts w:ascii="Times New Roman" w:cs="Times New Roman" w:eastAsia="Times New Roman" w:hAnsi="Times New Roman"/>
          <w:sz w:val="18"/>
          <w:szCs w:val="18"/>
          <w:color w:val="auto"/>
        </w:rPr>
        <w:t>The Company operated the following businesses during the Reporting Period: (i) its Power Solutions (“</w:t>
      </w:r>
      <w:r>
        <w:rPr>
          <w:rFonts w:ascii="Times New Roman" w:cs="Times New Roman" w:eastAsia="Times New Roman" w:hAnsi="Times New Roman"/>
          <w:sz w:val="18"/>
          <w:szCs w:val="18"/>
          <w:b w:val="1"/>
          <w:bCs w:val="1"/>
          <w:i w:val="1"/>
          <w:iCs w:val="1"/>
          <w:color w:val="auto"/>
        </w:rPr>
        <w:t>Power</w:t>
      </w:r>
      <w:r>
        <w:rPr>
          <w:rFonts w:ascii="Times New Roman" w:cs="Times New Roman" w:eastAsia="Times New Roman" w:hAnsi="Times New Roman"/>
          <w:sz w:val="18"/>
          <w:szCs w:val="18"/>
          <w:color w:val="auto"/>
        </w:rPr>
        <w:t>”) business comprised of the Power Analog Solutions (“</w:t>
      </w:r>
      <w:r>
        <w:rPr>
          <w:rFonts w:ascii="Times New Roman" w:cs="Times New Roman" w:eastAsia="Times New Roman" w:hAnsi="Times New Roman"/>
          <w:sz w:val="18"/>
          <w:szCs w:val="18"/>
          <w:b w:val="1"/>
          <w:bCs w:val="1"/>
          <w:i w:val="1"/>
          <w:iCs w:val="1"/>
          <w:color w:val="auto"/>
        </w:rPr>
        <w:t>PAS</w:t>
      </w:r>
      <w:r>
        <w:rPr>
          <w:rFonts w:ascii="Times New Roman" w:cs="Times New Roman" w:eastAsia="Times New Roman" w:hAnsi="Times New Roman"/>
          <w:sz w:val="18"/>
          <w:szCs w:val="18"/>
          <w:color w:val="auto"/>
        </w:rPr>
        <w:t>”) business and the Power integrated circuit (“</w:t>
      </w:r>
      <w:r>
        <w:rPr>
          <w:rFonts w:ascii="Times New Roman" w:cs="Times New Roman" w:eastAsia="Times New Roman" w:hAnsi="Times New Roman"/>
          <w:sz w:val="18"/>
          <w:szCs w:val="18"/>
          <w:b w:val="1"/>
          <w:bCs w:val="1"/>
          <w:i w:val="1"/>
          <w:iCs w:val="1"/>
          <w:color w:val="auto"/>
        </w:rPr>
        <w:t>PIC</w:t>
      </w:r>
      <w:r>
        <w:rPr>
          <w:rFonts w:ascii="Times New Roman" w:cs="Times New Roman" w:eastAsia="Times New Roman" w:hAnsi="Times New Roman"/>
          <w:sz w:val="18"/>
          <w:szCs w:val="18"/>
          <w:color w:val="auto"/>
        </w:rPr>
        <w:t>”) business, and (ii) its Mixed-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Signal Solutions (“</w:t>
      </w:r>
      <w:r>
        <w:rPr>
          <w:rFonts w:ascii="Times New Roman" w:cs="Times New Roman" w:eastAsia="Times New Roman" w:hAnsi="Times New Roman"/>
          <w:sz w:val="18"/>
          <w:szCs w:val="18"/>
          <w:b w:val="1"/>
          <w:bCs w:val="1"/>
          <w:i w:val="1"/>
          <w:iCs w:val="1"/>
          <w:color w:val="auto"/>
        </w:rPr>
        <w:t>MSS</w:t>
      </w:r>
      <w:r>
        <w:rPr>
          <w:rFonts w:ascii="Times New Roman" w:cs="Times New Roman" w:eastAsia="Times New Roman" w:hAnsi="Times New Roman"/>
          <w:sz w:val="18"/>
          <w:szCs w:val="18"/>
          <w:color w:val="auto"/>
        </w:rPr>
        <w:t>”) business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comprised of the Display integrated circuit (“</w:t>
      </w:r>
      <w:r>
        <w:rPr>
          <w:rFonts w:ascii="Times New Roman" w:cs="Times New Roman" w:eastAsia="Times New Roman" w:hAnsi="Times New Roman"/>
          <w:sz w:val="18"/>
          <w:szCs w:val="18"/>
          <w:b w:val="1"/>
          <w:bCs w:val="1"/>
          <w:i w:val="1"/>
          <w:iCs w:val="1"/>
          <w:color w:val="auto"/>
        </w:rPr>
        <w:t>Display IC</w:t>
      </w:r>
      <w:r>
        <w:rPr>
          <w:rFonts w:ascii="Times New Roman" w:cs="Times New Roman" w:eastAsia="Times New Roman" w:hAnsi="Times New Roman"/>
          <w:sz w:val="18"/>
          <w:szCs w:val="18"/>
          <w:color w:val="auto"/>
        </w:rPr>
        <w:t>”) business.</w:t>
      </w:r>
    </w:p>
    <w:p>
      <w:pPr>
        <w:spacing w:after="0" w:line="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Power business consists of the PAS and PIC businesses. The Company’s PAS products include metal oxide semiconductor field effect transistors (“</w:t>
      </w:r>
      <w:r>
        <w:rPr>
          <w:rFonts w:ascii="Times New Roman" w:cs="Times New Roman" w:eastAsia="Times New Roman" w:hAnsi="Times New Roman"/>
          <w:sz w:val="18"/>
          <w:szCs w:val="18"/>
          <w:b w:val="1"/>
          <w:bCs w:val="1"/>
          <w:i w:val="1"/>
          <w:iCs w:val="1"/>
          <w:color w:val="auto"/>
        </w:rPr>
        <w:t>MOSFETs</w:t>
      </w:r>
      <w:r>
        <w:rPr>
          <w:rFonts w:ascii="Times New Roman" w:cs="Times New Roman" w:eastAsia="Times New Roman" w:hAnsi="Times New Roman"/>
          <w:sz w:val="18"/>
          <w:szCs w:val="18"/>
          <w:color w:val="auto"/>
        </w:rPr>
        <w:t>”) and insulated-gate bipolar transistors (“</w:t>
      </w:r>
      <w:r>
        <w:rPr>
          <w:rFonts w:ascii="Times New Roman" w:cs="Times New Roman" w:eastAsia="Times New Roman" w:hAnsi="Times New Roman"/>
          <w:sz w:val="18"/>
          <w:szCs w:val="18"/>
          <w:b w:val="1"/>
          <w:bCs w:val="1"/>
          <w:i w:val="1"/>
          <w:iCs w:val="1"/>
          <w:color w:val="auto"/>
        </w:rPr>
        <w:t>IGBTs</w:t>
      </w:r>
      <w:r>
        <w:rPr>
          <w:rFonts w:ascii="Times New Roman" w:cs="Times New Roman" w:eastAsia="Times New Roman" w:hAnsi="Times New Roman"/>
          <w:sz w:val="18"/>
          <w:szCs w:val="18"/>
          <w:color w:val="auto"/>
        </w:rPr>
        <w:t>”) for a range of devices, including televisions, smartphones, mobile phones, wearable devices, desktop personal computers (“</w:t>
      </w:r>
      <w:r>
        <w:rPr>
          <w:rFonts w:ascii="Times New Roman" w:cs="Times New Roman" w:eastAsia="Times New Roman" w:hAnsi="Times New Roman"/>
          <w:sz w:val="18"/>
          <w:szCs w:val="18"/>
          <w:b w:val="1"/>
          <w:bCs w:val="1"/>
          <w:i w:val="1"/>
          <w:iCs w:val="1"/>
          <w:color w:val="auto"/>
        </w:rPr>
        <w:t>PCs</w:t>
      </w:r>
      <w:r>
        <w:rPr>
          <w:rFonts w:ascii="Times New Roman" w:cs="Times New Roman" w:eastAsia="Times New Roman" w:hAnsi="Times New Roman"/>
          <w:sz w:val="18"/>
          <w:szCs w:val="18"/>
          <w:color w:val="auto"/>
        </w:rPr>
        <w:t>”), notebook PCs, tablet PCs, home appliances, other consumer electronics, automotive and industrial applications such as power suppliers, e-bikes, photovoltaic inverters, LED lighting and motor drives. The Company’s PIC products include AC-DC/DC-DC converters, LED drivers, regulators, power management integrated circuits (“</w:t>
      </w:r>
      <w:r>
        <w:rPr>
          <w:rFonts w:ascii="Times New Roman" w:cs="Times New Roman" w:eastAsia="Times New Roman" w:hAnsi="Times New Roman"/>
          <w:sz w:val="18"/>
          <w:szCs w:val="18"/>
          <w:b w:val="1"/>
          <w:bCs w:val="1"/>
          <w:i w:val="1"/>
          <w:iCs w:val="1"/>
          <w:color w:val="auto"/>
        </w:rPr>
        <w:t>PMICs</w:t>
      </w:r>
      <w:r>
        <w:rPr>
          <w:rFonts w:ascii="Times New Roman" w:cs="Times New Roman" w:eastAsia="Times New Roman" w:hAnsi="Times New Roman"/>
          <w:sz w:val="18"/>
          <w:szCs w:val="18"/>
          <w:color w:val="auto"/>
        </w:rPr>
        <w:t>”) and level shifters for a range of devices, including televisions, wearable devices, notebooks, tablet PCs and other consumer electronics, as well as automotive applications.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Display IC products provide flat panel display solutions to major suppliers of large and small flat panel displays. These products include source and gate drivers and timing controllers that cover flat panel displays applied with liquid crystal displays (“</w:t>
      </w:r>
      <w:r>
        <w:rPr>
          <w:rFonts w:ascii="Times New Roman" w:cs="Times New Roman" w:eastAsia="Times New Roman" w:hAnsi="Times New Roman"/>
          <w:sz w:val="18"/>
          <w:szCs w:val="18"/>
          <w:b w:val="1"/>
          <w:bCs w:val="1"/>
          <w:i w:val="1"/>
          <w:iCs w:val="1"/>
          <w:color w:val="auto"/>
        </w:rPr>
        <w:t>LCDs</w:t>
      </w:r>
      <w:r>
        <w:rPr>
          <w:rFonts w:ascii="Times New Roman" w:cs="Times New Roman" w:eastAsia="Times New Roman" w:hAnsi="Times New Roman"/>
          <w:sz w:val="18"/>
          <w:szCs w:val="18"/>
          <w:color w:val="auto"/>
        </w:rPr>
        <w:t>”), organic light emitting diodes (“</w:t>
      </w:r>
      <w:r>
        <w:rPr>
          <w:rFonts w:ascii="Times New Roman" w:cs="Times New Roman" w:eastAsia="Times New Roman" w:hAnsi="Times New Roman"/>
          <w:sz w:val="18"/>
          <w:szCs w:val="18"/>
          <w:b w:val="1"/>
          <w:bCs w:val="1"/>
          <w:i w:val="1"/>
          <w:iCs w:val="1"/>
          <w:color w:val="auto"/>
        </w:rPr>
        <w:t>OLEDs</w:t>
      </w:r>
      <w:r>
        <w:rPr>
          <w:rFonts w:ascii="Times New Roman" w:cs="Times New Roman" w:eastAsia="Times New Roman" w:hAnsi="Times New Roman"/>
          <w:sz w:val="18"/>
          <w:szCs w:val="18"/>
          <w:color w:val="auto"/>
        </w:rPr>
        <w:t>”) or micro light emitting diodes (“</w:t>
      </w:r>
      <w:r>
        <w:rPr>
          <w:rFonts w:ascii="Times New Roman" w:cs="Times New Roman" w:eastAsia="Times New Roman" w:hAnsi="Times New Roman"/>
          <w:sz w:val="18"/>
          <w:szCs w:val="18"/>
          <w:b w:val="1"/>
          <w:bCs w:val="1"/>
          <w:i w:val="1"/>
          <w:iCs w:val="1"/>
          <w:color w:val="auto"/>
        </w:rPr>
        <w:t>Micro LEDs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during the Reporting Period may have at times manufactured, or contracted to manufacture, products, including the products listed above, for which conflict minerals are necessary to the functionality or production of those products (collectively,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RCOI regarding the conflict minerals included in Products during the Reporting Period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Times New Roman" w:cs="Times New Roman" w:eastAsia="Times New Roman" w:hAnsi="Times New Roman"/>
          <w:sz w:val="18"/>
          <w:szCs w:val="18"/>
          <w:i w:val="1"/>
          <w:iCs w:val="1"/>
          <w:u w:val="single" w:color="auto"/>
          <w:color w:val="auto"/>
        </w:rPr>
        <w:t>https://www.magnachip.com/about-us/corporate-responsibility/social/supply-chain-management/</w:t>
      </w:r>
      <w:r>
        <w:rPr>
          <w:rFonts w:ascii="Times New Roman" w:cs="Times New Roman" w:eastAsia="Times New Roman" w:hAnsi="Times New Roman"/>
          <w:sz w:val="18"/>
          <w:szCs w:val="18"/>
          <w:color w:val="auto"/>
        </w:rPr>
        <w:t>. The content on, or accessible through, any website referred to in this Report is not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16884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ectPr>
          <w:pgSz w:w="11900" w:h="16838" w:orient="portrait"/>
          <w:cols w:equalWidth="0" w:num="1">
            <w:col w:w="9720"/>
          </w:cols>
          <w:pgMar w:left="1080" w:top="761" w:right="1099" w:bottom="1440" w:gutter="0" w:footer="0" w:header="0"/>
        </w:sectPr>
      </w:pPr>
    </w:p>
    <w:p>
      <w:pPr>
        <w:spacing w:after="0" w:line="363" w:lineRule="exact"/>
        <w:rPr>
          <w:sz w:val="20"/>
          <w:szCs w:val="20"/>
          <w:color w:val="auto"/>
        </w:rPr>
      </w:pPr>
    </w:p>
    <w:p>
      <w:pPr>
        <w:ind w:right="40" w:firstLine="445"/>
        <w:spacing w:after="0" w:line="194" w:lineRule="auto"/>
        <w:tabs>
          <w:tab w:leader="none" w:pos="537"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 operated the MSS business only for a portion of the Reporting Period. On March 12, 2025, the Company announced its transition to a pure-play power company, and on April 8, 2025, the Company further announced its plan to shut down its MSS business. Currently, the Company develops and manufactures analog and mixed-signal power semiconductor platform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457835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1" w:right="1099" w:bottom="1440" w:gutter="0" w:footer="0" w:header="0"/>
          <w:type w:val="continuous"/>
        </w:sectPr>
      </w:pPr>
    </w:p>
    <w:bookmarkStart w:id="4" w:name="page5"/>
    <w:bookmarkEnd w:id="4"/>
    <w:p>
      <w:pPr>
        <w:ind w:left="360" w:hanging="35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RCOI and Due Diligence Process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Times New Roman" w:cs="Times New Roman" w:eastAsia="Times New Roman" w:hAnsi="Times New Roman"/>
          <w:sz w:val="18"/>
          <w:szCs w:val="18"/>
          <w:b w:val="1"/>
          <w:bCs w:val="1"/>
          <w:i w:val="1"/>
          <w:iCs w:val="1"/>
          <w:color w:val="auto"/>
        </w:rPr>
        <w:t>OECD Guidelines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During the Reporting Period, the Company worked to identify its Tier 1 suppliers and outsourcing manufacturers that it believed could potentially provide materials or components containing Subject Minerals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Times New Roman" w:cs="Times New Roman" w:eastAsia="Times New Roman" w:hAnsi="Times New Roman"/>
          <w:sz w:val="18"/>
          <w:szCs w:val="18"/>
          <w:b w:val="1"/>
          <w:bCs w:val="1"/>
          <w:i w:val="1"/>
          <w:iCs w:val="1"/>
          <w:color w:val="auto"/>
        </w:rPr>
        <w:t>CMRT</w:t>
      </w:r>
      <w:r>
        <w:rPr>
          <w:rFonts w:ascii="Times New Roman" w:cs="Times New Roman" w:eastAsia="Times New Roman" w:hAnsi="Times New Roman"/>
          <w:sz w:val="18"/>
          <w:szCs w:val="18"/>
          <w:color w:val="auto"/>
        </w:rPr>
        <w:t>”) that was developed by the Responsible Minerals Initiative (formerly the Conflict-Free Sourcing Initiative) (the “</w:t>
      </w:r>
      <w:r>
        <w:rPr>
          <w:rFonts w:ascii="Times New Roman" w:cs="Times New Roman" w:eastAsia="Times New Roman" w:hAnsi="Times New Roman"/>
          <w:sz w:val="18"/>
          <w:szCs w:val="18"/>
          <w:b w:val="1"/>
          <w:bCs w:val="1"/>
          <w:i w:val="1"/>
          <w:iCs w:val="1"/>
          <w:color w:val="auto"/>
        </w:rPr>
        <w:t>RMI</w:t>
      </w:r>
      <w:r>
        <w:rPr>
          <w:rFonts w:ascii="Times New Roman" w:cs="Times New Roman" w:eastAsia="Times New Roman" w:hAnsi="Times New Roman"/>
          <w:sz w:val="18"/>
          <w:szCs w:val="18"/>
          <w:color w:val="auto"/>
        </w:rPr>
        <w:t>”). The RMI was founded by the Responsible Business Alliance (“</w:t>
      </w:r>
      <w:r>
        <w:rPr>
          <w:rFonts w:ascii="Times New Roman" w:cs="Times New Roman" w:eastAsia="Times New Roman" w:hAnsi="Times New Roman"/>
          <w:sz w:val="18"/>
          <w:szCs w:val="18"/>
          <w:b w:val="1"/>
          <w:bCs w:val="1"/>
          <w:i w:val="1"/>
          <w:iCs w:val="1"/>
          <w:color w:val="auto"/>
        </w:rPr>
        <w:t>RBA</w:t>
      </w:r>
      <w:r>
        <w:rPr>
          <w:rFonts w:ascii="Times New Roman" w:cs="Times New Roman" w:eastAsia="Times New Roman" w:hAnsi="Times New Roman"/>
          <w:sz w:val="18"/>
          <w:szCs w:val="18"/>
          <w:color w:val="auto"/>
        </w:rPr>
        <w:t>”) (formerly the Electronic Industry Citizenship Coalition) and the Global e-Sustainability Initiative (“</w:t>
      </w:r>
      <w:r>
        <w:rPr>
          <w:rFonts w:ascii="Times New Roman" w:cs="Times New Roman" w:eastAsia="Times New Roman" w:hAnsi="Times New Roman"/>
          <w:sz w:val="18"/>
          <w:szCs w:val="18"/>
          <w:b w:val="1"/>
          <w:bCs w:val="1"/>
          <w:i w:val="1"/>
          <w:iCs w:val="1"/>
          <w:color w:val="auto"/>
        </w:rPr>
        <w:t>GeSI</w:t>
      </w:r>
      <w:r>
        <w:rPr>
          <w:rFonts w:ascii="Times New Roman" w:cs="Times New Roman" w:eastAsia="Times New Roman" w:hAnsi="Times New Roman"/>
          <w:sz w:val="18"/>
          <w:szCs w:val="18"/>
          <w:color w:val="auto"/>
        </w:rPr>
        <w:t>”)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Times New Roman" w:cs="Times New Roman" w:eastAsia="Times New Roman" w:hAnsi="Times New Roman"/>
          <w:sz w:val="18"/>
          <w:szCs w:val="18"/>
          <w:b w:val="1"/>
          <w:bCs w:val="1"/>
          <w:i w:val="1"/>
          <w:iCs w:val="1"/>
          <w:color w:val="auto"/>
        </w:rPr>
        <w:t>RMAP</w:t>
      </w:r>
      <w:r>
        <w:rPr>
          <w:rFonts w:ascii="Times New Roman" w:cs="Times New Roman" w:eastAsia="Times New Roman" w:hAnsi="Times New Roman"/>
          <w:sz w:val="18"/>
          <w:szCs w:val="18"/>
          <w:color w:val="auto"/>
        </w:rPr>
        <w:t>”) sponsors independent third-party audits of smelters and refiners of conflict minerals which determine the country of origin of minerals processed through those smelters and refiners.</w:t>
      </w:r>
    </w:p>
    <w:p>
      <w:pPr>
        <w:spacing w:after="0" w:line="1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1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Products. The Company’s RCOI procedures are an evolving process. See “</w:t>
      </w:r>
      <w:r>
        <w:rPr>
          <w:rFonts w:ascii="Times New Roman" w:cs="Times New Roman" w:eastAsia="Times New Roman" w:hAnsi="Times New Roman"/>
          <w:sz w:val="18"/>
          <w:szCs w:val="18"/>
          <w:i w:val="1"/>
          <w:iCs w:val="1"/>
          <w:color w:val="auto"/>
        </w:rPr>
        <w:t>Additional Due Diligence and Risk Mitigation</w:t>
      </w:r>
      <w:r>
        <w:rPr>
          <w:rFonts w:ascii="Times New Roman" w:cs="Times New Roman" w:eastAsia="Times New Roman" w:hAnsi="Times New Roman"/>
          <w:sz w:val="18"/>
          <w:szCs w:val="18"/>
          <w:color w:val="auto"/>
        </w:rPr>
        <w:t>” below for additional detail.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due diligence process is designed to follow the OECD Guidelines. Due diligence measures undertaken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during the Reporting Period included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Strong Company Management 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 to Support Supply Chain Due Diligence.</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purchasing and legal teams collaborate to manage supply chain due diligence related to conflict minerals. While the Company does not maintain a dedicated internal team for this purpose, relevant personnel from these departments support compliance efforts with applicable regulations, including the SEC’s conflict minerals reporting requirements. Their support includes providing internal guidance and facilitating communication with suppliers, as appropriate, to ensure compliance with such reporting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Policy Developed to Establish Expectations of Suppliers.</w:t>
      </w:r>
    </w:p>
    <w:p>
      <w:pPr>
        <w:spacing w:after="0" w:line="187"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Times New Roman" w:cs="Times New Roman" w:eastAsia="Times New Roman" w:hAnsi="Times New Roman"/>
          <w:sz w:val="17"/>
          <w:szCs w:val="17"/>
          <w:i w:val="1"/>
          <w:iCs w:val="1"/>
          <w:u w:val="single" w:color="auto"/>
          <w:color w:val="auto"/>
        </w:rPr>
        <w:t>https://www.magnachip.com/about-us/corporate-responsibility/ethics-compliance/</w:t>
      </w:r>
      <w:r>
        <w:rPr>
          <w:rFonts w:ascii="Times New Roman" w:cs="Times New Roman" w:eastAsia="Times New Roman" w:hAnsi="Times New Roman"/>
          <w:sz w:val="17"/>
          <w:szCs w:val="17"/>
          <w:color w:val="auto"/>
        </w:rPr>
        <w:t>. The Company’s position statement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553720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5" w:name="page6"/>
    <w:bookmarkEnd w:id="5"/>
    <w:p>
      <w:pPr>
        <w:ind w:right="60"/>
        <w:spacing w:after="0" w:line="266" w:lineRule="auto"/>
        <w:rPr>
          <w:sz w:val="20"/>
          <w:szCs w:val="20"/>
          <w:color w:val="auto"/>
        </w:rPr>
      </w:pPr>
      <w:r>
        <w:rPr>
          <w:rFonts w:ascii="Times New Roman" w:cs="Times New Roman" w:eastAsia="Times New Roman" w:hAnsi="Times New Roman"/>
          <w:sz w:val="18"/>
          <w:szCs w:val="18"/>
          <w:color w:val="auto"/>
        </w:rPr>
        <w:t>periodically reviewed and updated as needed. The Company’s relevant personnel from its purchasing and legal teams also continually evaluates its supply agreements and purchasing procedures to determine whether additional contractual or other means of implementing the Company’s policy should be adopted as described below under “</w:t>
      </w:r>
      <w:r>
        <w:rPr>
          <w:rFonts w:ascii="Times New Roman" w:cs="Times New Roman" w:eastAsia="Times New Roman" w:hAnsi="Times New Roman"/>
          <w:sz w:val="18"/>
          <w:szCs w:val="18"/>
          <w:i w:val="1"/>
          <w:iCs w:val="1"/>
          <w:color w:val="auto"/>
        </w:rPr>
        <w:t>Additional Due Diligence and Risk Mitigation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and Assess Risks in the Supply Chain</w:t>
      </w:r>
    </w:p>
    <w:p>
      <w:pPr>
        <w:spacing w:after="0" w:line="20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assess its supply chain risks and work with its suppliers and outsourcing manufacturers in developing greater supply chain transparency.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Implement a Strategy to Respond to Identified Risks</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high standards of corporate responsibility through its compliance with Form SD. As required by Form SD, the Company is disclosing the results of its RCOI and additional due diligence measures in this Report. The Company’s personnel responsible for conflict minerals compliance, including engagement with suppliers and outsourcing manufacturers, also address any significant due diligence findings as they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 Out Independent Third-Party Audit of Smelter’s / Refiner’s Due Diligence Practices</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Where possible, the Company has relied on third party assurances and certifications. For example, the Company accepts as reliable any smelter that is a member of the RMAP (referred to collectively as “</w:t>
      </w:r>
      <w:r>
        <w:rPr>
          <w:rFonts w:ascii="Times New Roman" w:cs="Times New Roman" w:eastAsia="Times New Roman" w:hAnsi="Times New Roman"/>
          <w:sz w:val="18"/>
          <w:szCs w:val="18"/>
          <w:b w:val="1"/>
          <w:bCs w:val="1"/>
          <w:i w:val="1"/>
          <w:iCs w:val="1"/>
          <w:color w:val="auto"/>
        </w:rPr>
        <w:t>Members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Annually on Supply Chain Due Diligence</w:t>
      </w:r>
    </w:p>
    <w:p>
      <w:pPr>
        <w:spacing w:after="0" w:line="200" w:lineRule="exact"/>
        <w:rPr>
          <w:sz w:val="20"/>
          <w:szCs w:val="20"/>
          <w:color w:val="auto"/>
        </w:rPr>
      </w:pPr>
    </w:p>
    <w:p>
      <w:pPr>
        <w:ind w:right="7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This Report is publicly available at </w:t>
      </w:r>
      <w:r>
        <w:rPr>
          <w:rFonts w:ascii="Times New Roman" w:cs="Times New Roman" w:eastAsia="Times New Roman" w:hAnsi="Times New Roman"/>
          <w:sz w:val="18"/>
          <w:szCs w:val="18"/>
          <w:i w:val="1"/>
          <w:iCs w:val="1"/>
          <w:u w:val="single" w:color="auto"/>
          <w:color w:val="auto"/>
        </w:rPr>
        <w:t>https://www.magnachip.com/about-us/corporate-responsibility/social/supply-chain-management/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meets the OECD recommendation to report annually on supply chain due diligence.</w:t>
      </w:r>
    </w:p>
    <w:p>
      <w:pPr>
        <w:spacing w:after="0" w:line="156" w:lineRule="exact"/>
        <w:rPr>
          <w:sz w:val="20"/>
          <w:szCs w:val="20"/>
          <w:color w:val="auto"/>
        </w:rPr>
      </w:pPr>
    </w:p>
    <w:p>
      <w:pPr>
        <w:ind w:left="360" w:hanging="356"/>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Due Diligence Results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Based solely on the information obtained pursuant to its RCOI and due diligence process described above, including review of CMRTs completed by the Covered Suppliers in 2025,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Times New Roman" w:cs="Times New Roman" w:eastAsia="Times New Roman" w:hAnsi="Times New Roman"/>
          <w:sz w:val="18"/>
          <w:szCs w:val="18"/>
          <w:i w:val="1"/>
          <w:iCs w:val="1"/>
          <w:color w:val="auto"/>
        </w:rPr>
        <w:t>Facilities Used to Process Subject Minerals and Country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Origin</w:t>
      </w:r>
      <w:r>
        <w:rPr>
          <w:rFonts w:ascii="Times New Roman" w:cs="Times New Roman" w:eastAsia="Times New Roman" w:hAnsi="Times New Roman"/>
          <w:sz w:val="18"/>
          <w:szCs w:val="18"/>
          <w:color w:val="auto"/>
        </w:rPr>
        <w:t>” below.</w:t>
      </w:r>
    </w:p>
    <w:p>
      <w:pPr>
        <w:spacing w:after="0" w:line="16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implement and refine its conflict minerals program to improve its supply chain transparency by seeking more accurate and more complete information from its suppliers and outsourcing manufacturers. See “</w:t>
      </w:r>
      <w:r>
        <w:rPr>
          <w:rFonts w:ascii="Times New Roman" w:cs="Times New Roman" w:eastAsia="Times New Roman" w:hAnsi="Times New Roman"/>
          <w:sz w:val="18"/>
          <w:szCs w:val="18"/>
          <w:i w:val="1"/>
          <w:iCs w:val="1"/>
          <w:color w:val="auto"/>
        </w:rPr>
        <w:t>Additional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Diligence and Risk Mitigation</w:t>
      </w:r>
      <w:r>
        <w:rPr>
          <w:rFonts w:ascii="Times New Roman" w:cs="Times New Roman" w:eastAsia="Times New Roman" w:hAnsi="Times New Roman"/>
          <w:sz w:val="18"/>
          <w:szCs w:val="18"/>
          <w:color w:val="auto"/>
        </w:rPr>
        <w:t>” below for additional details.</w:t>
      </w:r>
    </w:p>
    <w:p>
      <w:pPr>
        <w:spacing w:after="0" w:line="131" w:lineRule="exact"/>
        <w:rPr>
          <w:sz w:val="20"/>
          <w:szCs w:val="20"/>
          <w:color w:val="auto"/>
        </w:rPr>
      </w:pPr>
    </w:p>
    <w:p>
      <w:pPr>
        <w:ind w:left="360" w:hanging="356"/>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Due Diligence and Risk Mitigation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expects to take the following steps, among others, to improve its RCOI process and due diligence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Terms and Conditions / Supplier Code of Conduct</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Within the Company’s supplier relationships, the Company seeks to manage its sourcing processes ethically and hold the Company, its suppliers, and its outsourcing manufacturers to a high standard of conduct. This means that the Company works with its suppliers and outsourcing manufacturers to promote responsible practices throughout its supply network. The Company continually works to strengthen its commitment to the responsible sourcing of conflict minerals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also requires certifications from its suppliers and outsourcing manufacturers that such suppliers and manufacturers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575310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877" w:right="1119" w:bottom="1440" w:gutter="0" w:footer="0" w:header="0"/>
        </w:sectPr>
      </w:pPr>
    </w:p>
    <w:bookmarkStart w:id="6" w:name="page7"/>
    <w:bookmarkEnd w:id="6"/>
    <w:p>
      <w:pPr>
        <w:ind w:left="660" w:right="820"/>
        <w:spacing w:after="0" w:line="282" w:lineRule="auto"/>
        <w:rPr>
          <w:sz w:val="20"/>
          <w:szCs w:val="20"/>
          <w:color w:val="auto"/>
        </w:rPr>
      </w:pPr>
      <w:r>
        <w:rPr>
          <w:rFonts w:ascii="Times New Roman" w:cs="Times New Roman" w:eastAsia="Times New Roman" w:hAnsi="Times New Roman"/>
          <w:sz w:val="18"/>
          <w:szCs w:val="18"/>
          <w:color w:val="auto"/>
        </w:rPr>
        <w:t>materials or components supplied or manufactured on behalf of the Company contain any conflict minerals that directly or indirectly finance any armed group that has been identified as a perpetrator of human rights abuses.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Continuous Improvement of Supply Chain Due Diligence</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continually seeks to improve its supply chain due diligence efforts. Such measures may include, but are not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1640" w:hanging="328"/>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its supply chain;</w:t>
      </w:r>
    </w:p>
    <w:p>
      <w:pPr>
        <w:spacing w:after="0" w:line="184" w:lineRule="exact"/>
        <w:rPr>
          <w:rFonts w:ascii="Times New Roman" w:cs="Times New Roman" w:eastAsia="Times New Roman" w:hAnsi="Times New Roman"/>
          <w:sz w:val="18"/>
          <w:szCs w:val="18"/>
          <w:color w:val="auto"/>
        </w:rPr>
      </w:pPr>
    </w:p>
    <w:p>
      <w:pPr>
        <w:ind w:left="1640" w:hanging="328"/>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transparency of supplier sourcing of conflict minerals;</w:t>
      </w:r>
    </w:p>
    <w:p>
      <w:pPr>
        <w:spacing w:after="0" w:line="198" w:lineRule="exact"/>
        <w:rPr>
          <w:rFonts w:ascii="Times New Roman" w:cs="Times New Roman" w:eastAsia="Times New Roman" w:hAnsi="Times New Roman"/>
          <w:sz w:val="18"/>
          <w:szCs w:val="18"/>
          <w:color w:val="auto"/>
        </w:rPr>
      </w:pPr>
    </w:p>
    <w:p>
      <w:pPr>
        <w:ind w:left="1640" w:right="1320" w:hanging="328"/>
        <w:spacing w:after="0" w:line="282" w:lineRule="auto"/>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detail and transparency of responses received in its RCOI and due diligence process, including by continuing to request that suppliers provide CMRTs twice a year;</w:t>
      </w:r>
    </w:p>
    <w:p>
      <w:pPr>
        <w:spacing w:after="0" w:line="121" w:lineRule="exact"/>
        <w:rPr>
          <w:rFonts w:ascii="Times New Roman" w:cs="Times New Roman" w:eastAsia="Times New Roman" w:hAnsi="Times New Roman"/>
          <w:sz w:val="18"/>
          <w:szCs w:val="18"/>
          <w:color w:val="auto"/>
        </w:rPr>
      </w:pPr>
    </w:p>
    <w:p>
      <w:pPr>
        <w:ind w:left="1640" w:right="1020" w:hanging="328"/>
        <w:spacing w:after="0" w:line="282" w:lineRule="auto"/>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and due diligence results to information collected via independent conflict free smelter validation programs such as the RMAP; and</w:t>
      </w:r>
    </w:p>
    <w:p>
      <w:pPr>
        <w:spacing w:after="0" w:line="121" w:lineRule="exact"/>
        <w:rPr>
          <w:rFonts w:ascii="Times New Roman" w:cs="Times New Roman" w:eastAsia="Times New Roman" w:hAnsi="Times New Roman"/>
          <w:sz w:val="18"/>
          <w:szCs w:val="18"/>
          <w:color w:val="auto"/>
        </w:rPr>
      </w:pPr>
    </w:p>
    <w:p>
      <w:pPr>
        <w:ind w:left="1640" w:right="700" w:hanging="328"/>
        <w:spacing w:after="0" w:line="266" w:lineRule="auto"/>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suppliers and outsourcing manufacturers regarding smelters identified as a result of its RCOI and due diligence process and request their participation in obtaining a “conflict free” designation from an industry program such as the RMAP.</w:t>
      </w:r>
    </w:p>
    <w:p>
      <w:pPr>
        <w:spacing w:after="0" w:line="144" w:lineRule="exact"/>
        <w:rPr>
          <w:rFonts w:ascii="Times New Roman" w:cs="Times New Roman" w:eastAsia="Times New Roman" w:hAnsi="Times New Roman"/>
          <w:sz w:val="18"/>
          <w:szCs w:val="18"/>
          <w:color w:val="auto"/>
        </w:rPr>
      </w:pPr>
    </w:p>
    <w:p>
      <w:pPr>
        <w:ind w:left="1020" w:hanging="356"/>
        <w:spacing w:after="0"/>
        <w:tabs>
          <w:tab w:leader="none" w:pos="10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Facilities Used to Process Subject Minerals and Country of Origin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right="700" w:firstLine="324"/>
        <w:spacing w:after="0" w:line="256" w:lineRule="auto"/>
        <w:rPr>
          <w:sz w:val="20"/>
          <w:szCs w:val="20"/>
          <w:color w:val="auto"/>
        </w:rPr>
      </w:pPr>
      <w:r>
        <w:rPr>
          <w:rFonts w:ascii="Times New Roman" w:cs="Times New Roman" w:eastAsia="Times New Roman" w:hAnsi="Times New Roman"/>
          <w:sz w:val="18"/>
          <w:szCs w:val="18"/>
          <w:color w:val="auto"/>
        </w:rPr>
        <w:t>Based on the information obtained pursuant to its RCOI and due diligence process described above, the Company does not have sufficient information with respect to the Reporting Period to determine the known country of origin of the Subject Minerals, or whether the Subject Minerals in Products are from recycled or scrap sources for the reasons described above under “</w:t>
      </w: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 Based on the information provided by the Covered Suppliers in their completed CMRTs, however, the Company believes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facilities that may have been used to process the Subject Minerals in the Company’s Products during the Reporting Period include the following smelters and refiners.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Subject Mineral</w:t>
            </w:r>
          </w:p>
        </w:tc>
        <w:tc>
          <w:tcPr>
            <w:tcW w:w="200" w:type="dxa"/>
            <w:vAlign w:val="bottom"/>
          </w:tcPr>
          <w:p>
            <w:pPr>
              <w:spacing w:after="0"/>
              <w:rPr>
                <w:sz w:val="18"/>
                <w:szCs w:val="18"/>
                <w:color w:val="auto"/>
              </w:rPr>
            </w:pPr>
          </w:p>
        </w:tc>
        <w:tc>
          <w:tcPr>
            <w:tcW w:w="538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180" w:type="dxa"/>
            <w:vAlign w:val="bottom"/>
          </w:tcPr>
          <w:p>
            <w:pPr>
              <w:spacing w:after="0"/>
              <w:rPr>
                <w:sz w:val="18"/>
                <w:szCs w:val="18"/>
                <w:color w:val="auto"/>
              </w:rPr>
            </w:pPr>
          </w:p>
        </w:tc>
        <w:tc>
          <w:tcPr>
            <w:tcW w:w="29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Country Location of</w:t>
            </w: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Smelter or Refiner</w:t>
            </w: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200" w:type="dxa"/>
            <w:vAlign w:val="bottom"/>
          </w:tcPr>
          <w:p>
            <w:pPr>
              <w:spacing w:after="0"/>
              <w:rPr>
                <w:sz w:val="20"/>
                <w:szCs w:val="20"/>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80" w:type="dxa"/>
            <w:vAlign w:val="bottom"/>
          </w:tcPr>
          <w:p>
            <w:pPr>
              <w:spacing w:after="0"/>
              <w:rPr>
                <w:sz w:val="20"/>
                <w:szCs w:val="20"/>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Agosi AG</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AngloGold Ashanti Corrego do Sitio Mineracao S.A.</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Argor-Heraeus S.A.</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43"/>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Asahi Pretec Corp.</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Asaka Riken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Aurubis AG</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 Hafner GmbH + Co. KG</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Chimet S.p.A.</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Dowa Holdings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Heimerle + Meule GmbH</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70"/>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Heraeus Germany GmbH &amp; Co. KG</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43"/>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Istanbul Altin Rafinerisi A.S.</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Turkey</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Asahi Refining USA Inc.</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LS MnM Inc.</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Materion Corporation</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56"/>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Matsuda Sangyo Co.,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7"/>
        </w:trPr>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Gold</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803"/>
        </w:trPr>
        <w:tc>
          <w:tcPr>
            <w:tcW w:w="7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87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Gold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20" w:lineRule="exact"/>
        <w:rPr>
          <w:sz w:val="20"/>
          <w:szCs w:val="20"/>
          <w:color w:val="auto"/>
        </w:rPr>
      </w:pPr>
      <w:r>
        <w:rPr>
          <w:sz w:val="20"/>
          <w:szCs w:val="20"/>
          <w:color w:val="auto"/>
        </w:rPr>
        <w:br w:type="column"/>
      </w: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Metalor Technologies (Hong Kong) Ltd.</w:t>
      </w:r>
      <w:r>
        <w:rPr>
          <w:sz w:val="20"/>
          <w:szCs w:val="20"/>
          <w:color w:val="auto"/>
        </w:rPr>
        <w:tab/>
      </w: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Metalor Technologies (Singapore) Pte., Ltd.</w:t>
      </w:r>
      <w:r>
        <w:rPr>
          <w:sz w:val="20"/>
          <w:szCs w:val="20"/>
          <w:color w:val="auto"/>
        </w:rPr>
        <w:tab/>
      </w: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Metalor Technologies S.A.</w:t>
      </w:r>
      <w:r>
        <w:rPr>
          <w:sz w:val="20"/>
          <w:szCs w:val="20"/>
          <w:color w:val="auto"/>
        </w:rPr>
        <w:tab/>
      </w:r>
      <w:r>
        <w:rPr>
          <w:rFonts w:ascii="Times New Roman" w:cs="Times New Roman" w:eastAsia="Times New Roman" w:hAnsi="Times New Roman"/>
          <w:sz w:val="18"/>
          <w:szCs w:val="18"/>
          <w:color w:val="auto"/>
        </w:rPr>
        <w:t>Switzerland</w:t>
      </w:r>
    </w:p>
    <w:p>
      <w:pPr>
        <w:spacing w:after="0" w:line="31"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Metalor USA Refining Corporation</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Metalurgica Met-Mex Penoles S.A. De C.V.</w:t>
      </w:r>
      <w:r>
        <w:rPr>
          <w:sz w:val="20"/>
          <w:szCs w:val="20"/>
          <w:color w:val="auto"/>
        </w:rPr>
        <w:tab/>
      </w:r>
      <w:r>
        <w:rPr>
          <w:rFonts w:ascii="Times New Roman" w:cs="Times New Roman" w:eastAsia="Times New Roman" w:hAnsi="Times New Roman"/>
          <w:sz w:val="18"/>
          <w:szCs w:val="18"/>
          <w:color w:val="auto"/>
        </w:rPr>
        <w:t>Mexico</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Mitsubishi Materials Corporation</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Mitsui Mining and Smelting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Nihon Material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MKS PAMP SA</w:t>
      </w:r>
      <w:r>
        <w:rPr>
          <w:sz w:val="20"/>
          <w:szCs w:val="20"/>
          <w:color w:val="auto"/>
        </w:rPr>
        <w:tab/>
      </w:r>
      <w:r>
        <w:rPr>
          <w:rFonts w:ascii="Times New Roman" w:cs="Times New Roman" w:eastAsia="Times New Roman" w:hAnsi="Times New Roman"/>
          <w:sz w:val="18"/>
          <w:szCs w:val="18"/>
          <w:color w:val="auto"/>
        </w:rPr>
        <w:t>Switzerland</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Rand Refinery (Pty) Ltd.</w:t>
      </w:r>
      <w:r>
        <w:rPr>
          <w:sz w:val="20"/>
          <w:szCs w:val="20"/>
          <w:color w:val="auto"/>
        </w:rPr>
        <w:tab/>
      </w:r>
      <w:r>
        <w:rPr>
          <w:rFonts w:ascii="Times New Roman" w:cs="Times New Roman" w:eastAsia="Times New Roman" w:hAnsi="Times New Roman"/>
          <w:sz w:val="18"/>
          <w:szCs w:val="18"/>
          <w:color w:val="auto"/>
        </w:rPr>
        <w:t>South Africa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Royal Canadian Mint</w:t>
      </w:r>
      <w:r>
        <w:rPr>
          <w:sz w:val="20"/>
          <w:szCs w:val="20"/>
          <w:color w:val="auto"/>
        </w:rPr>
        <w:tab/>
      </w:r>
      <w:r>
        <w:rPr>
          <w:rFonts w:ascii="Times New Roman" w:cs="Times New Roman" w:eastAsia="Times New Roman" w:hAnsi="Times New Roman"/>
          <w:sz w:val="18"/>
          <w:szCs w:val="18"/>
          <w:color w:val="auto"/>
        </w:rPr>
        <w:t>Canada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Shandong Zhaojin Gold &amp; Silver Refinery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Solar Applied Materials Technology Corp.</w:t>
      </w:r>
      <w:r>
        <w:rPr>
          <w:sz w:val="20"/>
          <w:szCs w:val="20"/>
          <w:color w:val="auto"/>
        </w:rPr>
        <w:tab/>
      </w:r>
      <w:r>
        <w:rPr>
          <w:rFonts w:ascii="Times New Roman" w:cs="Times New Roman" w:eastAsia="Times New Roman" w:hAnsi="Times New Roman"/>
          <w:sz w:val="17"/>
          <w:szCs w:val="17"/>
          <w:color w:val="auto"/>
        </w:rPr>
        <w:t>Taiwan, Province of 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Sumitomo Metal Mining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Tanaka Kikinzoku Kogyo K.K.</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Shandong Gold Smelting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Tokuriki Honten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Umicore S.A. Business Unit Precious Metals Refining</w:t>
      </w:r>
      <w:r>
        <w:rPr>
          <w:sz w:val="20"/>
          <w:szCs w:val="20"/>
          <w:color w:val="auto"/>
        </w:rPr>
        <w:tab/>
      </w:r>
      <w:r>
        <w:rPr>
          <w:rFonts w:ascii="Times New Roman" w:cs="Times New Roman" w:eastAsia="Times New Roman" w:hAnsi="Times New Roman"/>
          <w:sz w:val="17"/>
          <w:szCs w:val="17"/>
          <w:color w:val="auto"/>
        </w:rPr>
        <w:t>Belgium</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United Precious Metal Refining, Inc.</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Western Australian Mint (T/a The Perth Mint)</w:t>
      </w:r>
      <w:r>
        <w:rPr>
          <w:sz w:val="20"/>
          <w:szCs w:val="20"/>
          <w:color w:val="auto"/>
        </w:rPr>
        <w:tab/>
      </w:r>
      <w:r>
        <w:rPr>
          <w:rFonts w:ascii="Times New Roman" w:cs="Times New Roman" w:eastAsia="Times New Roman" w:hAnsi="Times New Roman"/>
          <w:sz w:val="18"/>
          <w:szCs w:val="18"/>
          <w:color w:val="auto"/>
        </w:rPr>
        <w:t>Australia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Chenzhou Yunxiang Mining and Metallurgy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Alpha Assembly Solutions Inc</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Dowa Holdings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Empresa Metalurgica Vinto S.A.</w:t>
      </w:r>
      <w:r>
        <w:rPr>
          <w:sz w:val="20"/>
          <w:szCs w:val="20"/>
          <w:color w:val="auto"/>
        </w:rPr>
        <w:tab/>
      </w:r>
      <w:r>
        <w:rPr>
          <w:rFonts w:ascii="Times New Roman" w:cs="Times New Roman" w:eastAsia="Times New Roman" w:hAnsi="Times New Roman"/>
          <w:sz w:val="18"/>
          <w:szCs w:val="18"/>
          <w:color w:val="auto"/>
        </w:rPr>
        <w:t>Bolivia (Plurinational State of)</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Fenix Metals Sp. z o.o.</w:t>
      </w:r>
      <w:r>
        <w:rPr>
          <w:sz w:val="20"/>
          <w:szCs w:val="20"/>
          <w:color w:val="auto"/>
        </w:rPr>
        <w:tab/>
      </w:r>
      <w:r>
        <w:rPr>
          <w:rFonts w:ascii="Times New Roman" w:cs="Times New Roman" w:eastAsia="Times New Roman" w:hAnsi="Times New Roman"/>
          <w:sz w:val="17"/>
          <w:szCs w:val="17"/>
          <w:color w:val="auto"/>
        </w:rPr>
        <w:t>Poland</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Gejiu Non-Ferrous Metal Processing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China Tin Group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Malaysia Smelting Corporation (MSC)</w:t>
      </w:r>
      <w:r>
        <w:rPr>
          <w:sz w:val="20"/>
          <w:szCs w:val="20"/>
          <w:color w:val="auto"/>
        </w:rPr>
        <w:tab/>
      </w:r>
      <w:r>
        <w:rPr>
          <w:rFonts w:ascii="Times New Roman" w:cs="Times New Roman" w:eastAsia="Times New Roman" w:hAnsi="Times New Roman"/>
          <w:sz w:val="18"/>
          <w:szCs w:val="18"/>
          <w:color w:val="auto"/>
        </w:rPr>
        <w:t>Malaysia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Metallic Resources, Inc.</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Mineracao Taboca S.A.</w:t>
      </w:r>
      <w:r>
        <w:rPr>
          <w:sz w:val="20"/>
          <w:szCs w:val="20"/>
          <w:color w:val="auto"/>
        </w:rPr>
        <w:tab/>
      </w:r>
      <w:r>
        <w:rPr>
          <w:rFonts w:ascii="Times New Roman" w:cs="Times New Roman" w:eastAsia="Times New Roman" w:hAnsi="Times New Roman"/>
          <w:sz w:val="18"/>
          <w:szCs w:val="18"/>
          <w:color w:val="auto"/>
        </w:rPr>
        <w:t>Brazil</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Minsur S.A.</w:t>
      </w:r>
      <w:r>
        <w:rPr>
          <w:sz w:val="20"/>
          <w:szCs w:val="20"/>
          <w:color w:val="auto"/>
        </w:rPr>
        <w:tab/>
      </w:r>
      <w:r>
        <w:rPr>
          <w:rFonts w:ascii="Times New Roman" w:cs="Times New Roman" w:eastAsia="Times New Roman" w:hAnsi="Times New Roman"/>
          <w:sz w:val="18"/>
          <w:szCs w:val="18"/>
          <w:color w:val="auto"/>
        </w:rPr>
        <w:t>Peru</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Mitsubishi Materials Corporation</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Jiangxi New Nanshan Technology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Operaciones Metalurgicas S.A.</w:t>
      </w:r>
      <w:r>
        <w:rPr>
          <w:sz w:val="20"/>
          <w:szCs w:val="20"/>
          <w:color w:val="auto"/>
        </w:rPr>
        <w:tab/>
      </w:r>
      <w:r>
        <w:rPr>
          <w:rFonts w:ascii="Times New Roman" w:cs="Times New Roman" w:eastAsia="Times New Roman" w:hAnsi="Times New Roman"/>
          <w:sz w:val="18"/>
          <w:szCs w:val="18"/>
          <w:color w:val="auto"/>
        </w:rPr>
        <w:t>Bolivia (Plurinational State of)</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PT Mitra Stania Prima</w:t>
      </w:r>
      <w:r>
        <w:rPr>
          <w:sz w:val="20"/>
          <w:szCs w:val="20"/>
          <w:color w:val="auto"/>
        </w:rPr>
        <w:tab/>
      </w:r>
      <w:r>
        <w:rPr>
          <w:rFonts w:ascii="Times New Roman" w:cs="Times New Roman" w:eastAsia="Times New Roman" w:hAnsi="Times New Roman"/>
          <w:sz w:val="18"/>
          <w:szCs w:val="18"/>
          <w:color w:val="auto"/>
        </w:rPr>
        <w:t>Indonesia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PT Refined Bangka Tin</w:t>
      </w:r>
      <w:r>
        <w:rPr>
          <w:sz w:val="20"/>
          <w:szCs w:val="20"/>
          <w:color w:val="auto"/>
        </w:rPr>
        <w:tab/>
      </w:r>
      <w:r>
        <w:rPr>
          <w:rFonts w:ascii="Times New Roman" w:cs="Times New Roman" w:eastAsia="Times New Roman" w:hAnsi="Times New Roman"/>
          <w:sz w:val="18"/>
          <w:szCs w:val="18"/>
          <w:color w:val="auto"/>
        </w:rPr>
        <w:t>Indonesia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PT Timah Tbk Kundur</w:t>
      </w:r>
      <w:r>
        <w:rPr>
          <w:sz w:val="20"/>
          <w:szCs w:val="20"/>
          <w:color w:val="auto"/>
        </w:rPr>
        <w:tab/>
      </w:r>
      <w:r>
        <w:rPr>
          <w:rFonts w:ascii="Times New Roman" w:cs="Times New Roman" w:eastAsia="Times New Roman" w:hAnsi="Times New Roman"/>
          <w:sz w:val="18"/>
          <w:szCs w:val="18"/>
          <w:color w:val="auto"/>
        </w:rPr>
        <w:t>Indonesia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PT Timah Tbk Mentok</w:t>
      </w:r>
      <w:r>
        <w:rPr>
          <w:sz w:val="20"/>
          <w:szCs w:val="20"/>
          <w:color w:val="auto"/>
        </w:rPr>
        <w:tab/>
      </w:r>
      <w:r>
        <w:rPr>
          <w:rFonts w:ascii="Times New Roman" w:cs="Times New Roman" w:eastAsia="Times New Roman" w:hAnsi="Times New Roman"/>
          <w:sz w:val="18"/>
          <w:szCs w:val="18"/>
          <w:color w:val="auto"/>
        </w:rPr>
        <w:t>Indonesia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Thailand Smelting and Refining Co., Ltd.</w:t>
      </w:r>
      <w:r>
        <w:rPr>
          <w:sz w:val="20"/>
          <w:szCs w:val="20"/>
          <w:color w:val="auto"/>
        </w:rPr>
        <w:tab/>
      </w:r>
      <w:r>
        <w:rPr>
          <w:rFonts w:ascii="Times New Roman" w:cs="Times New Roman" w:eastAsia="Times New Roman" w:hAnsi="Times New Roman"/>
          <w:sz w:val="18"/>
          <w:szCs w:val="18"/>
          <w:color w:val="auto"/>
        </w:rPr>
        <w:t>Thailand</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White Solder Metalurgia e Mineracao Ltda.</w:t>
      </w:r>
      <w:r>
        <w:rPr>
          <w:sz w:val="20"/>
          <w:szCs w:val="20"/>
          <w:color w:val="auto"/>
        </w:rPr>
        <w:tab/>
      </w:r>
      <w:r>
        <w:rPr>
          <w:rFonts w:ascii="Times New Roman" w:cs="Times New Roman" w:eastAsia="Times New Roman" w:hAnsi="Times New Roman"/>
          <w:sz w:val="18"/>
          <w:szCs w:val="18"/>
          <w:color w:val="auto"/>
        </w:rPr>
        <w:t>Brazil</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Yunnan Chengfeng Non-ferrous Metals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Tin Smelting Branch of Yunnan Tin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O.M. Manufacturing Philippines, Inc.</w:t>
      </w:r>
      <w:r>
        <w:rPr>
          <w:sz w:val="20"/>
          <w:szCs w:val="20"/>
          <w:color w:val="auto"/>
        </w:rPr>
        <w:tab/>
      </w:r>
      <w:r>
        <w:rPr>
          <w:rFonts w:ascii="Times New Roman" w:cs="Times New Roman" w:eastAsia="Times New Roman" w:hAnsi="Times New Roman"/>
          <w:sz w:val="18"/>
          <w:szCs w:val="18"/>
          <w:color w:val="auto"/>
        </w:rPr>
        <w:t>Philippines</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Super Ligas Indústria e Comércio de Metais Ltda.</w:t>
      </w:r>
      <w:r>
        <w:rPr>
          <w:sz w:val="20"/>
          <w:szCs w:val="20"/>
          <w:color w:val="auto"/>
        </w:rPr>
        <w:tab/>
      </w:r>
      <w:r>
        <w:rPr>
          <w:rFonts w:ascii="Times New Roman" w:cs="Times New Roman" w:eastAsia="Times New Roman" w:hAnsi="Times New Roman"/>
          <w:sz w:val="18"/>
          <w:szCs w:val="18"/>
          <w:color w:val="auto"/>
        </w:rPr>
        <w:t>Brazil</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Aurubis Beerse NV</w:t>
      </w:r>
      <w:r>
        <w:rPr>
          <w:sz w:val="20"/>
          <w:szCs w:val="20"/>
          <w:color w:val="auto"/>
        </w:rPr>
        <w:tab/>
      </w:r>
      <w:r>
        <w:rPr>
          <w:rFonts w:ascii="Times New Roman" w:cs="Times New Roman" w:eastAsia="Times New Roman" w:hAnsi="Times New Roman"/>
          <w:sz w:val="17"/>
          <w:szCs w:val="17"/>
          <w:color w:val="auto"/>
        </w:rPr>
        <w:t>Belgium</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Guangdong Hanhe Non-Ferrous Metal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Chongyi Zhangyuan Tungsten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Global Tungsten &amp; Powders LLC</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Japan New Metals Co., Ltd.</w:t>
      </w:r>
      <w:r>
        <w:rPr>
          <w:sz w:val="20"/>
          <w:szCs w:val="20"/>
          <w:color w:val="auto"/>
        </w:rPr>
        <w:tab/>
      </w:r>
      <w:r>
        <w:rPr>
          <w:rFonts w:ascii="Times New Roman" w:cs="Times New Roman" w:eastAsia="Times New Roman" w:hAnsi="Times New Roman"/>
          <w:sz w:val="18"/>
          <w:szCs w:val="18"/>
          <w:color w:val="auto"/>
        </w:rPr>
        <w:t>Japan</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Xiamen Tungsten Co., Ltd.</w:t>
      </w:r>
      <w:r>
        <w:rPr>
          <w:sz w:val="20"/>
          <w:szCs w:val="20"/>
          <w:color w:val="auto"/>
        </w:rPr>
        <w:tab/>
      </w: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510540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1020" w:space="720"/>
            <w:col w:w="7760"/>
          </w:cols>
          <w:pgMar w:left="1180" w:top="769" w:right="1219" w:bottom="1440" w:gutter="0" w:footer="0" w:header="0"/>
        </w:sectPr>
      </w:pPr>
    </w:p>
    <w:bookmarkStart w:id="8" w:name="page9"/>
    <w:bookmarkEnd w:id="8"/>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Tungsten</w:t>
      </w:r>
    </w:p>
    <w:p>
      <w:pPr>
        <w:spacing w:after="0" w:line="20" w:lineRule="exact"/>
        <w:rPr>
          <w:sz w:val="20"/>
          <w:szCs w:val="20"/>
          <w:color w:val="auto"/>
        </w:rPr>
      </w:pPr>
      <w:r>
        <w:rPr>
          <w:sz w:val="20"/>
          <w:szCs w:val="20"/>
          <w:color w:val="auto"/>
        </w:rPr>
        <w:br w:type="column"/>
      </w: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Xiamen Tungsten (H.C.)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Hunan Shizhuyuan Nonferrous Metals Co., Ltd. Chenzhou Tungsten</w:t>
      </w:r>
      <w:r>
        <w:rPr>
          <w:sz w:val="20"/>
          <w:szCs w:val="20"/>
          <w:color w:val="auto"/>
        </w:rPr>
        <w:tab/>
      </w: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Branch</w:t>
      </w:r>
    </w:p>
    <w:p>
      <w:pPr>
        <w:spacing w:after="0" w:line="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Ganzhou Seadragon W &amp; Mo Co., Ltd.</w:t>
      </w:r>
      <w:r>
        <w:rPr>
          <w:sz w:val="20"/>
          <w:szCs w:val="20"/>
          <w:color w:val="auto"/>
        </w:rPr>
        <w:tab/>
      </w:r>
      <w:r>
        <w:rPr>
          <w:rFonts w:ascii="Times New Roman" w:cs="Times New Roman" w:eastAsia="Times New Roman" w:hAnsi="Times New Roman"/>
          <w:sz w:val="18"/>
          <w:szCs w:val="18"/>
          <w:color w:val="auto"/>
        </w:rPr>
        <w:t>China</w:t>
      </w:r>
    </w:p>
    <w:p>
      <w:pPr>
        <w:spacing w:after="0" w:line="31"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H.C. Starck Tungsten GmbH</w:t>
      </w:r>
      <w:r>
        <w:rPr>
          <w:sz w:val="20"/>
          <w:szCs w:val="20"/>
          <w:color w:val="auto"/>
        </w:rPr>
        <w:tab/>
      </w:r>
      <w:r>
        <w:rPr>
          <w:rFonts w:ascii="Times New Roman" w:cs="Times New Roman" w:eastAsia="Times New Roman" w:hAnsi="Times New Roman"/>
          <w:sz w:val="18"/>
          <w:szCs w:val="18"/>
          <w:color w:val="auto"/>
        </w:rPr>
        <w:t>Germany</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Masan High-Tech Materials</w:t>
      </w:r>
      <w:r>
        <w:rPr>
          <w:sz w:val="20"/>
          <w:szCs w:val="20"/>
          <w:color w:val="auto"/>
        </w:rPr>
        <w:tab/>
      </w:r>
      <w:r>
        <w:rPr>
          <w:rFonts w:ascii="Times New Roman" w:cs="Times New Roman" w:eastAsia="Times New Roman" w:hAnsi="Times New Roman"/>
          <w:sz w:val="18"/>
          <w:szCs w:val="18"/>
          <w:color w:val="auto"/>
        </w:rPr>
        <w:t>Vietnam</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Jiangwu H.C. Starck Tungsten Products Co., Ltd.</w:t>
      </w:r>
      <w:r>
        <w:rPr>
          <w:sz w:val="20"/>
          <w:szCs w:val="20"/>
          <w:color w:val="auto"/>
        </w:rPr>
        <w:tab/>
      </w: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Niagara Refining LLC</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784860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2">
        <w:col w:w="1020" w:space="720"/>
        <w:col w:w="7539"/>
      </w:cols>
      <w:pgMar w:left="118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2026-05-29T17:43:37Z</dcterms:created>
  <dcterms:modified xsi:type="dcterms:W3CDTF">2026-05-29T17:43:37Z</dcterms:modified>
</cp:coreProperties>
</file>