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92"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6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-232410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118110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6"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(Mark One)</w:t>
      </w:r>
    </w:p>
    <w:p>
      <w:pPr>
        <w:spacing w:after="0" w:line="50"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6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or</w:t>
      </w:r>
    </w:p>
    <w:p>
      <w:pPr>
        <w:spacing w:after="0" w:line="4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2" w:lineRule="exact"/>
        <w:rPr>
          <w:sz w:val="24"/>
          <w:szCs w:val="24"/>
          <w:color w:val="auto"/>
        </w:rPr>
      </w:pPr>
    </w:p>
    <w:p>
      <w:pPr>
        <w:ind w:left="3900"/>
        <w:spacing w:after="0"/>
        <w:tabs>
          <w:tab w:leader="none" w:pos="65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3757930</wp:posOffset>
            </wp:positionH>
            <wp:positionV relativeFrom="paragraph">
              <wp:posOffset>-13970</wp:posOffset>
            </wp:positionV>
            <wp:extent cx="906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6145" cy="825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5"/>
          <w:szCs w:val="15"/>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98425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158750</wp:posOffset>
            </wp:positionV>
            <wp:extent cx="2228850"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Magnachip Semiconductor Corporation</w:t>
      </w:r>
    </w:p>
    <w:p>
      <w:pPr>
        <w:spacing w:after="0" w:line="5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116840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1"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Delaware</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gridSpan w:val="2"/>
          </w:tcPr>
          <w:p>
            <w:pPr>
              <w:jc w:val="center"/>
              <w:ind w:right="1721"/>
              <w:spacing w:after="0"/>
              <w:rPr>
                <w:sz w:val="20"/>
                <w:szCs w:val="20"/>
                <w:color w:val="auto"/>
              </w:rPr>
            </w:pPr>
            <w:r>
              <w:rPr>
                <w:rFonts w:ascii="Arial" w:cs="Arial" w:eastAsia="Arial" w:hAnsi="Arial"/>
                <w:sz w:val="16"/>
                <w:szCs w:val="16"/>
                <w:b w:val="1"/>
                <w:bCs w:val="1"/>
                <w:color w:val="auto"/>
                <w:w w:val="93"/>
              </w:rPr>
              <w:t>83-0406195</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6000" w:type="dxa"/>
            <w:vAlign w:val="bottom"/>
            <w:gridSpan w:val="7"/>
          </w:tcPr>
          <w:p>
            <w:pPr>
              <w:jc w:val="center"/>
              <w:ind w:right="3100"/>
              <w:spacing w:after="0"/>
              <w:rPr>
                <w:sz w:val="20"/>
                <w:szCs w:val="20"/>
                <w:color w:val="auto"/>
              </w:rPr>
            </w:pPr>
            <w:r>
              <w:rPr>
                <w:rFonts w:ascii="Arial" w:cs="Arial" w:eastAsia="Arial" w:hAnsi="Arial"/>
                <w:sz w:val="16"/>
                <w:szCs w:val="16"/>
                <w:b w:val="1"/>
                <w:bCs w:val="1"/>
                <w:color w:val="auto"/>
                <w:w w:val="92"/>
              </w:rPr>
              <w:t>(State or Other Jurisdiction of</w:t>
            </w:r>
          </w:p>
        </w:tc>
        <w:tc>
          <w:tcPr>
            <w:tcW w:w="3260" w:type="dxa"/>
            <w:vAlign w:val="bottom"/>
            <w:gridSpan w:val="3"/>
          </w:tcPr>
          <w:p>
            <w:pPr>
              <w:jc w:val="center"/>
              <w:ind w:right="1141"/>
              <w:spacing w:after="0"/>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000" w:type="dxa"/>
            <w:vAlign w:val="bottom"/>
            <w:gridSpan w:val="7"/>
          </w:tcPr>
          <w:p>
            <w:pPr>
              <w:jc w:val="center"/>
              <w:ind w:right="3100"/>
              <w:spacing w:after="0"/>
              <w:rPr>
                <w:sz w:val="20"/>
                <w:szCs w:val="20"/>
                <w:color w:val="auto"/>
              </w:rPr>
            </w:pPr>
            <w:r>
              <w:rPr>
                <w:rFonts w:ascii="Arial" w:cs="Arial" w:eastAsia="Arial" w:hAnsi="Arial"/>
                <w:sz w:val="16"/>
                <w:szCs w:val="16"/>
                <w:b w:val="1"/>
                <w:bCs w:val="1"/>
                <w:color w:val="auto"/>
                <w:w w:val="94"/>
              </w:rPr>
              <w:t>Incorporation or Organization)</w:t>
            </w:r>
          </w:p>
        </w:tc>
        <w:tc>
          <w:tcPr>
            <w:tcW w:w="3260" w:type="dxa"/>
            <w:vAlign w:val="bottom"/>
            <w:gridSpan w:val="3"/>
          </w:tcPr>
          <w:p>
            <w:pPr>
              <w:jc w:val="center"/>
              <w:ind w:right="1141"/>
              <w:spacing w:after="0"/>
              <w:rPr>
                <w:sz w:val="20"/>
                <w:szCs w:val="20"/>
                <w:color w:val="auto"/>
              </w:rPr>
            </w:pPr>
            <w:r>
              <w:rPr>
                <w:rFonts w:ascii="Arial" w:cs="Arial" w:eastAsia="Arial" w:hAnsi="Arial"/>
                <w:sz w:val="16"/>
                <w:szCs w:val="16"/>
                <w:b w:val="1"/>
                <w:bCs w:val="1"/>
                <w:color w:val="auto"/>
                <w:w w:val="94"/>
              </w:rPr>
              <w:t>Identification No.)</w:t>
            </w:r>
          </w:p>
        </w:tc>
        <w:tc>
          <w:tcPr>
            <w:tcW w:w="0" w:type="dxa"/>
            <w:vAlign w:val="bottom"/>
          </w:tcPr>
          <w:p>
            <w:pPr>
              <w:spacing w:after="0"/>
              <w:rPr>
                <w:sz w:val="1"/>
                <w:szCs w:val="1"/>
                <w:color w:val="auto"/>
              </w:rPr>
            </w:pPr>
          </w:p>
        </w:tc>
      </w:tr>
      <w:tr>
        <w:trPr>
          <w:trHeight w:val="249"/>
        </w:trPr>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0" w:type="dxa"/>
            <w:vAlign w:val="bottom"/>
            <w:gridSpan w:val="5"/>
          </w:tcPr>
          <w:p>
            <w:pPr>
              <w:jc w:val="center"/>
              <w:ind w:left="301"/>
              <w:spacing w:after="0"/>
              <w:rPr>
                <w:sz w:val="20"/>
                <w:szCs w:val="20"/>
                <w:color w:val="auto"/>
              </w:rPr>
            </w:pPr>
            <w:r>
              <w:rPr>
                <w:rFonts w:ascii="Arial" w:cs="Arial" w:eastAsia="Arial" w:hAnsi="Arial"/>
                <w:sz w:val="16"/>
                <w:szCs w:val="16"/>
                <w:b w:val="1"/>
                <w:bCs w:val="1"/>
                <w:color w:val="auto"/>
                <w:w w:val="90"/>
              </w:rPr>
              <w:t>c/o Magnachip Semiconductor, Ltd.</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0" w:type="dxa"/>
            <w:vAlign w:val="bottom"/>
            <w:gridSpan w:val="5"/>
          </w:tcPr>
          <w:p>
            <w:pPr>
              <w:jc w:val="center"/>
              <w:ind w:left="281"/>
              <w:spacing w:after="0"/>
              <w:rPr>
                <w:sz w:val="20"/>
                <w:szCs w:val="20"/>
                <w:color w:val="auto"/>
              </w:rPr>
            </w:pPr>
            <w:r>
              <w:rPr>
                <w:rFonts w:ascii="Arial" w:cs="Arial" w:eastAsia="Arial" w:hAnsi="Arial"/>
                <w:sz w:val="16"/>
                <w:szCs w:val="16"/>
                <w:b w:val="1"/>
                <w:bCs w:val="1"/>
                <w:color w:val="auto"/>
                <w:w w:val="91"/>
              </w:rPr>
              <w:t>15F, 76 Jikji-daero 436beon-gil, Heungdeok-gu</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580" w:type="dxa"/>
            <w:vAlign w:val="bottom"/>
            <w:gridSpan w:val="6"/>
          </w:tcPr>
          <w:p>
            <w:pPr>
              <w:jc w:val="center"/>
              <w:ind w:right="141"/>
              <w:spacing w:after="0"/>
              <w:rPr>
                <w:sz w:val="20"/>
                <w:szCs w:val="20"/>
                <w:color w:val="auto"/>
              </w:rPr>
            </w:pPr>
            <w:r>
              <w:rPr>
                <w:rFonts w:ascii="Arial" w:cs="Arial" w:eastAsia="Arial" w:hAnsi="Arial"/>
                <w:sz w:val="16"/>
                <w:szCs w:val="16"/>
                <w:b w:val="1"/>
                <w:bCs w:val="1"/>
                <w:color w:val="auto"/>
                <w:w w:val="91"/>
              </w:rPr>
              <w:t>Cheongju-si, Chungcheongbuk-do, Republic of Korea 28581</w:t>
            </w: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0" w:type="dxa"/>
            <w:vAlign w:val="bottom"/>
            <w:gridSpan w:val="5"/>
          </w:tcPr>
          <w:p>
            <w:pPr>
              <w:jc w:val="center"/>
              <w:ind w:left="281"/>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160" w:type="dxa"/>
            <w:vAlign w:val="bottom"/>
            <w:gridSpan w:val="9"/>
          </w:tcPr>
          <w:p>
            <w:pPr>
              <w:jc w:val="center"/>
              <w:ind w:right="1921"/>
              <w:spacing w:after="0"/>
              <w:rPr>
                <w:sz w:val="20"/>
                <w:szCs w:val="20"/>
                <w:color w:val="auto"/>
              </w:rPr>
            </w:pPr>
            <w:r>
              <w:rPr>
                <w:rFonts w:ascii="Arial" w:cs="Arial" w:eastAsia="Arial" w:hAnsi="Arial"/>
                <w:sz w:val="16"/>
                <w:szCs w:val="16"/>
                <w:b w:val="1"/>
                <w:bCs w:val="1"/>
                <w:color w:val="auto"/>
                <w:w w:val="90"/>
              </w:rPr>
              <w:t>Registrant’s telephone number, including area code: +82 (2) 6903-3000</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80" w:type="dxa"/>
            <w:vAlign w:val="bottom"/>
            <w:gridSpan w:val="6"/>
          </w:tcPr>
          <w:p>
            <w:pPr>
              <w:jc w:val="center"/>
              <w:ind w:right="141"/>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20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26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20" w:type="dxa"/>
            <w:vAlign w:val="bottom"/>
            <w:gridSpan w:val="3"/>
          </w:tcPr>
          <w:p>
            <w:pPr>
              <w:jc w:val="center"/>
              <w:ind w:left="342"/>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0" w:type="dxa"/>
            <w:vAlign w:val="bottom"/>
            <w:gridSpan w:val="3"/>
          </w:tcPr>
          <w:p>
            <w:pPr>
              <w:jc w:val="center"/>
              <w:ind w:right="1200"/>
              <w:spacing w:after="0"/>
              <w:rPr>
                <w:sz w:val="20"/>
                <w:szCs w:val="20"/>
                <w:color w:val="auto"/>
              </w:rPr>
            </w:pPr>
            <w:r>
              <w:rPr>
                <w:rFonts w:ascii="Arial" w:cs="Arial" w:eastAsia="Arial" w:hAnsi="Arial"/>
                <w:sz w:val="16"/>
                <w:szCs w:val="16"/>
                <w:b w:val="1"/>
                <w:bCs w:val="1"/>
                <w:color w:val="auto"/>
              </w:rPr>
              <w:t>MX</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Pr>
          <w:p>
            <w:pPr>
              <w:ind w:left="420"/>
              <w:spacing w:after="0"/>
              <w:rPr>
                <w:sz w:val="20"/>
                <w:szCs w:val="20"/>
                <w:color w:val="auto"/>
              </w:rPr>
            </w:pPr>
            <w:r>
              <w:rPr>
                <w:rFonts w:ascii="Arial" w:cs="Arial" w:eastAsia="Arial" w:hAnsi="Arial"/>
                <w:sz w:val="16"/>
                <w:szCs w:val="16"/>
                <w:b w:val="1"/>
                <w:bCs w:val="1"/>
                <w:color w:val="auto"/>
              </w:rPr>
              <w:t>New York Stock Exchange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80" w:type="dxa"/>
            <w:vAlign w:val="bottom"/>
            <w:gridSpan w:val="6"/>
          </w:tcPr>
          <w:p>
            <w:pPr>
              <w:jc w:val="center"/>
              <w:ind w:right="141"/>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gridSpan w:val="2"/>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vMerge w:val="restart"/>
          </w:tcPr>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tc>
        <w:tc>
          <w:tcPr>
            <w:tcW w:w="2680" w:type="dxa"/>
            <w:vAlign w:val="bottom"/>
            <w:gridSpan w:val="2"/>
            <w:vMerge w:val="restart"/>
          </w:tcPr>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0" w:type="dxa"/>
            <w:vAlign w:val="bottom"/>
          </w:tcPr>
          <w:p>
            <w:pPr>
              <w:spacing w:after="0"/>
              <w:rPr>
                <w:sz w:val="1"/>
                <w:szCs w:val="1"/>
                <w:color w:val="auto"/>
              </w:rPr>
            </w:pPr>
          </w:p>
        </w:tc>
      </w:tr>
      <w:tr>
        <w:trPr>
          <w:trHeight w:val="221"/>
        </w:trPr>
        <w:tc>
          <w:tcPr>
            <w:tcW w:w="7320" w:type="dxa"/>
            <w:vAlign w:val="bottom"/>
            <w:gridSpan w:val="8"/>
          </w:tcPr>
          <w:p>
            <w:pPr>
              <w:spacing w:after="0"/>
              <w:rPr>
                <w:sz w:val="20"/>
                <w:szCs w:val="20"/>
                <w:color w:val="auto"/>
              </w:rPr>
            </w:pPr>
            <w:r>
              <w:rPr>
                <w:rFonts w:ascii="Arial" w:cs="Arial" w:eastAsia="Arial" w:hAnsi="Arial"/>
                <w:sz w:val="15"/>
                <w:szCs w:val="15"/>
                <w:color w:val="auto"/>
                <w:w w:val="94"/>
              </w:rPr>
              <w:t>Indicate by check mark if the registrant is a well-known seasoned issuer, as defined in Rule 405 of the Securities Act.</w:t>
            </w:r>
          </w:p>
        </w:tc>
        <w:tc>
          <w:tcPr>
            <w:tcW w:w="580" w:type="dxa"/>
            <w:vAlign w:val="bottom"/>
            <w:vMerge w:val="continue"/>
          </w:tcPr>
          <w:p>
            <w:pPr>
              <w:spacing w:after="0"/>
              <w:rPr>
                <w:sz w:val="19"/>
                <w:szCs w:val="19"/>
                <w:color w:val="auto"/>
              </w:rPr>
            </w:pPr>
          </w:p>
        </w:tc>
        <w:tc>
          <w:tcPr>
            <w:tcW w:w="2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320" w:type="dxa"/>
            <w:vAlign w:val="bottom"/>
            <w:gridSpan w:val="8"/>
          </w:tcPr>
          <w:p>
            <w:pPr>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Section 15(d) of the Act.</w:t>
            </w:r>
          </w:p>
        </w:tc>
        <w:tc>
          <w:tcPr>
            <w:tcW w:w="580" w:type="dxa"/>
            <w:vAlign w:val="bottom"/>
          </w:tcPr>
          <w:p>
            <w:pPr>
              <w:ind w:left="140"/>
              <w:spacing w:after="0" w:line="173" w:lineRule="exact"/>
              <w:rPr>
                <w:sz w:val="20"/>
                <w:szCs w:val="20"/>
                <w:color w:val="auto"/>
              </w:rPr>
            </w:pPr>
            <w:r>
              <w:rPr>
                <w:rFonts w:ascii="MS PGothic" w:cs="MS PGothic" w:eastAsia="MS PGothic" w:hAnsi="MS PGothic"/>
                <w:sz w:val="15"/>
                <w:szCs w:val="15"/>
                <w:color w:val="auto"/>
                <w:w w:val="93"/>
              </w:rPr>
              <w:t>☐</w:t>
            </w:r>
            <w:r>
              <w:rPr>
                <w:rFonts w:ascii="Arial" w:cs="Arial" w:eastAsia="Arial" w:hAnsi="Arial"/>
                <w:sz w:val="15"/>
                <w:szCs w:val="15"/>
                <w:color w:val="auto"/>
                <w:w w:val="93"/>
              </w:rPr>
              <w:t xml:space="preserve"> Yes</w:t>
            </w:r>
          </w:p>
        </w:tc>
        <w:tc>
          <w:tcPr>
            <w:tcW w:w="20" w:type="dxa"/>
            <w:vAlign w:val="bottom"/>
          </w:tcPr>
          <w:p>
            <w:pPr>
              <w:spacing w:after="0"/>
              <w:rPr>
                <w:sz w:val="20"/>
                <w:szCs w:val="20"/>
                <w:color w:val="auto"/>
              </w:rPr>
            </w:pPr>
          </w:p>
        </w:tc>
        <w:tc>
          <w:tcPr>
            <w:tcW w:w="2660" w:type="dxa"/>
            <w:vAlign w:val="bottom"/>
          </w:tcPr>
          <w:p>
            <w:pPr>
              <w:ind w:left="1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0" w:type="dxa"/>
            <w:vAlign w:val="bottom"/>
          </w:tcPr>
          <w:p>
            <w:pPr>
              <w:spacing w:after="0"/>
              <w:rPr>
                <w:sz w:val="1"/>
                <w:szCs w:val="1"/>
                <w:color w:val="auto"/>
              </w:rPr>
            </w:pPr>
          </w:p>
        </w:tc>
      </w:tr>
    </w:tbl>
    <w:p>
      <w:pPr>
        <w:spacing w:after="0" w:line="6" w:lineRule="exact"/>
        <w:rPr>
          <w:sz w:val="24"/>
          <w:szCs w:val="24"/>
          <w:color w:val="auto"/>
        </w:rPr>
      </w:pPr>
    </w:p>
    <w:p>
      <w:pPr>
        <w:ind w:left="120" w:right="10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ind w:left="120" w:right="100"/>
        <w:spacing w:after="0" w:line="18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120" w:type="dxa"/>
        <w:tblCellMar>
          <w:top w:w="0" w:type="dxa"/>
          <w:left w:w="0" w:type="dxa"/>
          <w:bottom w:w="0" w:type="dxa"/>
          <w:right w:w="0" w:type="dxa"/>
        </w:tblCellMar>
      </w:tblPr>
      <w:tr>
        <w:trPr>
          <w:trHeight w:val="235"/>
        </w:trPr>
        <w:tc>
          <w:tcPr>
            <w:tcW w:w="17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ind w:left="3180"/>
              <w:spacing w:after="0"/>
              <w:rPr>
                <w:sz w:val="20"/>
                <w:szCs w:val="20"/>
                <w:color w:val="auto"/>
              </w:rPr>
            </w:pPr>
            <w:r>
              <w:rPr>
                <w:rFonts w:ascii="Arial" w:cs="Arial" w:eastAsia="Arial" w:hAnsi="Arial"/>
                <w:sz w:val="15"/>
                <w:szCs w:val="15"/>
                <w:color w:val="auto"/>
              </w:rPr>
              <w:t>Accelerated Filer</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720" w:type="dxa"/>
            <w:vAlign w:val="bottom"/>
          </w:tcPr>
          <w:p>
            <w:pPr>
              <w:spacing w:after="0"/>
              <w:rPr>
                <w:sz w:val="20"/>
                <w:szCs w:val="20"/>
                <w:color w:val="auto"/>
              </w:rPr>
            </w:pPr>
            <w:r>
              <w:rPr>
                <w:rFonts w:ascii="Arial" w:cs="Arial" w:eastAsia="Arial" w:hAnsi="Arial"/>
                <w:sz w:val="15"/>
                <w:szCs w:val="15"/>
                <w:color w:val="auto"/>
              </w:rPr>
              <w:t>Non-Accelerated Filer</w:t>
            </w:r>
          </w:p>
        </w:tc>
        <w:tc>
          <w:tcPr>
            <w:tcW w:w="35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ind w:left="318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17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5220" w:type="dxa"/>
            <w:vAlign w:val="bottom"/>
          </w:tcPr>
          <w:p>
            <w:pPr>
              <w:ind w:left="3180"/>
              <w:spacing w:after="0"/>
              <w:rPr>
                <w:sz w:val="20"/>
                <w:szCs w:val="20"/>
                <w:color w:val="auto"/>
              </w:rPr>
            </w:pPr>
            <w:r>
              <w:rPr>
                <w:rFonts w:ascii="Arial" w:cs="Arial" w:eastAsia="Arial" w:hAnsi="Arial"/>
                <w:sz w:val="15"/>
                <w:szCs w:val="15"/>
                <w:color w:val="auto"/>
              </w:rPr>
              <w:t>Emerging growth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6" w:lineRule="exact"/>
        <w:rPr>
          <w:sz w:val="24"/>
          <w:szCs w:val="24"/>
          <w:color w:val="auto"/>
        </w:rPr>
      </w:pPr>
    </w:p>
    <w:p>
      <w:pPr>
        <w:ind w:left="120" w:right="38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120"/>
        <w:spacing w:after="0" w:line="18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 w:lineRule="exact"/>
        <w:rPr>
          <w:sz w:val="24"/>
          <w:szCs w:val="24"/>
          <w:color w:val="auto"/>
        </w:rPr>
      </w:pPr>
    </w:p>
    <w:p>
      <w:pPr>
        <w:ind w:left="120" w:right="40"/>
        <w:spacing w:after="0" w:line="193"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6" w:lineRule="exact"/>
        <w:rPr>
          <w:sz w:val="24"/>
          <w:szCs w:val="24"/>
          <w:color w:val="auto"/>
        </w:rPr>
      </w:pPr>
    </w:p>
    <w:p>
      <w:pPr>
        <w:ind w:left="120" w:right="700"/>
        <w:spacing w:after="0" w:line="193"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ind w:left="120"/>
        <w:spacing w:after="0" w:line="173" w:lineRule="exact"/>
        <w:tabs>
          <w:tab w:leader="none" w:pos="65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49" w:lineRule="exact"/>
        <w:rPr>
          <w:sz w:val="24"/>
          <w:szCs w:val="24"/>
          <w:color w:val="auto"/>
        </w:rPr>
      </w:pPr>
    </w:p>
    <w:p>
      <w:pPr>
        <w:ind w:left="120" w:right="80"/>
        <w:spacing w:after="0" w:line="271"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$643,221,377.</w:t>
      </w:r>
    </w:p>
    <w:p>
      <w:pPr>
        <w:spacing w:after="0" w:line="1" w:lineRule="exact"/>
        <w:rPr>
          <w:sz w:val="24"/>
          <w:szCs w:val="24"/>
          <w:color w:val="auto"/>
        </w:rPr>
      </w:pPr>
    </w:p>
    <w:p>
      <w:pPr>
        <w:ind w:left="120"/>
        <w:spacing w:after="0"/>
        <w:rPr>
          <w:sz w:val="20"/>
          <w:szCs w:val="20"/>
          <w:color w:val="auto"/>
        </w:rPr>
      </w:pPr>
      <w:r>
        <w:rPr>
          <w:rFonts w:ascii="Arial" w:cs="Arial" w:eastAsia="Arial" w:hAnsi="Arial"/>
          <w:sz w:val="15"/>
          <w:szCs w:val="15"/>
          <w:color w:val="auto"/>
        </w:rPr>
        <w:t>As of February 10, 2023, the registrant had 43,536,977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95885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46" w:lineRule="exact"/>
        <w:rPr>
          <w:sz w:val="24"/>
          <w:szCs w:val="24"/>
          <w:color w:val="auto"/>
        </w:rPr>
      </w:pPr>
    </w:p>
    <w:p>
      <w:pPr>
        <w:ind w:left="120" w:right="220"/>
        <w:spacing w:after="0" w:line="255" w:lineRule="auto"/>
        <w:rPr>
          <w:sz w:val="20"/>
          <w:szCs w:val="20"/>
          <w:color w:val="auto"/>
        </w:rPr>
      </w:pPr>
      <w:r>
        <w:rPr>
          <w:rFonts w:ascii="Arial" w:cs="Arial" w:eastAsia="Arial" w:hAnsi="Arial"/>
          <w:sz w:val="15"/>
          <w:szCs w:val="15"/>
          <w:color w:val="auto"/>
        </w:rPr>
        <w:t>Portions of the registrant’s definitive proxy statement relating to its 2023 annual meeting of stockholders will be incorporated by reference into Part III of this Annual Report on Form 10-K or included by amendment to this report within 120 days after the end of the fiscal year to which this report relates.</w:t>
      </w:r>
    </w:p>
    <w:p>
      <w:pPr>
        <w:sectPr>
          <w:pgSz w:w="11900" w:h="16838" w:orient="portrait"/>
          <w:cols w:equalWidth="0" w:num="1">
            <w:col w:w="11120"/>
          </w:cols>
          <w:pgMar w:left="320" w:top="230"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500" w:right="2460"/>
        <w:spacing w:after="0" w:line="266" w:lineRule="auto"/>
        <w:rPr>
          <w:sz w:val="20"/>
          <w:szCs w:val="20"/>
          <w:color w:val="auto"/>
        </w:rPr>
      </w:pPr>
      <w:r>
        <w:rPr>
          <w:rFonts w:ascii="Arial" w:cs="Arial" w:eastAsia="Arial" w:hAnsi="Arial"/>
          <w:sz w:val="18"/>
          <w:szCs w:val="18"/>
          <w:b w:val="1"/>
          <w:bCs w:val="1"/>
          <w:color w:val="auto"/>
        </w:rPr>
        <w:t>MAGNACHIP SEMICONDUCTOR CORPORATION AND SUBSIDIARIES FORM 10-K FOR THE YEAR ENDED DECEMBER 31, 2022 TABLE OF CONTENTS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60" w:type="dxa"/>
            <w:vAlign w:val="bottom"/>
            <w:gridSpan w:val="6"/>
            <w:vMerge w:val="restart"/>
          </w:tcPr>
          <w:p>
            <w:pPr>
              <w:spacing w:after="0"/>
              <w:rPr>
                <w:sz w:val="20"/>
                <w:szCs w:val="20"/>
                <w:color w:val="auto"/>
              </w:rPr>
            </w:pPr>
            <w:r>
              <w:rPr>
                <w:rFonts w:ascii="Arial" w:cs="Arial" w:eastAsia="Arial" w:hAnsi="Arial"/>
                <w:sz w:val="18"/>
                <w:szCs w:val="18"/>
                <w:b w:val="1"/>
                <w:bCs w:val="1"/>
                <w:color w:val="0000EE"/>
              </w:rPr>
              <w:t>PART I</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5"/>
        </w:trPr>
        <w:tc>
          <w:tcPr>
            <w:tcW w:w="2060" w:type="dxa"/>
            <w:vAlign w:val="bottom"/>
            <w:gridSpan w:val="6"/>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w:t>
            </w:r>
          </w:p>
        </w:tc>
        <w:tc>
          <w:tcPr>
            <w:tcW w:w="8580" w:type="dxa"/>
            <w:vAlign w:val="bottom"/>
            <w:gridSpan w:val="22"/>
          </w:tcPr>
          <w:p>
            <w:pPr>
              <w:spacing w:after="0" w:line="196" w:lineRule="exact"/>
              <w:rPr>
                <w:sz w:val="20"/>
                <w:szCs w:val="20"/>
                <w:color w:val="auto"/>
              </w:rPr>
            </w:pPr>
            <w:r>
              <w:rPr>
                <w:rFonts w:ascii="Arial" w:cs="Arial" w:eastAsia="Arial" w:hAnsi="Arial"/>
                <w:sz w:val="18"/>
                <w:szCs w:val="18"/>
                <w:color w:val="0000EE"/>
              </w:rPr>
              <w:t>Business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1A.</w:t>
            </w:r>
          </w:p>
        </w:tc>
        <w:tc>
          <w:tcPr>
            <w:tcW w:w="8580" w:type="dxa"/>
            <w:vAlign w:val="bottom"/>
            <w:gridSpan w:val="22"/>
          </w:tcPr>
          <w:p>
            <w:pPr>
              <w:spacing w:after="0" w:line="196" w:lineRule="exact"/>
              <w:rPr>
                <w:sz w:val="20"/>
                <w:szCs w:val="20"/>
                <w:color w:val="auto"/>
              </w:rPr>
            </w:pPr>
            <w:r>
              <w:rPr>
                <w:rFonts w:ascii="Arial" w:cs="Arial" w:eastAsia="Arial" w:hAnsi="Arial"/>
                <w:sz w:val="18"/>
                <w:szCs w:val="18"/>
                <w:color w:val="0000EE"/>
              </w:rPr>
              <w:t>Risk Factors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1B.</w:t>
            </w:r>
          </w:p>
        </w:tc>
        <w:tc>
          <w:tcPr>
            <w:tcW w:w="8580" w:type="dxa"/>
            <w:vAlign w:val="bottom"/>
            <w:gridSpan w:val="22"/>
          </w:tcPr>
          <w:p>
            <w:pPr>
              <w:spacing w:after="0" w:line="196" w:lineRule="exact"/>
              <w:rPr>
                <w:sz w:val="20"/>
                <w:szCs w:val="20"/>
                <w:color w:val="auto"/>
              </w:rPr>
            </w:pPr>
            <w:r>
              <w:rPr>
                <w:rFonts w:ascii="Arial" w:cs="Arial" w:eastAsia="Arial" w:hAnsi="Arial"/>
                <w:sz w:val="18"/>
                <w:szCs w:val="18"/>
                <w:color w:val="0000EE"/>
              </w:rPr>
              <w:t>Unresolved Staff Comments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Properties</w:t>
            </w:r>
          </w:p>
        </w:tc>
        <w:tc>
          <w:tcPr>
            <w:tcW w:w="1300" w:type="dxa"/>
            <w:vAlign w:val="bottom"/>
            <w:tcBorders>
              <w:top w:val="single" w:sz="8" w:color="0000EE"/>
            </w:tcBorders>
            <w:gridSpan w:val="8"/>
          </w:tcPr>
          <w:p>
            <w:pPr>
              <w:spacing w:after="0"/>
              <w:rPr>
                <w:sz w:val="17"/>
                <w:szCs w:val="17"/>
                <w:color w:val="auto"/>
              </w:rPr>
            </w:pPr>
          </w:p>
        </w:tc>
        <w:tc>
          <w:tcPr>
            <w:tcW w:w="654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724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4.</w:t>
            </w:r>
          </w:p>
        </w:tc>
        <w:tc>
          <w:tcPr>
            <w:tcW w:w="8580" w:type="dxa"/>
            <w:vAlign w:val="bottom"/>
            <w:gridSpan w:val="22"/>
          </w:tcPr>
          <w:p>
            <w:pPr>
              <w:spacing w:after="0" w:line="196" w:lineRule="exact"/>
              <w:rPr>
                <w:sz w:val="20"/>
                <w:szCs w:val="20"/>
                <w:color w:val="auto"/>
              </w:rPr>
            </w:pPr>
            <w:r>
              <w:rPr>
                <w:rFonts w:ascii="Arial" w:cs="Arial" w:eastAsia="Arial" w:hAnsi="Arial"/>
                <w:sz w:val="18"/>
                <w:szCs w:val="18"/>
                <w:color w:val="0000EE"/>
              </w:rPr>
              <w:t>Mine Safety Disclosures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060" w:type="dxa"/>
            <w:vAlign w:val="bottom"/>
            <w:gridSpan w:val="6"/>
          </w:tcPr>
          <w:p>
            <w:pPr>
              <w:spacing w:after="0" w:line="196" w:lineRule="exact"/>
              <w:rPr>
                <w:sz w:val="20"/>
                <w:szCs w:val="20"/>
                <w:color w:val="auto"/>
              </w:rPr>
            </w:pPr>
            <w:r>
              <w:rPr>
                <w:rFonts w:ascii="Arial" w:cs="Arial" w:eastAsia="Arial" w:hAnsi="Arial"/>
                <w:sz w:val="18"/>
                <w:szCs w:val="18"/>
                <w:b w:val="1"/>
                <w:bCs w:val="1"/>
                <w:color w:val="0000EE"/>
              </w:rPr>
              <w:t>PART II</w:t>
            </w: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0"/>
              </w:rPr>
              <w:t>Market for Registrant’s Common Equity, Related Stockholder Matters and Issuer Purchases of Equity Securities</w:t>
            </w:r>
          </w:p>
        </w:tc>
        <w:tc>
          <w:tcPr>
            <w:tcW w:w="5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[Reserved]</w:t>
            </w:r>
          </w:p>
        </w:tc>
        <w:tc>
          <w:tcPr>
            <w:tcW w:w="778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1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42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8.</w:t>
            </w:r>
          </w:p>
        </w:tc>
        <w:tc>
          <w:tcPr>
            <w:tcW w:w="8580" w:type="dxa"/>
            <w:vAlign w:val="bottom"/>
            <w:gridSpan w:val="22"/>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0"/>
              </w:rPr>
              <w:t>Changes in and Disagreements with Accountants on Accounting and Financial Disclosure</w:t>
            </w:r>
          </w:p>
        </w:tc>
        <w:tc>
          <w:tcPr>
            <w:tcW w:w="21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680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726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9C.</w:t>
            </w:r>
          </w:p>
        </w:tc>
        <w:tc>
          <w:tcPr>
            <w:tcW w:w="8580" w:type="dxa"/>
            <w:vAlign w:val="bottom"/>
            <w:gridSpan w:val="22"/>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196"/>
        </w:trPr>
        <w:tc>
          <w:tcPr>
            <w:tcW w:w="2060" w:type="dxa"/>
            <w:vAlign w:val="bottom"/>
            <w:gridSpan w:val="6"/>
          </w:tcPr>
          <w:p>
            <w:pPr>
              <w:spacing w:after="0" w:line="196" w:lineRule="exact"/>
              <w:rPr>
                <w:sz w:val="20"/>
                <w:szCs w:val="20"/>
                <w:color w:val="auto"/>
              </w:rPr>
            </w:pPr>
            <w:r>
              <w:rPr>
                <w:rFonts w:ascii="Arial" w:cs="Arial" w:eastAsia="Arial" w:hAnsi="Arial"/>
                <w:sz w:val="18"/>
                <w:szCs w:val="18"/>
                <w:b w:val="1"/>
                <w:bCs w:val="1"/>
                <w:color w:val="0000EE"/>
              </w:rPr>
              <w:t>PART III</w:t>
            </w: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0"/>
              </w:rPr>
              <w:t>Directors, Executive Officers and Corporate Governance</w:t>
            </w:r>
          </w:p>
        </w:tc>
        <w:tc>
          <w:tcPr>
            <w:tcW w:w="448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11.</w:t>
            </w:r>
          </w:p>
        </w:tc>
        <w:tc>
          <w:tcPr>
            <w:tcW w:w="8580" w:type="dxa"/>
            <w:vAlign w:val="bottom"/>
            <w:gridSpan w:val="22"/>
          </w:tcPr>
          <w:p>
            <w:pPr>
              <w:spacing w:after="0" w:line="196" w:lineRule="exact"/>
              <w:rPr>
                <w:sz w:val="20"/>
                <w:szCs w:val="20"/>
                <w:color w:val="auto"/>
              </w:rPr>
            </w:pPr>
            <w:r>
              <w:rPr>
                <w:rFonts w:ascii="Arial" w:cs="Arial" w:eastAsia="Arial" w:hAnsi="Arial"/>
                <w:sz w:val="18"/>
                <w:szCs w:val="18"/>
                <w:color w:val="0000EE"/>
              </w:rPr>
              <w:t>Executive Compensation</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Security Ownership of Certain Beneficial Owners and Management and Related Stockholder Matters</w:t>
            </w:r>
          </w:p>
        </w:tc>
        <w:tc>
          <w:tcPr>
            <w:tcW w:w="12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9"/>
              </w:rPr>
              <w:t>Certain Relationships and Related Transactions, and Director Independence</w:t>
            </w:r>
          </w:p>
        </w:tc>
        <w:tc>
          <w:tcPr>
            <w:tcW w:w="31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14.</w:t>
            </w:r>
          </w:p>
        </w:tc>
        <w:tc>
          <w:tcPr>
            <w:tcW w:w="8580" w:type="dxa"/>
            <w:vAlign w:val="bottom"/>
            <w:gridSpan w:val="22"/>
          </w:tcPr>
          <w:p>
            <w:pPr>
              <w:spacing w:after="0" w:line="196" w:lineRule="exact"/>
              <w:rPr>
                <w:sz w:val="20"/>
                <w:szCs w:val="20"/>
                <w:color w:val="auto"/>
              </w:rPr>
            </w:pPr>
            <w:r>
              <w:rPr>
                <w:rFonts w:ascii="Arial" w:cs="Arial" w:eastAsia="Arial" w:hAnsi="Arial"/>
                <w:sz w:val="18"/>
                <w:szCs w:val="18"/>
                <w:color w:val="0000EE"/>
              </w:rPr>
              <w:t>Principal Accounting Fees and Services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2060" w:type="dxa"/>
            <w:vAlign w:val="bottom"/>
            <w:gridSpan w:val="6"/>
          </w:tcPr>
          <w:p>
            <w:pPr>
              <w:spacing w:after="0" w:line="196" w:lineRule="exact"/>
              <w:rPr>
                <w:sz w:val="20"/>
                <w:szCs w:val="20"/>
                <w:color w:val="auto"/>
              </w:rPr>
            </w:pPr>
            <w:r>
              <w:rPr>
                <w:rFonts w:ascii="Arial" w:cs="Arial" w:eastAsia="Arial" w:hAnsi="Arial"/>
                <w:sz w:val="18"/>
                <w:szCs w:val="18"/>
                <w:b w:val="1"/>
                <w:bCs w:val="1"/>
                <w:color w:val="0000EE"/>
              </w:rPr>
              <w:t>PART IV</w:t>
            </w: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Exhibits and Financial Statement Schedules</w:t>
            </w:r>
          </w:p>
        </w:tc>
        <w:tc>
          <w:tcPr>
            <w:tcW w:w="542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16.</w:t>
            </w:r>
          </w:p>
        </w:tc>
        <w:tc>
          <w:tcPr>
            <w:tcW w:w="8580" w:type="dxa"/>
            <w:vAlign w:val="bottom"/>
            <w:gridSpan w:val="22"/>
          </w:tcPr>
          <w:p>
            <w:pPr>
              <w:spacing w:after="0" w:line="196" w:lineRule="exact"/>
              <w:rPr>
                <w:sz w:val="20"/>
                <w:szCs w:val="20"/>
                <w:color w:val="auto"/>
              </w:rPr>
            </w:pPr>
            <w:r>
              <w:rPr>
                <w:rFonts w:ascii="Arial" w:cs="Arial" w:eastAsia="Arial" w:hAnsi="Arial"/>
                <w:sz w:val="18"/>
                <w:szCs w:val="18"/>
                <w:color w:val="0000EE"/>
              </w:rPr>
              <w:t>10-K Summary</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b w:val="1"/>
                <w:bCs w:val="1"/>
                <w:color w:val="0000EE"/>
                <w:w w:val="96"/>
              </w:rPr>
              <w:t>SIGNATURES</w:t>
            </w:r>
          </w:p>
        </w:tc>
        <w:tc>
          <w:tcPr>
            <w:tcW w:w="9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have made statements in this Annual Report on Form 10-K for the year ended December 31, 2022 (this “Report”) regarding our industry and our position in the industry based on our experience in the industry and our own views of market conditions, but we have not independently verified those statements. We do not have any obligation to announce or otherwise make publicly available updates or revisions to forecasts contained in these documents.</w:t>
      </w:r>
    </w:p>
    <w:p>
      <w:pPr>
        <w:spacing w:after="0" w:line="18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“Magnachip” to refer to Magnachip Semiconductor Corporation and its consolidated subsidiaries. The term “Korea” refers to the Republic of Korea or South Korea. On September 1, 2020, we completed the sale of our Foundry Services Group business and our fabrication facility located in Cheongju, Korea to Key Foundry Co., Ltd. Unless otherwise noted herein, historical operational metrics presented herein do not include those of the Foundry Services Group.</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made certain “forward-looking” statements in this Report within the meaning of Section 21E of the Securities Exchange Act of 1934, as amended (the “Exchange Act”), and Section 27A of the Securities Act of 1933, as amended (the “Securities Act”),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“Management’s Discussion and Analysis of Financial Condition and Results of Operations” and “Business” sections and elsewhere in this Report.</w:t>
      </w:r>
    </w:p>
    <w:p>
      <w:pPr>
        <w:spacing w:after="0" w:line="18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“Magnachip” is a registered trademark of us and our subsidiaries and “Magnachip Everywhere” is our registered trademark and service mark. All other product, service and company names mentioned in this Report are the service marks or trademarks of their respective owners.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86"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are a designer and manufacturer of analog and mixed-signal semiconductor platform solutions for communications, Internet of Things (“IoT”) applications, consumer, computing, industrial and automotive applications. We have a proven record with more than 40 years of operating history, a portfolio of approximately 1,100 registered patents and pending applications and extensive engineering and manufacturing process expertise. Our standard products business includes our Display Solutions and Power Solutions business lines. Our Display Solutions products provide panel display solutions to major suppliers of large and small rigid and flexible panel displays, and a wide range of applications including smartphones, TVs, automotive and IT applications such as monitors, notebook PCs, tablet PCs as well as AR/VRs. Our Power Solutions products include discrete and integrated circuit solutions for power management in communications, consumer, computing, servers, automotive, and industrial applications.</w:t>
      </w:r>
    </w:p>
    <w:p>
      <w:pPr>
        <w:spacing w:after="0" w:line="16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wide variety of analog and mixed-signal semiconductor products allow us to address multiple high-growth end markets and rapidly develop and introduce new products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Certain of our OLED products are produced using external 12-inch foundries. Through a strategic cooperation with external 12-inch foundries, we strive to outsource wafers at competitive prices and produce quality products.</w:t>
      </w:r>
    </w:p>
    <w:p>
      <w:pPr>
        <w:spacing w:after="0" w:line="16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a long history of supplying and collaborating on product and technology development with leading innovators in the consumer electronics market. As a result, we have been able to strengthen our technology and develop products that are in high demand by our customers and end consumers. We sold approximately 400 distinct products in the year ended December 31, 2022 with a substantial portion of our revenues derived from a concentrated number of customers.</w:t>
      </w:r>
    </w:p>
    <w:p>
      <w:pPr>
        <w:spacing w:after="0" w:line="187"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Our business is largely driven by innovation in the consumer electronics markets and the growing adoption by consumers of worldwide of electronic devices for use in their daily lives. The consumer electronics market is large and growing rapidly, largely due to consumers increasingly accessing a wide variety of rich media content, such as high definition audio and video, mobile devices, televisions and games on advanced consumer electronic devices.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semiconductors that increase power efficiency, thereby improving heat dissipation and extending battery life.</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the year ended December 31, 2022, we generated total revenues of $337.7 million, net loss of $8.0 million, operating loss of $5.2 million, Adjusted EBITDA of $19.5 million, Adjusted Operating Income of $4.1 million and Adjusted Net Income of $8.8 million. See “Item 7. Management’s Discussion and Analysis of Financial Condition and Results of Operations” elsewhere in this Report for an explanation of our use of Adjusted EBITDA, Adjusted Operating Income and Adjusted Net Income and a reconciliation to net income (loss) and operating income (loss) prepared in accordance with United States Generally Accepted Accounting Principles (“U.S. GAAP”).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business was named “MagnaChip Semiconductor” when it was acquired from SK hynix Inc., formerly known as Hynix Semiconductor, Inc.</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(“SK hynix”), in October 2004.</w:t>
      </w:r>
    </w:p>
    <w:p>
      <w:pPr>
        <w:spacing w:after="0" w:line="2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March 10, 2011, we completed our initial public offering. In connection with our initial public offering, we converted from a Delaware limited liability company to a Delaware corporation.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86"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December 30, 2020, we changed our name from “MagnaChip Semiconductor Corporation” to “Magnachip Semiconductor Corporation.”</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Legacy Foundry Services Group Business</w:t>
      </w:r>
    </w:p>
    <w:p>
      <w:pPr>
        <w:spacing w:after="0" w:line="12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On September 1, 2020, we completed the sale of our Foundry Services Group business and our fabrication facility located in Cheongju, Korea (known as “Fab 4”) to Key Foundry Co., Ltd. This sale was part of a strategic shift in our operational focus to our standard products business. The Foundry Services Group business provided specialty analog and mixed signal foundry services mainly for fabless and Integrated Device Manufacturer semiconductor companies.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automotives, entertainment devices, notebook PCs, monitors and liquid crystal display (LCD), organic light emitting diodes (OLED) and Micro light emitting diode (Micro LED) televisions. Our Display Solutions products support the industry’s most advanced display technologies, such as OLEDs, and low temperature polysilicon thin film transistor (LTPS TFT), as well as high-volume display technologies such as amorphous silicon thin film transistors (a-Si TFTs). Since 2007, we have designed and manufactured OLED display driver integrated circuit (IC) products. Our current portfolio of OLED solutions address a wide range of resolutions ranging from HD (High Definition) to WQHD (Wide Quadruple High Definition) for wide range of applications including smartphones, TVs, automotive and IT applications such as monitors, notebook PCs, tablet PCs as well as AR/VRs. Our Display Solutions products represented 21.2%, 43.3% and 59.0% of our total revenues for the fiscal years ended December 31, 2022, 2021 and 2020, respectively.</w:t>
      </w:r>
    </w:p>
    <w:p>
      <w:pPr>
        <w:spacing w:after="0" w:line="19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expanded our business and market opportunity by establishing our Power Solutions product line in late 2007. We have introduced a number of power management semiconductor products, including discrete and integrated circuit solutions for power management in high-volume consumer applications. These products include metal oxide semiconductor field effect transistors (MOSFETs), insulated-gate bipolar transistors (IGBTs), AC-DC/DC-DC converters, LED drivers, regulators and power management integrated circuits (PMICs) for a range of devices, including televisions, smartphones, mobile phones, wearable devices, desktop PCs, notebooks, tablet PCs, other consumer electronics, automotive, and industrial applications such as power suppliers, e-bikes, photovoltaic inverters, LED lighting and motor drives. Our Power Solutions products represented 68.3%, 48.0% and 32.8% of our total revenues for the fiscal years ended December 31, 2022, 2021 and 2020, respectively.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The semiconductor market is large and is expanding its applications. Growth in this market is being driven by consumers seeking to enjoy a wide variety of rich media content, such as high definition audio and video, mobile devices, televisions and games. Recently, industrial applications such as power suppliers, e-bikes, photovoltaic inverters, LED lighting, motor drives, and automotive applications such as on board chargers, electric motor drives, electric pumps, DC-DC converters and powertrain inverters in hybrid &amp; battery electric vehicle (HEV &amp; BEV) are also driving growth in the semiconductor market. Electronics device manufacturers recognize that the consumer entertainment experience plays a critical role in differentiating their products. To address and further stimulate consumer demand, electronics manufacturers have been driving rapid advances in the technology, functionality, form factor, cost, quality, reliability and power consumption of their products.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and video, and power semiconductors that increase power efficiency, thereby improving heat dissipation and extending battery life. These advanced generations of consumer devices are growing faster than the overall electronics device market.</w:t>
      </w:r>
    </w:p>
    <w:p>
      <w:pPr>
        <w:spacing w:after="0" w:line="170"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The user experience delivered by a consumer electronic device is substantially driven by the quality of the display, audio and video processing capabilities and power efficiency of the device. Analog and mixed-signal semiconductors enable and enhance these capabilities. Examples of these analog and mixed-signal semiconductors include display drivers, timing controllers, audio encoding and decoding devices, or codecs, and interface circuits, as well as power semiconductors such as voltage regulators, converters and switches.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of Leading Electronic Devices Manufacturers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believe our target customers view the following characteristics and capabilities as key differentiating factors among available analog and mixed-signal semiconductor suppliers:</w:t>
      </w:r>
    </w:p>
    <w:p>
      <w:pPr>
        <w:spacing w:after="0" w:line="76" w:lineRule="exact"/>
        <w:rPr>
          <w:sz w:val="20"/>
          <w:szCs w:val="20"/>
          <w:color w:val="auto"/>
        </w:rPr>
      </w:pPr>
    </w:p>
    <w:p>
      <w:pPr>
        <w:ind w:left="540" w:hanging="424"/>
        <w:spacing w:after="0" w:line="25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Offering of Differentiated Products with Advanced System-Level Features and Functions. </w:t>
      </w:r>
      <w:r>
        <w:rPr>
          <w:rFonts w:ascii="Arial" w:cs="Arial" w:eastAsia="Arial" w:hAnsi="Arial"/>
          <w:sz w:val="18"/>
          <w:szCs w:val="18"/>
          <w:color w:val="auto"/>
        </w:rPr>
        <w:t>Leading electronic devices manufacturers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differentiate their products by incorporating innovative semiconductor products that enable unique system-level functionality and enhance performance. These consumer electronics manufacturers seek to closely collaborate with semiconductor solutions providers that continuously develop new and advanced products, and technologies that enable state of the art features and functions, such as bright and thin displays, small form factor and energy efficiency.</w:t>
      </w:r>
    </w:p>
    <w:p>
      <w:pPr>
        <w:spacing w:after="0" w:line="93" w:lineRule="exact"/>
        <w:rPr>
          <w:rFonts w:ascii="Arial" w:cs="Arial" w:eastAsia="Arial" w:hAnsi="Arial"/>
          <w:sz w:val="18"/>
          <w:szCs w:val="18"/>
          <w:color w:val="auto"/>
        </w:rPr>
      </w:pPr>
    </w:p>
    <w:p>
      <w:pPr>
        <w:ind w:left="540" w:right="440" w:hanging="424"/>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Fast Time-to-Market with New Products. </w:t>
      </w:r>
      <w:r>
        <w:rPr>
          <w:rFonts w:ascii="Arial" w:cs="Arial" w:eastAsia="Arial" w:hAnsi="Arial"/>
          <w:sz w:val="18"/>
          <w:szCs w:val="18"/>
          <w:color w:val="auto"/>
        </w:rPr>
        <w:t>As a result of rapid technological advancements and short product lifecycles, our target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typically prefer suppliers who have a compelling pipeline of new products and capacity to leverage a substantial intellectual property and technology base to accelerate product design and manufacturing when needed.</w:t>
      </w:r>
    </w:p>
    <w:p>
      <w:pPr>
        <w:spacing w:after="0" w:line="89" w:lineRule="exact"/>
        <w:rPr>
          <w:rFonts w:ascii="Arial" w:cs="Arial" w:eastAsia="Arial" w:hAnsi="Arial"/>
          <w:sz w:val="18"/>
          <w:szCs w:val="18"/>
          <w:color w:val="auto"/>
        </w:rPr>
      </w:pPr>
    </w:p>
    <w:p>
      <w:pPr>
        <w:ind w:left="540" w:right="300" w:hanging="424"/>
        <w:spacing w:after="0" w:line="25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Deliver Cost Competitive Solutions. </w:t>
      </w:r>
      <w:r>
        <w:rPr>
          <w:rFonts w:ascii="Arial" w:cs="Arial" w:eastAsia="Arial" w:hAnsi="Arial"/>
          <w:sz w:val="18"/>
          <w:szCs w:val="18"/>
          <w:color w:val="auto"/>
        </w:rPr>
        <w:t>Electronics manufacturers are under constant pressure to deliver cost-competitive solutions.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accomplish this objective, they need strategic semiconductor suppliers that have the ability to provide system-level solutions, highly integrated products and a broad product offering at a range of price points and have the design and manufacturing infrastructure and logistical support to deliver cost competitive products.</w:t>
      </w:r>
    </w:p>
    <w:p>
      <w:pPr>
        <w:spacing w:after="0" w:line="92" w:lineRule="exact"/>
        <w:rPr>
          <w:rFonts w:ascii="Arial" w:cs="Arial" w:eastAsia="Arial" w:hAnsi="Arial"/>
          <w:sz w:val="18"/>
          <w:szCs w:val="18"/>
          <w:color w:val="auto"/>
        </w:rPr>
      </w:pPr>
    </w:p>
    <w:p>
      <w:pPr>
        <w:ind w:left="540" w:hanging="424"/>
        <w:spacing w:after="0" w:line="25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Delivering Highly Energy-Efficient Products. </w:t>
      </w:r>
      <w:r>
        <w:rPr>
          <w:rFonts w:ascii="Arial" w:cs="Arial" w:eastAsia="Arial" w:hAnsi="Arial"/>
          <w:sz w:val="18"/>
          <w:szCs w:val="18"/>
          <w:color w:val="auto"/>
        </w:rPr>
        <w:t>Consumers increasingly seek longer run-time, environmentally friendly and energy-efficient consumer electronic products. In addition, there is an increasing regulatory focus on reducing energy consumption of consumer electronic products. As a result of a global focus on more environmentally friendly products, our customers are seeking analog and mixed-signal semiconductor suppliers that have the technological expertise to deliver solutions that satisfy these ever increasing regulatory and consumer power efficiency demands.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Designing and manufacturing analog and mixed-signal semiconductors capable of meeting the evolving functionality requirements for electronics devices are challenging. In order to grow and succeed in the industry, we believe semiconductor suppliers must have a broad, advanced intellectual property portfolio, product design expertise, comprehensive product offerings and specialized manufacturing process technologies and capabilities. Our competitive strengths enable us to offer our customers solutions to solve their key challenges. We believe our strengths include:</w:t>
      </w:r>
    </w:p>
    <w:p>
      <w:pPr>
        <w:spacing w:after="0" w:line="63" w:lineRule="exact"/>
        <w:rPr>
          <w:sz w:val="20"/>
          <w:szCs w:val="20"/>
          <w:color w:val="auto"/>
        </w:rPr>
      </w:pPr>
    </w:p>
    <w:p>
      <w:pPr>
        <w:ind w:left="540" w:right="80" w:hanging="424"/>
        <w:spacing w:after="0" w:line="279"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Advanced Analog and Mixed-Signal Semiconductor Technology. </w:t>
      </w:r>
      <w:r>
        <w:rPr>
          <w:rFonts w:ascii="Arial" w:cs="Arial" w:eastAsia="Arial" w:hAnsi="Arial"/>
          <w:sz w:val="17"/>
          <w:szCs w:val="17"/>
          <w:color w:val="auto"/>
        </w:rPr>
        <w:t>Our long operating history, large patent portfolio, extensive engineering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process expertise and analog and mixed-signal intellectual property allow us to leverage our technology and develop new products across multiple end markets. Our product development efforts are supported by a team of over 220 engineers as of the date of this Annual Report. Our platform allows us to develop and introduce new products quickly and integrate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280"/>
        <w:spacing w:after="0" w:line="277" w:lineRule="auto"/>
        <w:rPr>
          <w:sz w:val="20"/>
          <w:szCs w:val="20"/>
          <w:color w:val="auto"/>
        </w:rPr>
      </w:pPr>
      <w:r>
        <w:rPr>
          <w:rFonts w:ascii="Arial" w:cs="Arial" w:eastAsia="Arial" w:hAnsi="Arial"/>
          <w:sz w:val="18"/>
          <w:szCs w:val="18"/>
          <w:color w:val="auto"/>
        </w:rPr>
        <w:t>numerous functions into a single product. For example, we were one of the first companies to introduce a commercial OLED display driver for mobile phones.</w:t>
      </w:r>
    </w:p>
    <w:p>
      <w:pPr>
        <w:spacing w:after="0" w:line="76" w:lineRule="exact"/>
        <w:rPr>
          <w:sz w:val="20"/>
          <w:szCs w:val="20"/>
          <w:color w:val="auto"/>
        </w:rPr>
      </w:pPr>
    </w:p>
    <w:p>
      <w:pPr>
        <w:ind w:left="540" w:right="360" w:hanging="424"/>
        <w:spacing w:after="0" w:line="296"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Established Relationships and Close Collaboration with Leading Global Electronics Companies. </w:t>
      </w:r>
      <w:r>
        <w:rPr>
          <w:rFonts w:ascii="Arial" w:cs="Arial" w:eastAsia="Arial" w:hAnsi="Arial"/>
          <w:sz w:val="16"/>
          <w:szCs w:val="16"/>
          <w:color w:val="auto"/>
        </w:rPr>
        <w:t>We have a long history of supplying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collaborating on product and technology development with leading innovators in the consumer electronics market. Our close customer relationships have been built based on many years of close collaborative product development, which provides us with deep system-level knowledge and key insights into our customers’ needs. As a result, we are able to continuously strengthen our technology in areas of strategic interest for our customers and focus on those products that our customers and end consumers demand the most.</w:t>
      </w:r>
    </w:p>
    <w:p>
      <w:pPr>
        <w:spacing w:after="0" w:line="66" w:lineRule="exact"/>
        <w:rPr>
          <w:rFonts w:ascii="Arial" w:cs="Arial" w:eastAsia="Arial" w:hAnsi="Arial"/>
          <w:sz w:val="16"/>
          <w:szCs w:val="16"/>
          <w:color w:val="auto"/>
        </w:rPr>
      </w:pPr>
    </w:p>
    <w:p>
      <w:pPr>
        <w:ind w:left="540" w:hanging="424"/>
        <w:spacing w:after="0" w:line="291"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Longstanding Presence in Asia and Proximity to Global Electronics Devices Supply Chain. </w:t>
      </w:r>
      <w:r>
        <w:rPr>
          <w:rFonts w:ascii="Arial" w:cs="Arial" w:eastAsia="Arial" w:hAnsi="Arial"/>
          <w:sz w:val="16"/>
          <w:szCs w:val="16"/>
          <w:color w:val="auto"/>
        </w:rPr>
        <w:t>Our presence in Asia facilitates close contact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customers and fast response to their needs, and enhances our visibility into new product opportunities, markets and technology trends. Our design center and substantial manufacturing operations in Korea place us close to many of our largest customers and to the core of the global electronics devices supply chain. We have active applications, engineering, product design and customer support resources,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pacing w:after="0" w:line="71" w:lineRule="exact"/>
        <w:rPr>
          <w:rFonts w:ascii="Arial" w:cs="Arial" w:eastAsia="Arial" w:hAnsi="Arial"/>
          <w:sz w:val="16"/>
          <w:szCs w:val="16"/>
          <w:color w:val="auto"/>
        </w:rPr>
      </w:pPr>
    </w:p>
    <w:p>
      <w:pPr>
        <w:ind w:left="540" w:right="160" w:hanging="424"/>
        <w:spacing w:after="0" w:line="272"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 Portfolio of Product Offerings Targeting Large, High-Growth Markets. </w:t>
      </w:r>
      <w:r>
        <w:rPr>
          <w:rFonts w:ascii="Arial" w:cs="Arial" w:eastAsia="Arial" w:hAnsi="Arial"/>
          <w:sz w:val="17"/>
          <w:szCs w:val="17"/>
          <w:color w:val="auto"/>
        </w:rPr>
        <w:t>We continue to develop a wide variety of analog and mixed-signal semiconductor solutions for multiple high-growth electronics device end markets. We believe our expanding product offerings allow us to provide additional products to new and existing customers and to cross-sell our products to our established customers. For example, we have leveraged our technology expertise and customer relationships to develop and grow power management solutions to customers. Our power management solutions enable our customers to increase system stability and improve heat dissipation and energy use, resulting in improved system efficiency and system cost savings for our customers, as well as environmental benefits. We have been able to sell these new products to our existing customers as well as expand our customer base.</w:t>
      </w:r>
    </w:p>
    <w:p>
      <w:pPr>
        <w:spacing w:after="0" w:line="82" w:lineRule="exact"/>
        <w:rPr>
          <w:rFonts w:ascii="Arial" w:cs="Arial" w:eastAsia="Arial" w:hAnsi="Arial"/>
          <w:sz w:val="17"/>
          <w:szCs w:val="17"/>
          <w:color w:val="auto"/>
        </w:rPr>
      </w:pPr>
    </w:p>
    <w:p>
      <w:pPr>
        <w:ind w:left="540" w:right="40" w:hanging="424"/>
        <w:spacing w:after="0" w:line="288"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Efficient Manufacturing Capabilities. </w:t>
      </w:r>
      <w:r>
        <w:rPr>
          <w:rFonts w:ascii="Arial" w:cs="Arial" w:eastAsia="Arial" w:hAnsi="Arial"/>
          <w:sz w:val="16"/>
          <w:szCs w:val="16"/>
          <w:color w:val="auto"/>
        </w:rPr>
        <w:t>Our manufacturing strategy is focused on optimizing our asset utilization across our display driver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power management products, which enables us to maintain the price competitiveness of our products through our low-cost operating structure and improve our operational efficiency. We believe the location of our primary manufacturing and research and development facilities in Asia and the relatively low need for ongoing capital expenditures provide us with a number of cost advantages. 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12-inch foundries starting in the second half of 2015 and we have started outsourcing 8-inch wafer for OLED TV ICs after the sale of our fabrication facility located in Cheongju, Korea in 2020. This additional source of manufacturing is an increasingly important part of our supply chain management. By outsourcing manufacturing of OLED products to external foundries, we are able to adapt dynamically to changing customer requirements and address growing markets without substantial capital investments by us.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Our objective is to grow our business, cash flow and profitability and to continue strengthening our position in the semiconductor industry as a leading provider of analog and mixed-signal semiconductor products for high-volume markets. Our business strategy emphasizes the following key elements:</w:t>
      </w:r>
    </w:p>
    <w:p>
      <w:pPr>
        <w:spacing w:after="0" w:line="89" w:lineRule="exact"/>
        <w:rPr>
          <w:sz w:val="20"/>
          <w:szCs w:val="20"/>
          <w:color w:val="auto"/>
        </w:rPr>
      </w:pPr>
    </w:p>
    <w:p>
      <w:pPr>
        <w:ind w:left="540" w:right="400" w:hanging="424"/>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Business with Existing Customers. </w:t>
      </w:r>
      <w:r>
        <w:rPr>
          <w:rFonts w:ascii="Arial" w:cs="Arial" w:eastAsia="Arial" w:hAnsi="Arial"/>
          <w:sz w:val="18"/>
          <w:szCs w:val="18"/>
          <w:color w:val="auto"/>
        </w:rPr>
        <w:t>We have a global customer base consisting of leading consumer electronics OEMs that sell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end markets. We intend to continue to strengthen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40"/>
        <w:spacing w:after="0" w:line="311" w:lineRule="auto"/>
        <w:rPr>
          <w:sz w:val="20"/>
          <w:szCs w:val="20"/>
          <w:color w:val="auto"/>
        </w:rPr>
      </w:pPr>
      <w:r>
        <w:rPr>
          <w:rFonts w:ascii="Arial" w:cs="Arial" w:eastAsia="Arial" w:hAnsi="Arial"/>
          <w:sz w:val="16"/>
          <w:szCs w:val="16"/>
          <w:color w:val="auto"/>
        </w:rPr>
        <w:t>relationships with our customers by collaborating on critical design and product development in order to improve our design-win rates. We seek to increase our customer penetration by more closely aligning our product roadmap with those of our key customers and take advantage of our broad product portfolio, our deep knowledge of customer needs and existing relationships to sell more existing and new products.</w:t>
      </w:r>
    </w:p>
    <w:p>
      <w:pPr>
        <w:spacing w:after="0" w:line="54" w:lineRule="exact"/>
        <w:rPr>
          <w:sz w:val="20"/>
          <w:szCs w:val="20"/>
          <w:color w:val="auto"/>
        </w:rPr>
      </w:pPr>
    </w:p>
    <w:p>
      <w:pPr>
        <w:ind w:left="540" w:right="180" w:hanging="424"/>
        <w:spacing w:after="0" w:line="25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Broaden Our Customer Base. </w:t>
      </w:r>
      <w:r>
        <w:rPr>
          <w:rFonts w:ascii="Arial" w:cs="Arial" w:eastAsia="Arial" w:hAnsi="Arial"/>
          <w:sz w:val="18"/>
          <w:szCs w:val="18"/>
          <w:color w:val="auto"/>
        </w:rPr>
        <w:t>We expect to continue to expand our global customer base, particularly in China, Hong Kong, and Taiwan,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collectively refer to as Greater China, and other high-growth geographies, to penetrate new accounts. In addition, we intend to introduce new products and variations of existing products to address a broader customer base. In order to broaden our market penetration, we are complementing our direct customer relationships and sales with an improved base of distributors, with a particular focus on the growth of our power management business.</w:t>
      </w:r>
    </w:p>
    <w:p>
      <w:pPr>
        <w:spacing w:after="0" w:line="93" w:lineRule="exact"/>
        <w:rPr>
          <w:rFonts w:ascii="Arial" w:cs="Arial" w:eastAsia="Arial" w:hAnsi="Arial"/>
          <w:sz w:val="18"/>
          <w:szCs w:val="18"/>
          <w:color w:val="auto"/>
        </w:rPr>
      </w:pPr>
    </w:p>
    <w:p>
      <w:pPr>
        <w:ind w:left="540" w:right="320" w:hanging="424"/>
        <w:spacing w:after="0" w:line="279"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Execution Excellence. </w:t>
      </w:r>
      <w:r>
        <w:rPr>
          <w:rFonts w:ascii="Arial" w:cs="Arial" w:eastAsia="Arial" w:hAnsi="Arial"/>
          <w:sz w:val="17"/>
          <w:szCs w:val="17"/>
          <w:color w:val="auto"/>
        </w:rPr>
        <w:t>We intend to improve our execution through a number of management initiatives, new processes for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customer service and personnel development. We expect these ongoing initiatives will contribute to improvement of our new product development and customer service as well as enhance our commitment to a culture of quick action and execution by our workforce. In addition, we have focused on improving our manufacturing efficiency during the past several years.</w:t>
      </w:r>
    </w:p>
    <w:p>
      <w:pPr>
        <w:spacing w:after="0" w:line="76" w:lineRule="exact"/>
        <w:rPr>
          <w:rFonts w:ascii="Arial" w:cs="Arial" w:eastAsia="Arial" w:hAnsi="Arial"/>
          <w:sz w:val="17"/>
          <w:szCs w:val="17"/>
          <w:color w:val="auto"/>
        </w:rPr>
      </w:pPr>
    </w:p>
    <w:p>
      <w:pPr>
        <w:ind w:left="540" w:hanging="424"/>
        <w:spacing w:after="0" w:line="290"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Return on Capital Investments and Cash Flow Generation. </w:t>
      </w:r>
      <w:r>
        <w:rPr>
          <w:rFonts w:ascii="Arial" w:cs="Arial" w:eastAsia="Arial" w:hAnsi="Arial"/>
          <w:sz w:val="16"/>
          <w:szCs w:val="16"/>
          <w:color w:val="auto"/>
        </w:rPr>
        <w:t>We manufacture most of our Display Solutions products at external foundries.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a strategic cooperation with external foundries, we are able to adapt dynamically to changing customer requirements and address growing markets without substantial capital investments. We manufacture our Power Solutions products by utilizing our in-house manufacturing facility and external foundry to address a broad portfolio of power products while we seek to maximize return on capital investments and our cash flow generation. We intend to keep our capital expenditures relatively low by maintaining our focus on specialty process technologies that do not require substantial investment in frequent upgrades to the latest manufacturing equipment. However, from time to time, we make special investments to enhance our manufacturing capabilities by investing in new equipment and expanding our facility, which we expect will have a positive impact on our future new product development and revenue, particularly during the period of global shortage of capacity.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continuously strengthen our advanced analog and mixed-signal semiconductor technology platform by developing innovative technologies and integrated circuit building blocks that enhance the functionality of electronics devices through brighter, thinner displays, enhanced image quality, smaller form factor and longer battery life.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display technology portfolio includes building blocks for display drivers and timing controllers, processor and interface technologies, as well as sophisticated production techniques, such as chip-on-glass (COG), chip-on-film (COF) and chip-on-plastic (COP) for rigid and flexible OLED displays. Our advanced display drivers incorporate Oxide, Low-Temperature Polycrystalline Oxide (LTPO) OLED panel technologies that enable the highest resolution displays. Furthermore, we are developing a broad intellectual property portfolio to improve the quality and the power efficiency of displays, including the development of our high speed interface, high quality image enhancement display data compression and optical compensation technology for OLED displays.</w:t>
      </w:r>
    </w:p>
    <w:p>
      <w:pPr>
        <w:spacing w:after="0" w:line="19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Expertise in ultra-high voltage (UHV), high voltage and deep trench BCDMOS process technologies, low power analog and mixed-signal design capabilities and packaging know-how are key requirements in the power management market. We are currently leveraging our capabilities in these areas with products such as AC-DC/DC-DC converters, LED drivers, regulators, power management integrated circuits (PMICs), power MOSFETs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and IGBTs. We believe our system-level understanding of applications such as LCD televisions, smartphones, computing, and servers, automotive, and industrial applications will allow us to more quickly develop and customize power management solutions for our customers in these markets.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Products by Business Line</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broad portfolio of products addresses multiple high-growth, consumer-focused end markets. A key component of our product strategy is to supply multiple related product offerings to each of the end markets that we serve.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Display Solutions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Display Driver Characteristics. </w:t>
      </w:r>
      <w:r>
        <w:rPr>
          <w:rFonts w:ascii="Arial" w:cs="Arial" w:eastAsia="Arial" w:hAnsi="Arial"/>
          <w:sz w:val="16"/>
          <w:szCs w:val="16"/>
          <w:color w:val="auto"/>
        </w:rPr>
        <w:t>Display drivers deliver defined analog voltages and currents that activate pixels to exhibit images on displays.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key characteristics determine display driver performance and end-market application:</w:t>
      </w:r>
    </w:p>
    <w:p>
      <w:pPr>
        <w:spacing w:after="0" w:line="116" w:lineRule="exact"/>
        <w:rPr>
          <w:sz w:val="20"/>
          <w:szCs w:val="20"/>
          <w:color w:val="auto"/>
        </w:rPr>
      </w:pPr>
    </w:p>
    <w:p>
      <w:pPr>
        <w:ind w:left="540" w:right="60" w:hanging="424"/>
        <w:spacing w:after="0" w:line="25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Resolution and Number of Channels. </w:t>
      </w:r>
      <w:r>
        <w:rPr>
          <w:rFonts w:ascii="Arial" w:cs="Arial" w:eastAsia="Arial" w:hAnsi="Arial"/>
          <w:sz w:val="18"/>
          <w:szCs w:val="18"/>
          <w:color w:val="auto"/>
        </w:rPr>
        <w:t>Resolution determines the level of detail displayed within an image and is defined by the number of pixels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line 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VGA (640 x 480) to UHD (3840 x 2160).</w:t>
      </w:r>
    </w:p>
    <w:p>
      <w:pPr>
        <w:spacing w:after="0" w:line="93" w:lineRule="exact"/>
        <w:rPr>
          <w:rFonts w:ascii="Arial" w:cs="Arial" w:eastAsia="Arial" w:hAnsi="Arial"/>
          <w:sz w:val="18"/>
          <w:szCs w:val="18"/>
          <w:color w:val="auto"/>
        </w:rPr>
      </w:pPr>
    </w:p>
    <w:p>
      <w:pPr>
        <w:ind w:left="540" w:right="300" w:hanging="424"/>
        <w:spacing w:after="0" w:line="26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Color Depth. </w:t>
      </w:r>
      <w:r>
        <w:rPr>
          <w:rFonts w:ascii="Arial" w:cs="Arial" w:eastAsia="Arial" w:hAnsi="Arial"/>
          <w:sz w:val="18"/>
          <w:szCs w:val="18"/>
          <w:color w:val="auto"/>
        </w:rPr>
        <w:t>Color depth is the number of colors that can be displayed on a panel. For example, for TFT-LCD panels, 262 thousand colors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supported by 6-bit source drivers; 16 million colors are supported by 8-bit source drivers; and 1 billion colors are supported by 10-bit source drivers.</w:t>
      </w:r>
    </w:p>
    <w:p>
      <w:pPr>
        <w:spacing w:after="0" w:line="89" w:lineRule="exact"/>
        <w:rPr>
          <w:rFonts w:ascii="Arial" w:cs="Arial" w:eastAsia="Arial" w:hAnsi="Arial"/>
          <w:sz w:val="18"/>
          <w:szCs w:val="18"/>
          <w:color w:val="auto"/>
        </w:rPr>
      </w:pPr>
    </w:p>
    <w:p>
      <w:pPr>
        <w:ind w:left="540" w:right="100" w:hanging="424"/>
        <w:spacing w:after="0" w:line="286"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Operational Voltage. </w:t>
      </w:r>
      <w:r>
        <w:rPr>
          <w:rFonts w:ascii="Arial" w:cs="Arial" w:eastAsia="Arial" w:hAnsi="Arial"/>
          <w:sz w:val="17"/>
          <w:szCs w:val="17"/>
          <w:color w:val="auto"/>
        </w:rPr>
        <w:t>Display drivers are characterized by input and output voltages. Source drivers typically operate at input voltages from 1.62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3.6 volts and output voltages between 9 and 18 volts. Gate drivers typically operate at input voltages from 1.62 to 3.6 volts and output voltages from 30 to 45 volts. Lower input voltage results in lower power consumption and electromagnetic interference (EMI).</w:t>
      </w:r>
    </w:p>
    <w:p>
      <w:pPr>
        <w:spacing w:after="0" w:line="70" w:lineRule="exact"/>
        <w:rPr>
          <w:rFonts w:ascii="Arial" w:cs="Arial" w:eastAsia="Arial" w:hAnsi="Arial"/>
          <w:sz w:val="17"/>
          <w:szCs w:val="17"/>
          <w:color w:val="auto"/>
        </w:rPr>
      </w:pPr>
    </w:p>
    <w:p>
      <w:pPr>
        <w:jc w:val="both"/>
        <w:ind w:left="540" w:hanging="424"/>
        <w:spacing w:after="0" w:line="311"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Gamma Curve. </w:t>
      </w:r>
      <w:r>
        <w:rPr>
          <w:rFonts w:ascii="Arial" w:cs="Arial" w:eastAsia="Arial" w:hAnsi="Arial"/>
          <w:sz w:val="16"/>
          <w:szCs w:val="16"/>
          <w:color w:val="auto"/>
        </w:rPr>
        <w:t>The relationship between the light passing through a pixel and the voltage applied to the pixel by the source driver is referred to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gamma 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54" w:lineRule="exact"/>
        <w:rPr>
          <w:rFonts w:ascii="Arial" w:cs="Arial" w:eastAsia="Arial" w:hAnsi="Arial"/>
          <w:sz w:val="16"/>
          <w:szCs w:val="16"/>
          <w:color w:val="auto"/>
        </w:rPr>
      </w:pPr>
    </w:p>
    <w:p>
      <w:pPr>
        <w:ind w:left="540" w:hanging="424"/>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Driver Interface. </w:t>
      </w:r>
      <w:r>
        <w:rPr>
          <w:rFonts w:ascii="Arial" w:cs="Arial" w:eastAsia="Arial" w:hAnsi="Arial"/>
          <w:sz w:val="18"/>
          <w:szCs w:val="18"/>
          <w:color w:val="auto"/>
        </w:rPr>
        <w:t>Driver interface refers to the connection between the timing controller and the display drivers. Display drivers increasingly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 higher bandwidth interface technology to address the larger data transfer rate necessary for higher definition images. The principal types of interface technologies are embedded clock point to point interface (EPI), mini-low voltage differential signaling (m-LVDS), unified standard interface (USI) and mobile industry processor interface (MIPI).</w:t>
      </w:r>
    </w:p>
    <w:p>
      <w:pPr>
        <w:spacing w:after="0" w:line="92" w:lineRule="exact"/>
        <w:rPr>
          <w:rFonts w:ascii="Arial" w:cs="Arial" w:eastAsia="Arial" w:hAnsi="Arial"/>
          <w:sz w:val="18"/>
          <w:szCs w:val="18"/>
          <w:color w:val="auto"/>
        </w:rPr>
      </w:pP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Package Type. </w:t>
      </w:r>
      <w:r>
        <w:rPr>
          <w:rFonts w:ascii="Arial" w:cs="Arial" w:eastAsia="Arial" w:hAnsi="Arial"/>
          <w:sz w:val="18"/>
          <w:szCs w:val="18"/>
          <w:color w:val="auto"/>
        </w:rPr>
        <w:t>The assembly of display drivers typically uses COF, COG and COP package types.</w:t>
      </w:r>
    </w:p>
    <w:p>
      <w:pPr>
        <w:spacing w:after="0" w:line="130" w:lineRule="exact"/>
        <w:rPr>
          <w:rFonts w:ascii="Arial" w:cs="Arial" w:eastAsia="Arial" w:hAnsi="Arial"/>
          <w:sz w:val="18"/>
          <w:szCs w:val="18"/>
          <w:color w:val="auto"/>
        </w:rPr>
      </w:pPr>
    </w:p>
    <w:p>
      <w:pPr>
        <w:ind w:left="540" w:right="340" w:hanging="424"/>
        <w:spacing w:after="0" w:line="308"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Large Display Solutions. </w:t>
      </w:r>
      <w:r>
        <w:rPr>
          <w:rFonts w:ascii="Arial" w:cs="Arial" w:eastAsia="Arial" w:hAnsi="Arial"/>
          <w:sz w:val="17"/>
          <w:szCs w:val="17"/>
          <w:color w:val="auto"/>
        </w:rPr>
        <w:t>We provide display solutions for a wide range of flat panel display sizes used in LCD TVs, OLED TVs, Micro 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TVs as well as IT applications such as monitors, notebook PCs, tablet PCs, automotives and public information displays.</w:t>
      </w:r>
    </w:p>
    <w:p>
      <w:pPr>
        <w:spacing w:after="0" w:line="146" w:lineRule="exact"/>
        <w:rPr>
          <w:sz w:val="20"/>
          <w:szCs w:val="20"/>
          <w:color w:val="auto"/>
        </w:rPr>
      </w:pPr>
    </w:p>
    <w:p>
      <w:pPr>
        <w:jc w:val="both"/>
        <w:ind w:left="120" w:right="60" w:firstLine="440"/>
        <w:spacing w:after="0" w:line="257" w:lineRule="auto"/>
        <w:rPr>
          <w:sz w:val="20"/>
          <w:szCs w:val="20"/>
          <w:color w:val="auto"/>
        </w:rPr>
      </w:pPr>
      <w:r>
        <w:rPr>
          <w:rFonts w:ascii="Arial" w:cs="Arial" w:eastAsia="Arial" w:hAnsi="Arial"/>
          <w:sz w:val="18"/>
          <w:szCs w:val="18"/>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in mass production to provide up to 1,542 channels. Our large display solutions are designed to allow customers to cost-effectively meet the increasing demand for high resolution displays. We have focused extensively on reducing the die size of our large display drivers and other solutions products to reduce costs without having to migrate to smaller geometries. For example, we have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implemented several solutions to reduce die size in large display drivers, such as optimizing design schemes and design rules and applying specific technologies that we have developed internally. We are currently focusing on growing display segments such as OLED TVs and automotive. We have recently introduced a number of new display driver ICs for OLED TV and automotive.</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table below sets forth the features of our products, both in mass production and in customer qualification, which is the final stage of product development, for large-sized displays: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2"/>
          </w:tcPr>
          <w:p>
            <w:pPr>
              <w:ind w:left="1100"/>
              <w:spacing w:after="0"/>
              <w:rPr>
                <w:sz w:val="20"/>
                <w:szCs w:val="20"/>
                <w:color w:val="auto"/>
              </w:rPr>
            </w:pPr>
            <w:r>
              <w:rPr>
                <w:rFonts w:ascii="Arial" w:cs="Arial" w:eastAsia="Arial" w:hAnsi="Arial"/>
                <w:sz w:val="14"/>
                <w:szCs w:val="14"/>
                <w:b w:val="1"/>
                <w:bCs w:val="1"/>
                <w:color w:val="auto"/>
              </w:rPr>
              <w:t>Key Features</w:t>
            </w:r>
          </w:p>
        </w:tc>
        <w:tc>
          <w:tcPr>
            <w:tcW w:w="260" w:type="dxa"/>
            <w:vAlign w:val="bottom"/>
          </w:tcPr>
          <w:p>
            <w:pPr>
              <w:spacing w:after="0"/>
              <w:rPr>
                <w:sz w:val="16"/>
                <w:szCs w:val="16"/>
                <w:color w:val="auto"/>
              </w:rPr>
            </w:pPr>
          </w:p>
        </w:tc>
        <w:tc>
          <w:tcPr>
            <w:tcW w:w="3040" w:type="dxa"/>
            <w:vAlign w:val="bottom"/>
          </w:tcPr>
          <w:p>
            <w:pPr>
              <w:ind w:left="1000"/>
              <w:spacing w:after="0"/>
              <w:rPr>
                <w:sz w:val="20"/>
                <w:szCs w:val="20"/>
                <w:color w:val="auto"/>
              </w:rPr>
            </w:pPr>
            <w:r>
              <w:rPr>
                <w:rFonts w:ascii="Arial" w:cs="Arial" w:eastAsia="Arial" w:hAnsi="Arial"/>
                <w:sz w:val="14"/>
                <w:szCs w:val="14"/>
                <w:b w:val="1"/>
                <w:bCs w:val="1"/>
                <w:color w:val="auto"/>
              </w:rPr>
              <w:t>Applications</w:t>
            </w:r>
          </w:p>
        </w:tc>
      </w:tr>
      <w:tr>
        <w:trPr>
          <w:trHeight w:val="172"/>
        </w:trPr>
        <w:tc>
          <w:tcPr>
            <w:tcW w:w="4060" w:type="dxa"/>
            <w:vAlign w:val="bottom"/>
            <w:gridSpan w:val="2"/>
          </w:tcPr>
          <w:p>
            <w:pPr>
              <w:spacing w:after="0" w:line="172" w:lineRule="exact"/>
              <w:rPr>
                <w:sz w:val="20"/>
                <w:szCs w:val="20"/>
                <w:color w:val="auto"/>
              </w:rPr>
            </w:pPr>
            <w:r>
              <w:rPr>
                <w:rFonts w:ascii="Arial" w:cs="Arial" w:eastAsia="Arial" w:hAnsi="Arial"/>
                <w:sz w:val="17"/>
                <w:szCs w:val="17"/>
                <w:color w:val="auto"/>
              </w:rPr>
              <w:t>TFT-LCD Source Drivers</w:t>
            </w:r>
          </w:p>
        </w:tc>
        <w:tc>
          <w:tcPr>
            <w:tcW w:w="260" w:type="dxa"/>
            <w:vAlign w:val="bottom"/>
            <w:tcBorders>
              <w:top w:val="single" w:sz="8" w:color="auto"/>
            </w:tcBorders>
          </w:tcPr>
          <w:p>
            <w:pPr>
              <w:ind w:left="80"/>
              <w:spacing w:after="0" w:line="171" w:lineRule="exact"/>
              <w:rPr>
                <w:sz w:val="20"/>
                <w:szCs w:val="20"/>
                <w:color w:val="auto"/>
              </w:rPr>
            </w:pPr>
            <w:r>
              <w:rPr>
                <w:rFonts w:ascii="Arial" w:cs="Arial" w:eastAsia="Arial" w:hAnsi="Arial"/>
                <w:sz w:val="16"/>
                <w:szCs w:val="16"/>
                <w:color w:val="auto"/>
                <w:w w:val="73"/>
              </w:rPr>
              <w:t>• </w:t>
            </w:r>
          </w:p>
        </w:tc>
        <w:tc>
          <w:tcPr>
            <w:tcW w:w="3260" w:type="dxa"/>
            <w:vAlign w:val="bottom"/>
            <w:tcBorders>
              <w:top w:val="single" w:sz="8" w:color="auto"/>
            </w:tcBorders>
          </w:tcPr>
          <w:p>
            <w:pPr>
              <w:ind w:left="60"/>
              <w:spacing w:after="0" w:line="172" w:lineRule="exact"/>
              <w:rPr>
                <w:sz w:val="20"/>
                <w:szCs w:val="20"/>
                <w:color w:val="auto"/>
              </w:rPr>
            </w:pPr>
            <w:r>
              <w:rPr>
                <w:rFonts w:ascii="Arial" w:cs="Arial" w:eastAsia="Arial" w:hAnsi="Arial"/>
                <w:sz w:val="17"/>
                <w:szCs w:val="17"/>
                <w:color w:val="auto"/>
              </w:rPr>
              <w:t> 480 to 1,542 output channels</w:t>
            </w:r>
          </w:p>
        </w:tc>
        <w:tc>
          <w:tcPr>
            <w:tcW w:w="140" w:type="dxa"/>
            <w:vAlign w:val="bottom"/>
          </w:tcPr>
          <w:p>
            <w:pPr>
              <w:spacing w:after="0"/>
              <w:rPr>
                <w:sz w:val="14"/>
                <w:szCs w:val="14"/>
                <w:color w:val="auto"/>
              </w:rPr>
            </w:pPr>
          </w:p>
        </w:tc>
        <w:tc>
          <w:tcPr>
            <w:tcW w:w="260" w:type="dxa"/>
            <w:vAlign w:val="bottom"/>
            <w:tcBorders>
              <w:top w:val="single" w:sz="8" w:color="auto"/>
            </w:tcBorders>
          </w:tcPr>
          <w:p>
            <w:pPr>
              <w:ind w:left="80"/>
              <w:spacing w:after="0" w:line="171" w:lineRule="exact"/>
              <w:rPr>
                <w:sz w:val="20"/>
                <w:szCs w:val="20"/>
                <w:color w:val="auto"/>
              </w:rPr>
            </w:pPr>
            <w:r>
              <w:rPr>
                <w:rFonts w:ascii="Arial" w:cs="Arial" w:eastAsia="Arial" w:hAnsi="Arial"/>
                <w:sz w:val="16"/>
                <w:szCs w:val="16"/>
                <w:color w:val="auto"/>
                <w:w w:val="73"/>
              </w:rPr>
              <w:t>• </w:t>
            </w:r>
          </w:p>
        </w:tc>
        <w:tc>
          <w:tcPr>
            <w:tcW w:w="3040" w:type="dxa"/>
            <w:vAlign w:val="bottom"/>
            <w:tcBorders>
              <w:top w:val="single" w:sz="8" w:color="auto"/>
            </w:tcBorders>
          </w:tcPr>
          <w:p>
            <w:pPr>
              <w:ind w:left="60"/>
              <w:spacing w:after="0" w:line="172" w:lineRule="exact"/>
              <w:rPr>
                <w:sz w:val="20"/>
                <w:szCs w:val="20"/>
                <w:color w:val="auto"/>
              </w:rPr>
            </w:pPr>
            <w:r>
              <w:rPr>
                <w:rFonts w:ascii="Arial" w:cs="Arial" w:eastAsia="Arial" w:hAnsi="Arial"/>
                <w:sz w:val="17"/>
                <w:szCs w:val="17"/>
                <w:color w:val="auto"/>
              </w:rPr>
              <w:t> LCD/LED TVs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 6-bit (262 thousand colors), 8-bit (16 million</w:t>
            </w: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040" w:type="dxa"/>
            <w:vAlign w:val="bottom"/>
          </w:tcPr>
          <w:p>
            <w:pPr>
              <w:ind w:left="60"/>
              <w:spacing w:after="0"/>
              <w:rPr>
                <w:sz w:val="20"/>
                <w:szCs w:val="20"/>
                <w:color w:val="auto"/>
              </w:rPr>
            </w:pPr>
            <w:r>
              <w:rPr>
                <w:rFonts w:ascii="Arial" w:cs="Arial" w:eastAsia="Arial" w:hAnsi="Arial"/>
                <w:sz w:val="17"/>
                <w:szCs w:val="17"/>
                <w:color w:val="auto"/>
              </w:rPr>
              <w:t> Notebooks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2"/>
          </w:tcPr>
          <w:p>
            <w:pPr>
              <w:ind w:left="80"/>
              <w:spacing w:after="0"/>
              <w:rPr>
                <w:sz w:val="20"/>
                <w:szCs w:val="20"/>
                <w:color w:val="auto"/>
              </w:rPr>
            </w:pPr>
            <w:r>
              <w:rPr>
                <w:rFonts w:ascii="Arial" w:cs="Arial" w:eastAsia="Arial" w:hAnsi="Arial"/>
                <w:sz w:val="17"/>
                <w:szCs w:val="17"/>
                <w:color w:val="auto"/>
              </w:rPr>
              <w:t>colors), 10-bit (1 billion colors)</w:t>
            </w: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040" w:type="dxa"/>
            <w:vAlign w:val="bottom"/>
          </w:tcPr>
          <w:p>
            <w:pPr>
              <w:ind w:left="60"/>
              <w:spacing w:after="0"/>
              <w:rPr>
                <w:sz w:val="20"/>
                <w:szCs w:val="20"/>
                <w:color w:val="auto"/>
              </w:rPr>
            </w:pPr>
            <w:r>
              <w:rPr>
                <w:rFonts w:ascii="Arial" w:cs="Arial" w:eastAsia="Arial" w:hAnsi="Arial"/>
                <w:sz w:val="17"/>
                <w:szCs w:val="17"/>
                <w:color w:val="auto"/>
              </w:rPr>
              <w:t> LCD/LED monitors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 Output voltage ranging from 9V to 18V</w:t>
            </w: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040" w:type="dxa"/>
            <w:vAlign w:val="bottom"/>
          </w:tcPr>
          <w:p>
            <w:pPr>
              <w:ind w:left="60"/>
              <w:spacing w:after="0"/>
              <w:rPr>
                <w:sz w:val="20"/>
                <w:szCs w:val="20"/>
                <w:color w:val="auto"/>
              </w:rPr>
            </w:pPr>
            <w:r>
              <w:rPr>
                <w:rFonts w:ascii="Arial" w:cs="Arial" w:eastAsia="Arial" w:hAnsi="Arial"/>
                <w:sz w:val="17"/>
                <w:szCs w:val="17"/>
                <w:color w:val="auto"/>
              </w:rPr>
              <w:t> Automotive</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 Low power consumption and low EMI</w:t>
            </w:r>
          </w:p>
        </w:tc>
        <w:tc>
          <w:tcPr>
            <w:tcW w:w="2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 COF package types</w:t>
            </w:r>
          </w:p>
        </w:tc>
        <w:tc>
          <w:tcPr>
            <w:tcW w:w="2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 EPI, m-LVDS, USI interface technologies</w:t>
            </w:r>
          </w:p>
        </w:tc>
        <w:tc>
          <w:tcPr>
            <w:tcW w:w="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310"/>
        </w:trPr>
        <w:tc>
          <w:tcPr>
            <w:tcW w:w="4060" w:type="dxa"/>
            <w:vAlign w:val="bottom"/>
            <w:gridSpan w:val="2"/>
          </w:tcPr>
          <w:p>
            <w:pPr>
              <w:spacing w:after="0"/>
              <w:rPr>
                <w:sz w:val="20"/>
                <w:szCs w:val="20"/>
                <w:color w:val="auto"/>
              </w:rPr>
            </w:pPr>
            <w:r>
              <w:rPr>
                <w:rFonts w:ascii="Arial" w:cs="Arial" w:eastAsia="Arial" w:hAnsi="Arial"/>
                <w:sz w:val="17"/>
                <w:szCs w:val="17"/>
                <w:color w:val="auto"/>
              </w:rPr>
              <w:t>TFT-LCD Gate Drivers</w:t>
            </w: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 272 to 960 output channels</w:t>
            </w: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040" w:type="dxa"/>
            <w:vAlign w:val="bottom"/>
          </w:tcPr>
          <w:p>
            <w:pPr>
              <w:ind w:left="60"/>
              <w:spacing w:after="0"/>
              <w:rPr>
                <w:sz w:val="20"/>
                <w:szCs w:val="20"/>
                <w:color w:val="auto"/>
              </w:rPr>
            </w:pPr>
            <w:r>
              <w:rPr>
                <w:rFonts w:ascii="Arial" w:cs="Arial" w:eastAsia="Arial" w:hAnsi="Arial"/>
                <w:sz w:val="17"/>
                <w:szCs w:val="17"/>
                <w:color w:val="auto"/>
              </w:rPr>
              <w:t> Tablet PCs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 Output voltage ranging from 30V to 45V</w:t>
            </w: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040" w:type="dxa"/>
            <w:vAlign w:val="bottom"/>
          </w:tcPr>
          <w:p>
            <w:pPr>
              <w:ind w:left="60"/>
              <w:spacing w:after="0"/>
              <w:rPr>
                <w:sz w:val="20"/>
                <w:szCs w:val="20"/>
                <w:color w:val="auto"/>
              </w:rPr>
            </w:pPr>
            <w:r>
              <w:rPr>
                <w:rFonts w:ascii="Arial" w:cs="Arial" w:eastAsia="Arial" w:hAnsi="Arial"/>
                <w:sz w:val="17"/>
                <w:szCs w:val="17"/>
                <w:color w:val="auto"/>
              </w:rPr>
              <w:t> LCD/LED TVs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 COF and COG package types</w:t>
            </w: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040" w:type="dxa"/>
            <w:vAlign w:val="bottom"/>
          </w:tcPr>
          <w:p>
            <w:pPr>
              <w:ind w:left="60"/>
              <w:spacing w:after="0"/>
              <w:rPr>
                <w:sz w:val="20"/>
                <w:szCs w:val="20"/>
                <w:color w:val="auto"/>
              </w:rPr>
            </w:pPr>
            <w:r>
              <w:rPr>
                <w:rFonts w:ascii="Arial" w:cs="Arial" w:eastAsia="Arial" w:hAnsi="Arial"/>
                <w:sz w:val="17"/>
                <w:szCs w:val="17"/>
                <w:color w:val="auto"/>
              </w:rPr>
              <w:t> Notebooks</w:t>
            </w: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040" w:type="dxa"/>
            <w:vAlign w:val="bottom"/>
          </w:tcPr>
          <w:p>
            <w:pPr>
              <w:ind w:left="60"/>
              <w:spacing w:after="0"/>
              <w:rPr>
                <w:sz w:val="20"/>
                <w:szCs w:val="20"/>
                <w:color w:val="auto"/>
              </w:rPr>
            </w:pPr>
            <w:r>
              <w:rPr>
                <w:rFonts w:ascii="Arial" w:cs="Arial" w:eastAsia="Arial" w:hAnsi="Arial"/>
                <w:sz w:val="17"/>
                <w:szCs w:val="17"/>
                <w:color w:val="auto"/>
              </w:rPr>
              <w:t> Automotive</w:t>
            </w:r>
          </w:p>
        </w:tc>
      </w:tr>
      <w:tr>
        <w:trPr>
          <w:trHeight w:val="310"/>
        </w:trPr>
        <w:tc>
          <w:tcPr>
            <w:tcW w:w="4060" w:type="dxa"/>
            <w:vAlign w:val="bottom"/>
            <w:gridSpan w:val="2"/>
          </w:tcPr>
          <w:p>
            <w:pPr>
              <w:spacing w:after="0"/>
              <w:rPr>
                <w:sz w:val="20"/>
                <w:szCs w:val="20"/>
                <w:color w:val="auto"/>
              </w:rPr>
            </w:pPr>
            <w:r>
              <w:rPr>
                <w:rFonts w:ascii="Arial" w:cs="Arial" w:eastAsia="Arial" w:hAnsi="Arial"/>
                <w:sz w:val="17"/>
                <w:szCs w:val="17"/>
                <w:color w:val="auto"/>
              </w:rPr>
              <w:t>Timing Controllers</w:t>
            </w: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 Wide range of resolutions</w:t>
            </w: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040" w:type="dxa"/>
            <w:vAlign w:val="bottom"/>
          </w:tcPr>
          <w:p>
            <w:pPr>
              <w:ind w:left="60"/>
              <w:spacing w:after="0"/>
              <w:rPr>
                <w:sz w:val="20"/>
                <w:szCs w:val="20"/>
                <w:color w:val="auto"/>
              </w:rPr>
            </w:pPr>
            <w:r>
              <w:rPr>
                <w:rFonts w:ascii="Arial" w:cs="Arial" w:eastAsia="Arial" w:hAnsi="Arial"/>
                <w:sz w:val="17"/>
                <w:szCs w:val="17"/>
                <w:color w:val="auto"/>
              </w:rPr>
              <w:t> Tablet PCs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 EPI, m-LVDS, MIPI, USI-T interface</w:t>
            </w: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040" w:type="dxa"/>
            <w:vAlign w:val="bottom"/>
          </w:tcPr>
          <w:p>
            <w:pPr>
              <w:ind w:left="60"/>
              <w:spacing w:after="0"/>
              <w:rPr>
                <w:sz w:val="20"/>
                <w:szCs w:val="20"/>
                <w:color w:val="auto"/>
              </w:rPr>
            </w:pPr>
            <w:r>
              <w:rPr>
                <w:rFonts w:ascii="Arial" w:cs="Arial" w:eastAsia="Arial" w:hAnsi="Arial"/>
                <w:sz w:val="17"/>
                <w:szCs w:val="17"/>
                <w:color w:val="auto"/>
              </w:rPr>
              <w:t> Public information display</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2"/>
          </w:tcPr>
          <w:p>
            <w:pPr>
              <w:ind w:left="80"/>
              <w:spacing w:after="0"/>
              <w:rPr>
                <w:sz w:val="20"/>
                <w:szCs w:val="20"/>
                <w:color w:val="auto"/>
              </w:rPr>
            </w:pPr>
            <w:r>
              <w:rPr>
                <w:rFonts w:ascii="Arial" w:cs="Arial" w:eastAsia="Arial" w:hAnsi="Arial"/>
                <w:sz w:val="17"/>
                <w:szCs w:val="17"/>
                <w:color w:val="auto"/>
              </w:rPr>
              <w:t>technologies</w:t>
            </w:r>
          </w:p>
        </w:tc>
        <w:tc>
          <w:tcPr>
            <w:tcW w:w="2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 Input voltage ranging from 1.6V to 3.6V</w:t>
            </w:r>
          </w:p>
        </w:tc>
        <w:tc>
          <w:tcPr>
            <w:tcW w:w="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310"/>
        </w:trPr>
        <w:tc>
          <w:tcPr>
            <w:tcW w:w="4060" w:type="dxa"/>
            <w:vAlign w:val="bottom"/>
            <w:gridSpan w:val="2"/>
          </w:tcPr>
          <w:p>
            <w:pPr>
              <w:spacing w:after="0"/>
              <w:rPr>
                <w:sz w:val="20"/>
                <w:szCs w:val="20"/>
                <w:color w:val="auto"/>
              </w:rPr>
            </w:pPr>
            <w:r>
              <w:rPr>
                <w:rFonts w:ascii="Arial" w:cs="Arial" w:eastAsia="Arial" w:hAnsi="Arial"/>
                <w:sz w:val="17"/>
                <w:szCs w:val="17"/>
                <w:color w:val="auto"/>
              </w:rPr>
              <w:t>OLED Source Drivers</w:t>
            </w: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 960 output channels</w:t>
            </w: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040" w:type="dxa"/>
            <w:vAlign w:val="bottom"/>
          </w:tcPr>
          <w:p>
            <w:pPr>
              <w:ind w:left="60"/>
              <w:spacing w:after="0"/>
              <w:rPr>
                <w:sz w:val="20"/>
                <w:szCs w:val="20"/>
                <w:color w:val="auto"/>
              </w:rPr>
            </w:pPr>
            <w:r>
              <w:rPr>
                <w:rFonts w:ascii="Arial" w:cs="Arial" w:eastAsia="Arial" w:hAnsi="Arial"/>
                <w:sz w:val="17"/>
                <w:szCs w:val="17"/>
                <w:color w:val="auto"/>
              </w:rPr>
              <w:t> OLED TVs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 10 bit (1 billion colors)</w:t>
            </w:r>
          </w:p>
        </w:tc>
        <w:tc>
          <w:tcPr>
            <w:tcW w:w="2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02"/>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 Output voltage: 18V</w:t>
            </w:r>
          </w:p>
        </w:tc>
        <w:tc>
          <w:tcPr>
            <w:tcW w:w="2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 COF package type</w:t>
            </w:r>
          </w:p>
        </w:tc>
        <w:tc>
          <w:tcPr>
            <w:tcW w:w="2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 EPI interface technology</w:t>
            </w:r>
          </w:p>
        </w:tc>
        <w:tc>
          <w:tcPr>
            <w:tcW w:w="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310"/>
        </w:trPr>
        <w:tc>
          <w:tcPr>
            <w:tcW w:w="4060" w:type="dxa"/>
            <w:vAlign w:val="bottom"/>
            <w:gridSpan w:val="2"/>
          </w:tcPr>
          <w:p>
            <w:pPr>
              <w:spacing w:after="0"/>
              <w:rPr>
                <w:sz w:val="20"/>
                <w:szCs w:val="20"/>
                <w:color w:val="auto"/>
              </w:rPr>
            </w:pPr>
            <w:r>
              <w:rPr>
                <w:rFonts w:ascii="Arial" w:cs="Arial" w:eastAsia="Arial" w:hAnsi="Arial"/>
                <w:sz w:val="17"/>
                <w:szCs w:val="17"/>
                <w:color w:val="auto"/>
              </w:rPr>
              <w:t>Micro LED Drivers*</w:t>
            </w: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 552 output channels (3 Mux)</w:t>
            </w: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040" w:type="dxa"/>
            <w:vAlign w:val="bottom"/>
          </w:tcPr>
          <w:p>
            <w:pPr>
              <w:ind w:left="60"/>
              <w:spacing w:after="0"/>
              <w:rPr>
                <w:sz w:val="20"/>
                <w:szCs w:val="20"/>
                <w:color w:val="auto"/>
              </w:rPr>
            </w:pPr>
            <w:r>
              <w:rPr>
                <w:rFonts w:ascii="Arial" w:cs="Arial" w:eastAsia="Arial" w:hAnsi="Arial"/>
                <w:sz w:val="17"/>
                <w:szCs w:val="17"/>
                <w:color w:val="auto"/>
              </w:rPr>
              <w:t> Micro LED TVs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 10 bit (1 billion colors)</w:t>
            </w:r>
          </w:p>
        </w:tc>
        <w:tc>
          <w:tcPr>
            <w:tcW w:w="2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02"/>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 Output voltage: max 18V</w:t>
            </w:r>
          </w:p>
        </w:tc>
        <w:tc>
          <w:tcPr>
            <w:tcW w:w="2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 COF package type</w:t>
            </w:r>
          </w:p>
        </w:tc>
        <w:tc>
          <w:tcPr>
            <w:tcW w:w="2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3400" w:type="dxa"/>
            <w:vAlign w:val="bottom"/>
            <w:gridSpan w:val="2"/>
          </w:tcPr>
          <w:p>
            <w:pPr>
              <w:ind w:left="60"/>
              <w:spacing w:after="0"/>
              <w:rPr>
                <w:sz w:val="20"/>
                <w:szCs w:val="20"/>
                <w:color w:val="auto"/>
              </w:rPr>
            </w:pPr>
            <w:r>
              <w:rPr>
                <w:rFonts w:ascii="Arial" w:cs="Arial" w:eastAsia="Arial" w:hAnsi="Arial"/>
                <w:sz w:val="17"/>
                <w:szCs w:val="17"/>
                <w:color w:val="auto"/>
              </w:rPr>
              <w:t> USI interface technology</w:t>
            </w:r>
          </w:p>
        </w:tc>
        <w:tc>
          <w:tcPr>
            <w:tcW w:w="260" w:type="dxa"/>
            <w:vAlign w:val="bottom"/>
          </w:tcPr>
          <w:p>
            <w:pPr>
              <w:spacing w:after="0"/>
              <w:rPr>
                <w:sz w:val="18"/>
                <w:szCs w:val="18"/>
                <w:color w:val="auto"/>
              </w:rPr>
            </w:pPr>
          </w:p>
        </w:tc>
        <w:tc>
          <w:tcPr>
            <w:tcW w:w="30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 customer qualification stage</w:t>
      </w:r>
    </w:p>
    <w:p>
      <w:pPr>
        <w:spacing w:after="0" w:line="22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b w:val="1"/>
          <w:bCs w:val="1"/>
          <w:i w:val="1"/>
          <w:iCs w:val="1"/>
          <w:color w:val="auto"/>
        </w:rPr>
        <w:t xml:space="preserve">Mobile Display Solutions. </w:t>
      </w:r>
      <w:r>
        <w:rPr>
          <w:rFonts w:ascii="Arial" w:cs="Arial" w:eastAsia="Arial" w:hAnsi="Arial"/>
          <w:sz w:val="17"/>
          <w:szCs w:val="17"/>
          <w:color w:val="auto"/>
        </w:rPr>
        <w:t>Our mobile display solutions incorporate the industry’s most advanced display technologies, such as OLED and LTPS,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well as high-volume technologies such as a-Si TFT. Our mobile display products offer specialized capabilities, including high speed serial interfaces, such as mobile display digital interface (MDDI), MIPI, reduced swing differential signaling interface (RSDS) and logic-based OTP memory. We focus extensively on reducing the die size of our mobile display drivers and other solutions products to reduce costs. For example, we have implemented several solutions to reduce die size in mobile display drivers, such as optimizing design schemes and design rules and applying specific technologies that we have developed internally. Further, we are building a distinctive intellectual property portfolio that allows us to provide features that reduce power consumption, such as CABC and ACL. This intellectual property portfolio</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will also support our power management product development initiatives, as we leverage our system level understanding of power efficiency. Our OLED driver ICs can support various configurations such as high resolution from FHD+(2,880x1,284) to QHD+(3,360x1,440), wide aspect ratio from 16:9 to 21:9 and rigid and flexible OLED displays. In the transition to, and adoption of, 5G, fast responses and high frame rates such as 90Hz, 120Hz and 144Hz are becoming essential product offerings. To meet this new and evolving demand, we have developed and mass produced our OLED display driver IC, which supports 90Hz/120Hz/144Hz high frame rates.</w:t>
      </w:r>
    </w:p>
    <w:p>
      <w:pPr>
        <w:spacing w:after="0" w:line="176"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summarizes the features of our products, both in mass production and in customer qualification, which is the final stage of product development, for mobile displays: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3740" w:type="dxa"/>
            <w:vAlign w:val="bottom"/>
            <w:gridSpan w:val="2"/>
          </w:tcPr>
          <w:p>
            <w:pPr>
              <w:ind w:left="1360"/>
              <w:spacing w:after="0"/>
              <w:rPr>
                <w:sz w:val="20"/>
                <w:szCs w:val="20"/>
                <w:color w:val="auto"/>
              </w:rPr>
            </w:pPr>
            <w:r>
              <w:rPr>
                <w:rFonts w:ascii="Arial" w:cs="Arial" w:eastAsia="Arial" w:hAnsi="Arial"/>
                <w:sz w:val="14"/>
                <w:szCs w:val="14"/>
                <w:b w:val="1"/>
                <w:bCs w:val="1"/>
                <w:color w:val="auto"/>
              </w:rPr>
              <w:t>Key Features</w:t>
            </w:r>
          </w:p>
        </w:tc>
        <w:tc>
          <w:tcPr>
            <w:tcW w:w="3200" w:type="dxa"/>
            <w:vAlign w:val="bottom"/>
          </w:tcPr>
          <w:p>
            <w:pPr>
              <w:ind w:left="1220"/>
              <w:spacing w:after="0"/>
              <w:rPr>
                <w:sz w:val="20"/>
                <w:szCs w:val="20"/>
                <w:color w:val="auto"/>
              </w:rPr>
            </w:pPr>
            <w:r>
              <w:rPr>
                <w:rFonts w:ascii="Arial" w:cs="Arial" w:eastAsia="Arial" w:hAnsi="Arial"/>
                <w:sz w:val="14"/>
                <w:szCs w:val="14"/>
                <w:b w:val="1"/>
                <w:bCs w:val="1"/>
                <w:color w:val="auto"/>
              </w:rPr>
              <w:t>Applications</w:t>
            </w:r>
          </w:p>
        </w:tc>
      </w:tr>
      <w:tr>
        <w:trPr>
          <w:trHeight w:val="189"/>
        </w:trPr>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OLED</w:t>
            </w:r>
          </w:p>
        </w:tc>
        <w:tc>
          <w:tcPr>
            <w:tcW w:w="7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520" w:type="dxa"/>
            <w:vAlign w:val="bottom"/>
            <w:tcBorders>
              <w:top w:val="single" w:sz="8" w:color="auto"/>
            </w:tcBorders>
          </w:tcPr>
          <w:p>
            <w:pPr>
              <w:ind w:left="100"/>
              <w:spacing w:after="0" w:line="189" w:lineRule="exact"/>
              <w:rPr>
                <w:sz w:val="20"/>
                <w:szCs w:val="20"/>
                <w:color w:val="auto"/>
              </w:rPr>
            </w:pPr>
            <w:r>
              <w:rPr>
                <w:rFonts w:ascii="Arial" w:cs="Arial" w:eastAsia="Arial" w:hAnsi="Arial"/>
                <w:sz w:val="18"/>
                <w:szCs w:val="18"/>
                <w:color w:val="auto"/>
              </w:rPr>
              <w:t>•   Resolutions of HD720, WXGA, FHD,</w:t>
            </w:r>
          </w:p>
        </w:tc>
        <w:tc>
          <w:tcPr>
            <w:tcW w:w="220" w:type="dxa"/>
            <w:vAlign w:val="bottom"/>
          </w:tcPr>
          <w:p>
            <w:pPr>
              <w:spacing w:after="0"/>
              <w:rPr>
                <w:sz w:val="16"/>
                <w:szCs w:val="16"/>
                <w:color w:val="auto"/>
              </w:rPr>
            </w:pPr>
          </w:p>
        </w:tc>
        <w:tc>
          <w:tcPr>
            <w:tcW w:w="3200" w:type="dxa"/>
            <w:vAlign w:val="bottom"/>
            <w:tcBorders>
              <w:top w:val="single" w:sz="8" w:color="auto"/>
            </w:tcBorders>
          </w:tcPr>
          <w:p>
            <w:pPr>
              <w:ind w:left="100"/>
              <w:spacing w:after="0" w:line="189" w:lineRule="exact"/>
              <w:rPr>
                <w:sz w:val="20"/>
                <w:szCs w:val="20"/>
                <w:color w:val="auto"/>
              </w:rPr>
            </w:pPr>
            <w:r>
              <w:rPr>
                <w:rFonts w:ascii="Arial" w:cs="Arial" w:eastAsia="Arial" w:hAnsi="Arial"/>
                <w:sz w:val="18"/>
                <w:szCs w:val="18"/>
                <w:color w:val="auto"/>
              </w:rPr>
              <w:t>•   Smartphones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280"/>
              <w:spacing w:after="0"/>
              <w:rPr>
                <w:sz w:val="20"/>
                <w:szCs w:val="20"/>
                <w:color w:val="auto"/>
              </w:rPr>
            </w:pPr>
            <w:r>
              <w:rPr>
                <w:rFonts w:ascii="Arial" w:cs="Arial" w:eastAsia="Arial" w:hAnsi="Arial"/>
                <w:sz w:val="18"/>
                <w:szCs w:val="18"/>
                <w:color w:val="auto"/>
              </w:rPr>
              <w:t>FHD+, QHD and QHD+</w:t>
            </w:r>
          </w:p>
        </w:tc>
        <w:tc>
          <w:tcPr>
            <w:tcW w:w="3200" w:type="dxa"/>
            <w:vAlign w:val="bottom"/>
          </w:tcPr>
          <w:p>
            <w:pPr>
              <w:ind w:left="100"/>
              <w:spacing w:after="0"/>
              <w:rPr>
                <w:sz w:val="20"/>
                <w:szCs w:val="20"/>
                <w:color w:val="auto"/>
              </w:rPr>
            </w:pPr>
            <w:r>
              <w:rPr>
                <w:rFonts w:ascii="Arial" w:cs="Arial" w:eastAsia="Arial" w:hAnsi="Arial"/>
                <w:sz w:val="18"/>
                <w:szCs w:val="18"/>
                <w:color w:val="auto"/>
              </w:rPr>
              <w:t>•   Game consoles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 Aspect ratio from 16:9 to 21:9</w:t>
            </w:r>
          </w:p>
        </w:tc>
        <w:tc>
          <w:tcPr>
            <w:tcW w:w="3200" w:type="dxa"/>
            <w:vAlign w:val="bottom"/>
          </w:tcPr>
          <w:p>
            <w:pPr>
              <w:ind w:left="100"/>
              <w:spacing w:after="0"/>
              <w:rPr>
                <w:sz w:val="20"/>
                <w:szCs w:val="20"/>
                <w:color w:val="auto"/>
              </w:rPr>
            </w:pPr>
            <w:r>
              <w:rPr>
                <w:rFonts w:ascii="Arial" w:cs="Arial" w:eastAsia="Arial" w:hAnsi="Arial"/>
                <w:sz w:val="18"/>
                <w:szCs w:val="18"/>
                <w:color w:val="auto"/>
              </w:rPr>
              <w:t>•   Digital still cameras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 Color depth of 1 billion</w:t>
            </w:r>
          </w:p>
        </w:tc>
        <w:tc>
          <w:tcPr>
            <w:tcW w:w="3200" w:type="dxa"/>
            <w:vAlign w:val="bottom"/>
          </w:tcPr>
          <w:p>
            <w:pPr>
              <w:ind w:left="100"/>
              <w:spacing w:after="0"/>
              <w:rPr>
                <w:sz w:val="20"/>
                <w:szCs w:val="20"/>
                <w:color w:val="auto"/>
              </w:rPr>
            </w:pPr>
            <w:r>
              <w:rPr>
                <w:rFonts w:ascii="Arial" w:cs="Arial" w:eastAsia="Arial" w:hAnsi="Arial"/>
                <w:sz w:val="18"/>
                <w:szCs w:val="18"/>
                <w:color w:val="auto"/>
              </w:rPr>
              <w:t>•   Tablet PCs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 MIPI, eRVDS interface</w:t>
            </w:r>
          </w:p>
        </w:tc>
        <w:tc>
          <w:tcPr>
            <w:tcW w:w="3200" w:type="dxa"/>
            <w:vAlign w:val="bottom"/>
          </w:tcPr>
          <w:p>
            <w:pPr>
              <w:ind w:left="100"/>
              <w:spacing w:after="0"/>
              <w:rPr>
                <w:sz w:val="20"/>
                <w:szCs w:val="20"/>
                <w:color w:val="auto"/>
              </w:rPr>
            </w:pPr>
            <w:r>
              <w:rPr>
                <w:rFonts w:ascii="Arial" w:cs="Arial" w:eastAsia="Arial" w:hAnsi="Arial"/>
                <w:sz w:val="18"/>
                <w:szCs w:val="18"/>
                <w:color w:val="auto"/>
              </w:rPr>
              <w:t>•   Virtual reality headsets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 Logic-based OTP</w:t>
            </w:r>
          </w:p>
        </w:tc>
        <w:tc>
          <w:tcPr>
            <w:tcW w:w="3200" w:type="dxa"/>
            <w:vAlign w:val="bottom"/>
          </w:tcPr>
          <w:p>
            <w:pPr>
              <w:ind w:left="100"/>
              <w:spacing w:after="0"/>
              <w:rPr>
                <w:sz w:val="20"/>
                <w:szCs w:val="20"/>
                <w:color w:val="auto"/>
              </w:rPr>
            </w:pPr>
            <w:r>
              <w:rPr>
                <w:rFonts w:ascii="Arial" w:cs="Arial" w:eastAsia="Arial" w:hAnsi="Arial"/>
                <w:sz w:val="18"/>
                <w:szCs w:val="18"/>
                <w:color w:val="auto"/>
              </w:rPr>
              <w:t>•   Automotive</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 Image enhancement IP</w:t>
            </w:r>
          </w:p>
        </w:tc>
        <w:tc>
          <w:tcPr>
            <w:tcW w:w="32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 Display data compression IP</w:t>
            </w:r>
          </w:p>
        </w:tc>
        <w:tc>
          <w:tcPr>
            <w:tcW w:w="3200" w:type="dxa"/>
            <w:vAlign w:val="bottom"/>
          </w:tcPr>
          <w:p>
            <w:pPr>
              <w:spacing w:after="0"/>
              <w:rPr>
                <w:sz w:val="20"/>
                <w:szCs w:val="20"/>
                <w:color w:val="auto"/>
              </w:rPr>
            </w:pPr>
          </w:p>
        </w:tc>
      </w:tr>
      <w:tr>
        <w:trPr>
          <w:trHeight w:val="323"/>
        </w:trPr>
        <w:tc>
          <w:tcPr>
            <w:tcW w:w="4080" w:type="dxa"/>
            <w:vAlign w:val="bottom"/>
            <w:gridSpan w:val="3"/>
          </w:tcPr>
          <w:p>
            <w:pPr>
              <w:spacing w:after="0"/>
              <w:rPr>
                <w:sz w:val="20"/>
                <w:szCs w:val="20"/>
                <w:color w:val="auto"/>
              </w:rPr>
            </w:pPr>
            <w:r>
              <w:rPr>
                <w:rFonts w:ascii="Arial" w:cs="Arial" w:eastAsia="Arial" w:hAnsi="Arial"/>
                <w:sz w:val="18"/>
                <w:szCs w:val="18"/>
                <w:color w:val="auto"/>
              </w:rPr>
              <w:t>LTPS</w:t>
            </w: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 Resolutions of VGA, WSVGA, WVGA and</w:t>
            </w:r>
          </w:p>
        </w:tc>
        <w:tc>
          <w:tcPr>
            <w:tcW w:w="3200" w:type="dxa"/>
            <w:vAlign w:val="bottom"/>
          </w:tcPr>
          <w:p>
            <w:pPr>
              <w:ind w:left="100"/>
              <w:spacing w:after="0"/>
              <w:rPr>
                <w:sz w:val="20"/>
                <w:szCs w:val="20"/>
                <w:color w:val="auto"/>
              </w:rPr>
            </w:pPr>
            <w:r>
              <w:rPr>
                <w:rFonts w:ascii="Arial" w:cs="Arial" w:eastAsia="Arial" w:hAnsi="Arial"/>
                <w:sz w:val="18"/>
                <w:szCs w:val="18"/>
                <w:color w:val="auto"/>
              </w:rPr>
              <w:t>•   Smartphones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280"/>
              <w:spacing w:after="0"/>
              <w:rPr>
                <w:sz w:val="20"/>
                <w:szCs w:val="20"/>
                <w:color w:val="auto"/>
              </w:rPr>
            </w:pPr>
            <w:r>
              <w:rPr>
                <w:rFonts w:ascii="Arial" w:cs="Arial" w:eastAsia="Arial" w:hAnsi="Arial"/>
                <w:sz w:val="18"/>
                <w:szCs w:val="18"/>
                <w:color w:val="auto"/>
              </w:rPr>
              <w:t>DVGA</w:t>
            </w:r>
          </w:p>
        </w:tc>
        <w:tc>
          <w:tcPr>
            <w:tcW w:w="3200" w:type="dxa"/>
            <w:vAlign w:val="bottom"/>
          </w:tcPr>
          <w:p>
            <w:pPr>
              <w:ind w:left="100"/>
              <w:spacing w:after="0"/>
              <w:rPr>
                <w:sz w:val="20"/>
                <w:szCs w:val="20"/>
                <w:color w:val="auto"/>
              </w:rPr>
            </w:pPr>
            <w:r>
              <w:rPr>
                <w:rFonts w:ascii="Arial" w:cs="Arial" w:eastAsia="Arial" w:hAnsi="Arial"/>
                <w:sz w:val="18"/>
                <w:szCs w:val="18"/>
                <w:color w:val="auto"/>
              </w:rPr>
              <w:t>•   Digital still cameras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 Color depth of 16 million</w:t>
            </w:r>
          </w:p>
        </w:tc>
        <w:tc>
          <w:tcPr>
            <w:tcW w:w="3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 MDDI, MIPI interface</w:t>
            </w:r>
          </w:p>
        </w:tc>
        <w:tc>
          <w:tcPr>
            <w:tcW w:w="3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 Logic-based OTP</w:t>
            </w:r>
          </w:p>
        </w:tc>
        <w:tc>
          <w:tcPr>
            <w:tcW w:w="32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 Separated gamma control</w:t>
            </w:r>
          </w:p>
        </w:tc>
        <w:tc>
          <w:tcPr>
            <w:tcW w:w="3200" w:type="dxa"/>
            <w:vAlign w:val="bottom"/>
          </w:tcPr>
          <w:p>
            <w:pPr>
              <w:spacing w:after="0"/>
              <w:rPr>
                <w:sz w:val="20"/>
                <w:szCs w:val="20"/>
                <w:color w:val="auto"/>
              </w:rPr>
            </w:pPr>
          </w:p>
        </w:tc>
      </w:tr>
      <w:tr>
        <w:trPr>
          <w:trHeight w:val="323"/>
        </w:trPr>
        <w:tc>
          <w:tcPr>
            <w:tcW w:w="4080" w:type="dxa"/>
            <w:vAlign w:val="bottom"/>
            <w:gridSpan w:val="3"/>
          </w:tcPr>
          <w:p>
            <w:pPr>
              <w:spacing w:after="0"/>
              <w:rPr>
                <w:sz w:val="20"/>
                <w:szCs w:val="20"/>
                <w:color w:val="auto"/>
              </w:rPr>
            </w:pPr>
            <w:r>
              <w:rPr>
                <w:rFonts w:ascii="Arial" w:cs="Arial" w:eastAsia="Arial" w:hAnsi="Arial"/>
                <w:sz w:val="18"/>
                <w:szCs w:val="18"/>
                <w:color w:val="auto"/>
              </w:rPr>
              <w:t>a-Si TFT</w:t>
            </w: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 Resolutions of WQVGA and HVGA</w:t>
            </w:r>
          </w:p>
        </w:tc>
        <w:tc>
          <w:tcPr>
            <w:tcW w:w="3200" w:type="dxa"/>
            <w:vAlign w:val="bottom"/>
          </w:tcPr>
          <w:p>
            <w:pPr>
              <w:ind w:left="100"/>
              <w:spacing w:after="0"/>
              <w:rPr>
                <w:sz w:val="20"/>
                <w:szCs w:val="20"/>
                <w:color w:val="auto"/>
              </w:rPr>
            </w:pPr>
            <w:r>
              <w:rPr>
                <w:rFonts w:ascii="Arial" w:cs="Arial" w:eastAsia="Arial" w:hAnsi="Arial"/>
                <w:sz w:val="18"/>
                <w:szCs w:val="18"/>
                <w:color w:val="auto"/>
              </w:rPr>
              <w:t>•   Mobile phones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 Color depth of 16 million</w:t>
            </w:r>
          </w:p>
        </w:tc>
        <w:tc>
          <w:tcPr>
            <w:tcW w:w="3200" w:type="dxa"/>
            <w:vAlign w:val="bottom"/>
          </w:tcPr>
          <w:p>
            <w:pPr>
              <w:ind w:left="100"/>
              <w:spacing w:after="0"/>
              <w:rPr>
                <w:sz w:val="20"/>
                <w:szCs w:val="20"/>
                <w:color w:val="auto"/>
              </w:rPr>
            </w:pPr>
            <w:r>
              <w:rPr>
                <w:rFonts w:ascii="Arial" w:cs="Arial" w:eastAsia="Arial" w:hAnsi="Arial"/>
                <w:sz w:val="18"/>
                <w:szCs w:val="18"/>
                <w:color w:val="auto"/>
              </w:rPr>
              <w:t>•   Digital still cameras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 RSDS, MDDI, MIPI interface</w:t>
            </w:r>
          </w:p>
        </w:tc>
        <w:tc>
          <w:tcPr>
            <w:tcW w:w="3200" w:type="dxa"/>
            <w:vAlign w:val="bottom"/>
          </w:tcPr>
          <w:p>
            <w:pPr>
              <w:ind w:left="100"/>
              <w:spacing w:after="0"/>
              <w:rPr>
                <w:sz w:val="20"/>
                <w:szCs w:val="20"/>
                <w:color w:val="auto"/>
              </w:rPr>
            </w:pPr>
            <w:r>
              <w:rPr>
                <w:rFonts w:ascii="Arial" w:cs="Arial" w:eastAsia="Arial" w:hAnsi="Arial"/>
                <w:sz w:val="18"/>
                <w:szCs w:val="18"/>
                <w:color w:val="auto"/>
              </w:rPr>
              <w:t>•   Automotive</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 CABC</w:t>
            </w:r>
          </w:p>
        </w:tc>
        <w:tc>
          <w:tcPr>
            <w:tcW w:w="32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•   Separated gamma control</w:t>
            </w:r>
          </w:p>
        </w:tc>
        <w:tc>
          <w:tcPr>
            <w:tcW w:w="3200" w:type="dxa"/>
            <w:vAlign w:val="bottom"/>
          </w:tcPr>
          <w:p>
            <w:pPr>
              <w:spacing w:after="0"/>
              <w:rPr>
                <w:sz w:val="20"/>
                <w:szCs w:val="20"/>
                <w:color w:val="auto"/>
              </w:rPr>
            </w:pPr>
          </w:p>
        </w:tc>
      </w:tr>
      <w:tr>
        <w:trPr>
          <w:trHeight w:val="162"/>
        </w:trPr>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tcPr>
          <w:p>
            <w:pPr>
              <w:spacing w:after="0"/>
              <w:rPr>
                <w:sz w:val="14"/>
                <w:szCs w:val="14"/>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develop, manufacture and market power management solutions for a wide range of end-market customers. The products include MOSFETs, IGBTs, AC-DC/DC-DC converters, LED drivers, regulators, power management integrated circuits (PMICs) for a range of devices, including LCD, LED, and UHD televisions, digital signage, smartphones, mobile phones, wearable devices, desktop PCs, notebooks, tablet PCs, other consumer electronics, consumer appliances, automotive, and industrial applications such as power suppliers, e-bikes, photovoltaic inverters, LED lighting and motor drives.</w:t>
      </w:r>
    </w:p>
    <w:p>
      <w:pPr>
        <w:spacing w:after="0" w:line="93" w:lineRule="exact"/>
        <w:rPr>
          <w:sz w:val="20"/>
          <w:szCs w:val="20"/>
          <w:color w:val="auto"/>
        </w:rPr>
      </w:pPr>
    </w:p>
    <w:p>
      <w:pPr>
        <w:ind w:left="540" w:right="46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MOSFETs. </w:t>
      </w:r>
      <w:r>
        <w:rPr>
          <w:rFonts w:ascii="Arial" w:cs="Arial" w:eastAsia="Arial" w:hAnsi="Arial"/>
          <w:sz w:val="18"/>
          <w:szCs w:val="18"/>
          <w:color w:val="auto"/>
        </w:rPr>
        <w:t>Our MOSFETs include low-voltage from 12V to 30V, medium-voltage from 40V to 200V, high-voltage planar MOSFETs, 200V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650V, and super junction MOSFETs, 500V through 900V.</w:t>
      </w:r>
    </w:p>
    <w:p>
      <w:pPr>
        <w:spacing w:after="0" w:line="62" w:lineRule="exact"/>
        <w:rPr>
          <w:rFonts w:ascii="Arial" w:cs="Arial" w:eastAsia="Arial" w:hAnsi="Arial"/>
          <w:sz w:val="18"/>
          <w:szCs w:val="18"/>
          <w:color w:val="auto"/>
        </w:rPr>
      </w:pPr>
    </w:p>
    <w:p>
      <w:pPr>
        <w:ind w:left="560" w:right="20"/>
        <w:spacing w:after="0" w:line="279" w:lineRule="auto"/>
        <w:rPr>
          <w:rFonts w:ascii="Arial" w:cs="Arial" w:eastAsia="Arial" w:hAnsi="Arial"/>
          <w:sz w:val="18"/>
          <w:szCs w:val="18"/>
          <w:color w:val="auto"/>
        </w:rPr>
      </w:pPr>
      <w:r>
        <w:rPr>
          <w:rFonts w:ascii="Arial" w:cs="Arial" w:eastAsia="Arial" w:hAnsi="Arial"/>
          <w:sz w:val="17"/>
          <w:szCs w:val="17"/>
          <w:color w:val="auto"/>
        </w:rPr>
        <w:t>MOSFETs are used in applications to switch, shape or transfer electricity under varying power requirements. The key application segments are smartphones, mobile phones, wearable devices, LCD, LED, and UHD televisions, desktop PCs, notebooks, tablet PCs, servers, lighting and power supplies for consumer electronics automotive (electric vehicles) and industrial equipment. MOSFETs allow electronics manufacturers to achieve specific design goals of high efficiency and low standby power consumption. For</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6"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color w:val="auto"/>
        </w:rPr>
        <w:t>example, computing solutions focus on delivering efficient controllers and MOSFETs for power management in VCORE, DDR and chipsets for audio, video and graphics processing systems.</w:t>
      </w:r>
    </w:p>
    <w:p>
      <w:pPr>
        <w:spacing w:after="0" w:line="76" w:lineRule="exact"/>
        <w:rPr>
          <w:sz w:val="20"/>
          <w:szCs w:val="20"/>
          <w:color w:val="auto"/>
        </w:rPr>
      </w:pPr>
    </w:p>
    <w:p>
      <w:pPr>
        <w:ind w:left="540" w:right="80" w:hanging="424"/>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IGBTs. </w:t>
      </w:r>
      <w:r>
        <w:rPr>
          <w:rFonts w:ascii="Arial" w:cs="Arial" w:eastAsia="Arial" w:hAnsi="Arial"/>
          <w:sz w:val="18"/>
          <w:szCs w:val="18"/>
          <w:color w:val="auto"/>
        </w:rPr>
        <w:t>Our IGBTs include 650V to 1200V field stop trench IGBTs. IGBTs are used in automotive and high power industrial applications,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UPSs, power supplies, motor drives, solar inverters, welding machines and consumer appliances.</w:t>
      </w:r>
    </w:p>
    <w:p>
      <w:pPr>
        <w:spacing w:after="0" w:line="75" w:lineRule="exact"/>
        <w:rPr>
          <w:rFonts w:ascii="Arial" w:cs="Arial" w:eastAsia="Arial" w:hAnsi="Arial"/>
          <w:sz w:val="18"/>
          <w:szCs w:val="18"/>
          <w:color w:val="auto"/>
        </w:rPr>
      </w:pPr>
    </w:p>
    <w:p>
      <w:pPr>
        <w:ind w:left="540" w:right="120" w:hanging="424"/>
        <w:spacing w:after="0" w:line="286"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AC-DC/DC-DC Converters. </w:t>
      </w:r>
      <w:r>
        <w:rPr>
          <w:rFonts w:ascii="Arial" w:cs="Arial" w:eastAsia="Arial" w:hAnsi="Arial"/>
          <w:sz w:val="17"/>
          <w:szCs w:val="17"/>
          <w:color w:val="auto"/>
        </w:rPr>
        <w:t>We offer AC-DC/DC-DC converters targeting mobile applications and high power applications like LCD, LED,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UHD televisions, notebooks, smartphones, mobile phones, set-top boxes and display modules. We expect our AC-DC/DC-DC converters will meet customer’s green power requirements by featuring wide input voltage ranges, high efficiency and small size.</w:t>
      </w:r>
    </w:p>
    <w:p>
      <w:pPr>
        <w:spacing w:after="0" w:line="70" w:lineRule="exact"/>
        <w:rPr>
          <w:rFonts w:ascii="Arial" w:cs="Arial" w:eastAsia="Arial" w:hAnsi="Arial"/>
          <w:sz w:val="17"/>
          <w:szCs w:val="17"/>
          <w:color w:val="auto"/>
        </w:rPr>
      </w:pPr>
    </w:p>
    <w:p>
      <w:pPr>
        <w:ind w:left="540" w:right="320" w:hanging="424"/>
        <w:spacing w:after="0" w:line="25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LED Drivers. </w:t>
      </w:r>
      <w:r>
        <w:rPr>
          <w:rFonts w:ascii="Arial" w:cs="Arial" w:eastAsia="Arial" w:hAnsi="Arial"/>
          <w:sz w:val="18"/>
          <w:szCs w:val="18"/>
          <w:color w:val="auto"/>
        </w:rPr>
        <w:t>LED backlighting drivers serve the fast-growing LCD and LED panel backlighting market for LCD and LED televisions, LCD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monitors, digital signage, notebooks, smartphones and tablet PCs. Our products are designed to provide high efficiency and wide input voltage range, as well as pulse width modulation (PWM) dimming for accurate white LED dimming control. LED lighting drivers have a wide input voltage range applicable to incandescent bulb and fluorescent lamp replacement.</w:t>
      </w:r>
    </w:p>
    <w:p>
      <w:pPr>
        <w:spacing w:after="0" w:line="92" w:lineRule="exact"/>
        <w:rPr>
          <w:rFonts w:ascii="Arial" w:cs="Arial" w:eastAsia="Arial" w:hAnsi="Arial"/>
          <w:sz w:val="18"/>
          <w:szCs w:val="18"/>
          <w:color w:val="auto"/>
        </w:rPr>
      </w:pPr>
    </w:p>
    <w:p>
      <w:pPr>
        <w:ind w:left="540" w:right="260" w:hanging="424"/>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Regulators. </w:t>
      </w:r>
      <w:r>
        <w:rPr>
          <w:rFonts w:ascii="Arial" w:cs="Arial" w:eastAsia="Arial" w:hAnsi="Arial"/>
          <w:sz w:val="18"/>
          <w:szCs w:val="18"/>
          <w:color w:val="auto"/>
        </w:rPr>
        <w:t>We also provide analog regulators for mobile, computing and consumer applications. Our products are designed for high efficiency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low power consumption in mobile applications.</w:t>
      </w:r>
    </w:p>
    <w:p>
      <w:pPr>
        <w:spacing w:after="0" w:line="75" w:lineRule="exact"/>
        <w:rPr>
          <w:rFonts w:ascii="Arial" w:cs="Arial" w:eastAsia="Arial" w:hAnsi="Arial"/>
          <w:sz w:val="18"/>
          <w:szCs w:val="18"/>
          <w:color w:val="auto"/>
        </w:rPr>
      </w:pPr>
    </w:p>
    <w:p>
      <w:pPr>
        <w:ind w:left="540" w:right="100" w:hanging="424"/>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SSD PMICs. </w:t>
      </w:r>
      <w:r>
        <w:rPr>
          <w:rFonts w:ascii="Arial" w:cs="Arial" w:eastAsia="Arial" w:hAnsi="Arial"/>
          <w:sz w:val="18"/>
          <w:szCs w:val="18"/>
          <w:color w:val="auto"/>
        </w:rPr>
        <w:t>We also provide solid state drive power management integrated circuits (SSD PMICs) for the computing segment. Our product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for high frequency switching, high efficiency and pulse frequency modulation (PFM) function to reduce power consumption in low load converters.</w:t>
      </w:r>
    </w:p>
    <w:p>
      <w:pPr>
        <w:spacing w:after="0" w:line="89" w:lineRule="exact"/>
        <w:rPr>
          <w:rFonts w:ascii="Arial" w:cs="Arial" w:eastAsia="Arial" w:hAnsi="Arial"/>
          <w:sz w:val="18"/>
          <w:szCs w:val="18"/>
          <w:color w:val="auto"/>
        </w:rPr>
      </w:pPr>
    </w:p>
    <w:p>
      <w:pPr>
        <w:ind w:left="540" w:right="140" w:hanging="424"/>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Logic PMICs. </w:t>
      </w:r>
      <w:r>
        <w:rPr>
          <w:rFonts w:ascii="Arial" w:cs="Arial" w:eastAsia="Arial" w:hAnsi="Arial"/>
          <w:sz w:val="18"/>
          <w:szCs w:val="18"/>
          <w:color w:val="auto"/>
        </w:rPr>
        <w:t>We also provide logic power management integrated circuits (PMICs) for organic light-emitting diode (OLED) display panel.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PMICs provide optimized power to source driver, gate driver and timing controller (T-CON) of OLED display panel with multi-channel power block (boost converter, buck converter, Op-Amps and positive/negative LDOs.)</w:t>
      </w:r>
    </w:p>
    <w:p>
      <w:pPr>
        <w:spacing w:after="0" w:line="184"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Our power management solutions enable customers to increase system stability and improve heat dissipation and energy use, resulting in cost savings for our customers and consumers, as well as environmental benefits. Our in-house process technology capabilities and eight-inch wafer production lines increase efficiency and contribute to the competitiveness of our products.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summarizes the features of our products, both in mass production and in customer qualification, which is the final stage of product development:</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3680" w:type="dxa"/>
            <w:vAlign w:val="bottom"/>
            <w:gridSpan w:val="2"/>
          </w:tcPr>
          <w:p>
            <w:pPr>
              <w:ind w:left="1380"/>
              <w:spacing w:after="0"/>
              <w:rPr>
                <w:sz w:val="20"/>
                <w:szCs w:val="20"/>
                <w:color w:val="auto"/>
              </w:rPr>
            </w:pPr>
            <w:r>
              <w:rPr>
                <w:rFonts w:ascii="Arial" w:cs="Arial" w:eastAsia="Arial" w:hAnsi="Arial"/>
                <w:sz w:val="14"/>
                <w:szCs w:val="14"/>
                <w:b w:val="1"/>
                <w:bCs w:val="1"/>
                <w:color w:val="auto"/>
              </w:rPr>
              <w:t>Key Features</w:t>
            </w:r>
          </w:p>
        </w:tc>
        <w:tc>
          <w:tcPr>
            <w:tcW w:w="3240" w:type="dxa"/>
            <w:vAlign w:val="bottom"/>
          </w:tcPr>
          <w:p>
            <w:pPr>
              <w:ind w:left="1220"/>
              <w:spacing w:after="0"/>
              <w:rPr>
                <w:sz w:val="20"/>
                <w:szCs w:val="20"/>
                <w:color w:val="auto"/>
              </w:rPr>
            </w:pPr>
            <w:r>
              <w:rPr>
                <w:rFonts w:ascii="Arial" w:cs="Arial" w:eastAsia="Arial" w:hAnsi="Arial"/>
                <w:sz w:val="14"/>
                <w:szCs w:val="14"/>
                <w:b w:val="1"/>
                <w:bCs w:val="1"/>
                <w:color w:val="auto"/>
              </w:rPr>
              <w:t>Applications</w:t>
            </w:r>
          </w:p>
        </w:tc>
      </w:tr>
      <w:tr>
        <w:trPr>
          <w:trHeight w:val="189"/>
        </w:trPr>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Low</w:t>
            </w:r>
          </w:p>
        </w:tc>
        <w:tc>
          <w:tcPr>
            <w:tcW w:w="3600" w:type="dxa"/>
            <w:vAlign w:val="bottom"/>
          </w:tcPr>
          <w:p>
            <w:pPr>
              <w:spacing w:after="0" w:line="189" w:lineRule="exact"/>
              <w:rPr>
                <w:sz w:val="20"/>
                <w:szCs w:val="20"/>
                <w:color w:val="auto"/>
              </w:rPr>
            </w:pPr>
            <w:r>
              <w:rPr>
                <w:rFonts w:ascii="Arial" w:cs="Arial" w:eastAsia="Arial" w:hAnsi="Arial"/>
                <w:sz w:val="18"/>
                <w:szCs w:val="18"/>
                <w:color w:val="auto"/>
              </w:rPr>
              <w:t>Voltage MOSFET</w:t>
            </w:r>
          </w:p>
        </w:tc>
        <w:tc>
          <w:tcPr>
            <w:tcW w:w="3560" w:type="dxa"/>
            <w:vAlign w:val="bottom"/>
            <w:tcBorders>
              <w:top w:val="single" w:sz="8" w:color="auto"/>
            </w:tcBorders>
          </w:tcPr>
          <w:p>
            <w:pPr>
              <w:ind w:left="100"/>
              <w:spacing w:after="0" w:line="189" w:lineRule="exact"/>
              <w:rPr>
                <w:sz w:val="20"/>
                <w:szCs w:val="20"/>
                <w:color w:val="auto"/>
              </w:rPr>
            </w:pPr>
            <w:r>
              <w:rPr>
                <w:rFonts w:ascii="Arial" w:cs="Arial" w:eastAsia="Arial" w:hAnsi="Arial"/>
                <w:sz w:val="18"/>
                <w:szCs w:val="18"/>
                <w:color w:val="auto"/>
              </w:rPr>
              <w:t>•   Voltage options of 12V-30V</w:t>
            </w:r>
          </w:p>
        </w:tc>
        <w:tc>
          <w:tcPr>
            <w:tcW w:w="120" w:type="dxa"/>
            <w:vAlign w:val="bottom"/>
          </w:tcPr>
          <w:p>
            <w:pPr>
              <w:spacing w:after="0"/>
              <w:rPr>
                <w:sz w:val="16"/>
                <w:szCs w:val="16"/>
                <w:color w:val="auto"/>
              </w:rPr>
            </w:pPr>
          </w:p>
        </w:tc>
        <w:tc>
          <w:tcPr>
            <w:tcW w:w="3240" w:type="dxa"/>
            <w:vAlign w:val="bottom"/>
            <w:tcBorders>
              <w:top w:val="single" w:sz="8" w:color="auto"/>
            </w:tcBorders>
          </w:tcPr>
          <w:p>
            <w:pPr>
              <w:ind w:left="80"/>
              <w:spacing w:after="0" w:line="189" w:lineRule="exact"/>
              <w:rPr>
                <w:sz w:val="20"/>
                <w:szCs w:val="20"/>
                <w:color w:val="auto"/>
              </w:rPr>
            </w:pPr>
            <w:r>
              <w:rPr>
                <w:rFonts w:ascii="Arial" w:cs="Arial" w:eastAsia="Arial" w:hAnsi="Arial"/>
                <w:sz w:val="18"/>
                <w:szCs w:val="18"/>
                <w:color w:val="auto"/>
              </w:rPr>
              <w:t>•   Smartphones, mobile phones, and</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 Advanced Trench MOSFET Process</w:t>
            </w:r>
          </w:p>
        </w:tc>
        <w:tc>
          <w:tcPr>
            <w:tcW w:w="3240" w:type="dxa"/>
            <w:vAlign w:val="bottom"/>
          </w:tcPr>
          <w:p>
            <w:pPr>
              <w:ind w:left="260"/>
              <w:spacing w:after="0"/>
              <w:rPr>
                <w:sz w:val="20"/>
                <w:szCs w:val="20"/>
                <w:color w:val="auto"/>
              </w:rPr>
            </w:pPr>
            <w:r>
              <w:rPr>
                <w:rFonts w:ascii="Arial" w:cs="Arial" w:eastAsia="Arial" w:hAnsi="Arial"/>
                <w:sz w:val="18"/>
                <w:szCs w:val="18"/>
                <w:color w:val="auto"/>
              </w:rPr>
              <w:t>wearable devices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 High cell density</w:t>
            </w:r>
          </w:p>
        </w:tc>
        <w:tc>
          <w:tcPr>
            <w:tcW w:w="3240" w:type="dxa"/>
            <w:vAlign w:val="bottom"/>
          </w:tcPr>
          <w:p>
            <w:pPr>
              <w:ind w:left="80"/>
              <w:spacing w:after="0"/>
              <w:rPr>
                <w:sz w:val="20"/>
                <w:szCs w:val="20"/>
                <w:color w:val="auto"/>
              </w:rPr>
            </w:pPr>
            <w:r>
              <w:rPr>
                <w:rFonts w:ascii="Arial" w:cs="Arial" w:eastAsia="Arial" w:hAnsi="Arial"/>
                <w:sz w:val="18"/>
                <w:szCs w:val="18"/>
                <w:color w:val="auto"/>
              </w:rPr>
              <w:t>•   Tablet PCs, Notebooks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w w:val="98"/>
              </w:rPr>
              <w:t>•   Advanced packages to enable reduction of</w:t>
            </w:r>
          </w:p>
        </w:tc>
        <w:tc>
          <w:tcPr>
            <w:tcW w:w="3240" w:type="dxa"/>
            <w:vAlign w:val="bottom"/>
          </w:tcPr>
          <w:p>
            <w:pPr>
              <w:ind w:left="80"/>
              <w:spacing w:after="0"/>
              <w:rPr>
                <w:sz w:val="20"/>
                <w:szCs w:val="20"/>
                <w:color w:val="auto"/>
              </w:rPr>
            </w:pPr>
            <w:r>
              <w:rPr>
                <w:rFonts w:ascii="Arial" w:cs="Arial" w:eastAsia="Arial" w:hAnsi="Arial"/>
                <w:sz w:val="18"/>
                <w:szCs w:val="18"/>
                <w:color w:val="auto"/>
              </w:rPr>
              <w:t>•   Desktop PCs, Servers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Arial" w:cs="Arial" w:eastAsia="Arial" w:hAnsi="Arial"/>
                <w:sz w:val="18"/>
                <w:szCs w:val="18"/>
                <w:color w:val="auto"/>
              </w:rPr>
              <w:t>PCB mounting area</w:t>
            </w:r>
          </w:p>
        </w:tc>
        <w:tc>
          <w:tcPr>
            <w:tcW w:w="3240" w:type="dxa"/>
            <w:vAlign w:val="bottom"/>
          </w:tcPr>
          <w:p>
            <w:pPr>
              <w:ind w:left="80"/>
              <w:spacing w:after="0"/>
              <w:rPr>
                <w:sz w:val="20"/>
                <w:szCs w:val="20"/>
                <w:color w:val="auto"/>
              </w:rPr>
            </w:pPr>
            <w:r>
              <w:rPr>
                <w:rFonts w:ascii="Arial" w:cs="Arial" w:eastAsia="Arial" w:hAnsi="Arial"/>
                <w:sz w:val="18"/>
                <w:szCs w:val="18"/>
                <w:color w:val="auto"/>
              </w:rPr>
              <w:t>•   LCD/LED TVs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Arial" w:cs="Arial" w:eastAsia="Arial" w:hAnsi="Arial"/>
                <w:sz w:val="18"/>
                <w:szCs w:val="18"/>
                <w:color w:val="auto"/>
              </w:rPr>
              <w:t>•   Industrial applications</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Arial" w:cs="Arial" w:eastAsia="Arial" w:hAnsi="Arial"/>
                <w:sz w:val="18"/>
                <w:szCs w:val="18"/>
                <w:color w:val="auto"/>
              </w:rPr>
              <w:t>•   Automotive*</w:t>
            </w:r>
          </w:p>
        </w:tc>
      </w:tr>
      <w:tr>
        <w:trPr>
          <w:trHeight w:val="378"/>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Product</w:t>
            </w:r>
          </w:p>
        </w:tc>
        <w:tc>
          <w:tcPr>
            <w:tcW w:w="356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Key Features</w:t>
            </w:r>
          </w:p>
        </w:tc>
        <w:tc>
          <w:tcPr>
            <w:tcW w:w="120" w:type="dxa"/>
            <w:vAlign w:val="bottom"/>
          </w:tcPr>
          <w:p>
            <w:pPr>
              <w:spacing w:after="0"/>
              <w:rPr>
                <w:sz w:val="15"/>
                <w:szCs w:val="15"/>
                <w:color w:val="auto"/>
              </w:rPr>
            </w:pPr>
          </w:p>
        </w:tc>
        <w:tc>
          <w:tcPr>
            <w:tcW w:w="32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Applications</w:t>
            </w:r>
          </w:p>
        </w:tc>
      </w:tr>
      <w:tr>
        <w:trPr>
          <w:trHeight w:val="296"/>
        </w:trPr>
        <w:tc>
          <w:tcPr>
            <w:tcW w:w="4100" w:type="dxa"/>
            <w:vAlign w:val="bottom"/>
            <w:gridSpan w:val="2"/>
          </w:tcPr>
          <w:p>
            <w:pPr>
              <w:spacing w:after="0"/>
              <w:rPr>
                <w:sz w:val="20"/>
                <w:szCs w:val="20"/>
                <w:color w:val="auto"/>
              </w:rPr>
            </w:pPr>
            <w:r>
              <w:rPr>
                <w:rFonts w:ascii="Arial" w:cs="Arial" w:eastAsia="Arial" w:hAnsi="Arial"/>
                <w:sz w:val="18"/>
                <w:szCs w:val="18"/>
                <w:color w:val="auto"/>
              </w:rPr>
              <w:t>Medium Voltage MOSFET</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 Voltage options of 40V-200V</w:t>
            </w:r>
          </w:p>
        </w:tc>
        <w:tc>
          <w:tcPr>
            <w:tcW w:w="3240" w:type="dxa"/>
            <w:vAlign w:val="bottom"/>
          </w:tcPr>
          <w:p>
            <w:pPr>
              <w:ind w:left="80"/>
              <w:spacing w:after="0"/>
              <w:rPr>
                <w:sz w:val="20"/>
                <w:szCs w:val="20"/>
                <w:color w:val="auto"/>
              </w:rPr>
            </w:pPr>
            <w:r>
              <w:rPr>
                <w:rFonts w:ascii="Arial" w:cs="Arial" w:eastAsia="Arial" w:hAnsi="Arial"/>
                <w:sz w:val="18"/>
                <w:szCs w:val="18"/>
                <w:color w:val="auto"/>
              </w:rPr>
              <w:t>•   e-Bikes and Motor controls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 Advanced Trench MOSFET Process</w:t>
            </w:r>
          </w:p>
        </w:tc>
        <w:tc>
          <w:tcPr>
            <w:tcW w:w="3240" w:type="dxa"/>
            <w:vAlign w:val="bottom"/>
          </w:tcPr>
          <w:p>
            <w:pPr>
              <w:ind w:left="80"/>
              <w:spacing w:after="0"/>
              <w:rPr>
                <w:sz w:val="20"/>
                <w:szCs w:val="20"/>
                <w:color w:val="auto"/>
              </w:rPr>
            </w:pPr>
            <w:r>
              <w:rPr>
                <w:rFonts w:ascii="Arial" w:cs="Arial" w:eastAsia="Arial" w:hAnsi="Arial"/>
                <w:sz w:val="18"/>
                <w:szCs w:val="18"/>
                <w:color w:val="auto"/>
              </w:rPr>
              <w:t>•   Battery Management Systems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 High cell density</w:t>
            </w:r>
          </w:p>
        </w:tc>
        <w:tc>
          <w:tcPr>
            <w:tcW w:w="3240" w:type="dxa"/>
            <w:vAlign w:val="bottom"/>
          </w:tcPr>
          <w:p>
            <w:pPr>
              <w:ind w:left="80"/>
              <w:spacing w:after="0"/>
              <w:rPr>
                <w:sz w:val="20"/>
                <w:szCs w:val="20"/>
                <w:color w:val="auto"/>
              </w:rPr>
            </w:pPr>
            <w:r>
              <w:rPr>
                <w:rFonts w:ascii="Arial" w:cs="Arial" w:eastAsia="Arial" w:hAnsi="Arial"/>
                <w:sz w:val="18"/>
                <w:szCs w:val="18"/>
                <w:color w:val="auto"/>
              </w:rPr>
              <w:t>•   Power tools and Servers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 High system efficiency</w:t>
            </w:r>
          </w:p>
        </w:tc>
        <w:tc>
          <w:tcPr>
            <w:tcW w:w="3240" w:type="dxa"/>
            <w:vAlign w:val="bottom"/>
          </w:tcPr>
          <w:p>
            <w:pPr>
              <w:ind w:left="80"/>
              <w:spacing w:after="0"/>
              <w:rPr>
                <w:sz w:val="20"/>
                <w:szCs w:val="20"/>
                <w:color w:val="auto"/>
              </w:rPr>
            </w:pPr>
            <w:r>
              <w:rPr>
                <w:rFonts w:ascii="Arial" w:cs="Arial" w:eastAsia="Arial" w:hAnsi="Arial"/>
                <w:sz w:val="18"/>
                <w:szCs w:val="18"/>
                <w:color w:val="auto"/>
              </w:rPr>
              <w:t>•   Energy Storage System</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w w:val="98"/>
              </w:rPr>
              <w:t>•   Advanced packages to enable reduction of</w:t>
            </w:r>
          </w:p>
        </w:tc>
        <w:tc>
          <w:tcPr>
            <w:tcW w:w="3240" w:type="dxa"/>
            <w:vAlign w:val="bottom"/>
          </w:tcPr>
          <w:p>
            <w:pPr>
              <w:ind w:left="80"/>
              <w:spacing w:after="0"/>
              <w:rPr>
                <w:sz w:val="20"/>
                <w:szCs w:val="20"/>
                <w:color w:val="auto"/>
              </w:rPr>
            </w:pPr>
            <w:r>
              <w:rPr>
                <w:rFonts w:ascii="Arial" w:cs="Arial" w:eastAsia="Arial" w:hAnsi="Arial"/>
                <w:sz w:val="18"/>
                <w:szCs w:val="18"/>
                <w:color w:val="auto"/>
                <w:w w:val="99"/>
              </w:rPr>
              <w:t>•   Other computing applications (Tablet</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Arial" w:cs="Arial" w:eastAsia="Arial" w:hAnsi="Arial"/>
                <w:sz w:val="18"/>
                <w:szCs w:val="18"/>
                <w:color w:val="auto"/>
              </w:rPr>
              <w:t>PCB mounting area</w:t>
            </w:r>
          </w:p>
        </w:tc>
        <w:tc>
          <w:tcPr>
            <w:tcW w:w="3240" w:type="dxa"/>
            <w:vAlign w:val="bottom"/>
          </w:tcPr>
          <w:p>
            <w:pPr>
              <w:ind w:left="260"/>
              <w:spacing w:after="0"/>
              <w:rPr>
                <w:sz w:val="20"/>
                <w:szCs w:val="20"/>
                <w:color w:val="auto"/>
              </w:rPr>
            </w:pPr>
            <w:r>
              <w:rPr>
                <w:rFonts w:ascii="Arial" w:cs="Arial" w:eastAsia="Arial" w:hAnsi="Arial"/>
                <w:sz w:val="18"/>
                <w:szCs w:val="18"/>
                <w:color w:val="auto"/>
              </w:rPr>
              <w:t>PCs, Notebooks, Desktops)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Arial" w:cs="Arial" w:eastAsia="Arial" w:hAnsi="Arial"/>
                <w:sz w:val="18"/>
                <w:szCs w:val="18"/>
                <w:color w:val="auto"/>
              </w:rPr>
              <w:t>•   Consumer applications (TV)</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Arial" w:cs="Arial" w:eastAsia="Arial" w:hAnsi="Arial"/>
                <w:sz w:val="18"/>
                <w:szCs w:val="18"/>
                <w:color w:val="auto"/>
              </w:rPr>
              <w:t>•   Industrial applications</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Arial" w:cs="Arial" w:eastAsia="Arial" w:hAnsi="Arial"/>
                <w:sz w:val="18"/>
                <w:szCs w:val="18"/>
                <w:color w:val="auto"/>
              </w:rPr>
              <w:t>•   Automotive</w:t>
            </w: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High Voltage MOSFET</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 Voltage options of 200V-650V</w:t>
            </w:r>
          </w:p>
        </w:tc>
        <w:tc>
          <w:tcPr>
            <w:tcW w:w="3240" w:type="dxa"/>
            <w:vAlign w:val="bottom"/>
          </w:tcPr>
          <w:p>
            <w:pPr>
              <w:ind w:left="80"/>
              <w:spacing w:after="0"/>
              <w:rPr>
                <w:sz w:val="20"/>
                <w:szCs w:val="20"/>
                <w:color w:val="auto"/>
              </w:rPr>
            </w:pPr>
            <w:r>
              <w:rPr>
                <w:rFonts w:ascii="Arial" w:cs="Arial" w:eastAsia="Arial" w:hAnsi="Arial"/>
                <w:sz w:val="18"/>
                <w:szCs w:val="18"/>
                <w:color w:val="auto"/>
              </w:rPr>
              <w:t>•   Adaptors for tablet PC/mobile</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 R2FET (rapid recovery) option to shorten</w:t>
            </w:r>
          </w:p>
        </w:tc>
        <w:tc>
          <w:tcPr>
            <w:tcW w:w="3240" w:type="dxa"/>
            <w:vAlign w:val="bottom"/>
          </w:tcPr>
          <w:p>
            <w:pPr>
              <w:ind w:left="260"/>
              <w:spacing w:after="0"/>
              <w:rPr>
                <w:sz w:val="20"/>
                <w:szCs w:val="20"/>
                <w:color w:val="auto"/>
              </w:rPr>
            </w:pPr>
            <w:r>
              <w:rPr>
                <w:rFonts w:ascii="Arial" w:cs="Arial" w:eastAsia="Arial" w:hAnsi="Arial"/>
                <w:sz w:val="18"/>
                <w:szCs w:val="18"/>
                <w:color w:val="auto"/>
              </w:rPr>
              <w:t>phone/smartphone</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Arial" w:cs="Arial" w:eastAsia="Arial" w:hAnsi="Arial"/>
                <w:sz w:val="18"/>
                <w:szCs w:val="18"/>
                <w:color w:val="auto"/>
              </w:rPr>
              <w:t>reverse diode recovery time</w:t>
            </w:r>
          </w:p>
        </w:tc>
        <w:tc>
          <w:tcPr>
            <w:tcW w:w="3240" w:type="dxa"/>
            <w:vAlign w:val="bottom"/>
          </w:tcPr>
          <w:p>
            <w:pPr>
              <w:ind w:left="80"/>
              <w:spacing w:after="0"/>
              <w:rPr>
                <w:sz w:val="20"/>
                <w:szCs w:val="20"/>
                <w:color w:val="auto"/>
              </w:rPr>
            </w:pPr>
            <w:r>
              <w:rPr>
                <w:rFonts w:ascii="Arial" w:cs="Arial" w:eastAsia="Arial" w:hAnsi="Arial"/>
                <w:sz w:val="18"/>
                <w:szCs w:val="18"/>
                <w:color w:val="auto"/>
              </w:rPr>
              <w:t>•   Power supplies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w w:val="98"/>
              </w:rPr>
              <w:t>•   Zener diode option for MOSFET protection</w:t>
            </w:r>
          </w:p>
        </w:tc>
        <w:tc>
          <w:tcPr>
            <w:tcW w:w="3240" w:type="dxa"/>
            <w:vAlign w:val="bottom"/>
          </w:tcPr>
          <w:p>
            <w:pPr>
              <w:ind w:left="80"/>
              <w:spacing w:after="0"/>
              <w:rPr>
                <w:sz w:val="20"/>
                <w:szCs w:val="20"/>
                <w:color w:val="auto"/>
              </w:rPr>
            </w:pPr>
            <w:r>
              <w:rPr>
                <w:rFonts w:ascii="Arial" w:cs="Arial" w:eastAsia="Arial" w:hAnsi="Arial"/>
                <w:sz w:val="18"/>
                <w:szCs w:val="18"/>
                <w:color w:val="auto"/>
              </w:rPr>
              <w:t>•   Lighting (ballast, HID, LED)</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Arial" w:cs="Arial" w:eastAsia="Arial" w:hAnsi="Arial"/>
                <w:sz w:val="18"/>
                <w:szCs w:val="18"/>
                <w:color w:val="auto"/>
              </w:rPr>
              <w:t>for abnormal input</w:t>
            </w:r>
          </w:p>
        </w:tc>
        <w:tc>
          <w:tcPr>
            <w:tcW w:w="3240" w:type="dxa"/>
            <w:vAlign w:val="bottom"/>
          </w:tcPr>
          <w:p>
            <w:pPr>
              <w:ind w:left="80"/>
              <w:spacing w:after="0"/>
              <w:rPr>
                <w:sz w:val="20"/>
                <w:szCs w:val="20"/>
                <w:color w:val="auto"/>
              </w:rPr>
            </w:pPr>
            <w:r>
              <w:rPr>
                <w:rFonts w:ascii="Arial" w:cs="Arial" w:eastAsia="Arial" w:hAnsi="Arial"/>
                <w:sz w:val="18"/>
                <w:szCs w:val="18"/>
                <w:color w:val="auto"/>
              </w:rPr>
              <w:t>•   Industrial applications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 Advanced Planar MOSFET Process</w:t>
            </w:r>
          </w:p>
        </w:tc>
        <w:tc>
          <w:tcPr>
            <w:tcW w:w="3240" w:type="dxa"/>
            <w:vAlign w:val="bottom"/>
          </w:tcPr>
          <w:p>
            <w:pPr>
              <w:ind w:left="80"/>
              <w:spacing w:after="0"/>
              <w:rPr>
                <w:sz w:val="20"/>
                <w:szCs w:val="20"/>
                <w:color w:val="auto"/>
              </w:rPr>
            </w:pPr>
            <w:r>
              <w:rPr>
                <w:rFonts w:ascii="Arial" w:cs="Arial" w:eastAsia="Arial" w:hAnsi="Arial"/>
                <w:sz w:val="18"/>
                <w:szCs w:val="18"/>
                <w:color w:val="auto"/>
              </w:rPr>
              <w:t>•   LCD/LEDTVs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w w:val="98"/>
              </w:rPr>
              <w:t>•   Advanced packages to enable reduction of</w:t>
            </w:r>
          </w:p>
        </w:tc>
        <w:tc>
          <w:tcPr>
            <w:tcW w:w="32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680" w:type="dxa"/>
            <w:vAlign w:val="bottom"/>
            <w:gridSpan w:val="2"/>
          </w:tcPr>
          <w:p>
            <w:pPr>
              <w:ind w:left="280"/>
              <w:spacing w:after="0"/>
              <w:rPr>
                <w:sz w:val="20"/>
                <w:szCs w:val="20"/>
                <w:color w:val="auto"/>
              </w:rPr>
            </w:pPr>
            <w:r>
              <w:rPr>
                <w:rFonts w:ascii="Arial" w:cs="Arial" w:eastAsia="Arial" w:hAnsi="Arial"/>
                <w:sz w:val="18"/>
                <w:szCs w:val="18"/>
                <w:color w:val="auto"/>
              </w:rPr>
              <w:t>PCB mounting area</w:t>
            </w:r>
          </w:p>
        </w:tc>
        <w:tc>
          <w:tcPr>
            <w:tcW w:w="3240" w:type="dxa"/>
            <w:vAlign w:val="bottom"/>
          </w:tcPr>
          <w:p>
            <w:pPr>
              <w:spacing w:after="0"/>
              <w:rPr>
                <w:sz w:val="20"/>
                <w:szCs w:val="20"/>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Super Junction MOSFET</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 Voltage options of 500V-900V</w:t>
            </w:r>
          </w:p>
        </w:tc>
        <w:tc>
          <w:tcPr>
            <w:tcW w:w="3240" w:type="dxa"/>
            <w:vAlign w:val="bottom"/>
          </w:tcPr>
          <w:p>
            <w:pPr>
              <w:ind w:left="80"/>
              <w:spacing w:after="0"/>
              <w:rPr>
                <w:sz w:val="20"/>
                <w:szCs w:val="20"/>
                <w:color w:val="auto"/>
              </w:rPr>
            </w:pPr>
            <w:r>
              <w:rPr>
                <w:rFonts w:ascii="Arial" w:cs="Arial" w:eastAsia="Arial" w:hAnsi="Arial"/>
                <w:sz w:val="18"/>
                <w:szCs w:val="18"/>
                <w:color w:val="auto"/>
              </w:rPr>
              <w:t>•   LCD/LED/UHD TVs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•   Low R</w:t>
            </w:r>
            <w:r>
              <w:rPr>
                <w:rFonts w:ascii="Arial" w:cs="Arial" w:eastAsia="Arial" w:hAnsi="Arial"/>
                <w:sz w:val="25"/>
                <w:szCs w:val="25"/>
                <w:color w:val="auto"/>
                <w:vertAlign w:val="subscript"/>
              </w:rPr>
              <w:t>DS(ON)</w:t>
            </w:r>
          </w:p>
        </w:tc>
        <w:tc>
          <w:tcPr>
            <w:tcW w:w="3240" w:type="dxa"/>
            <w:vAlign w:val="bottom"/>
          </w:tcPr>
          <w:p>
            <w:pPr>
              <w:ind w:left="80"/>
              <w:spacing w:after="0"/>
              <w:rPr>
                <w:sz w:val="20"/>
                <w:szCs w:val="20"/>
                <w:color w:val="auto"/>
              </w:rPr>
            </w:pPr>
            <w:r>
              <w:rPr>
                <w:rFonts w:ascii="Arial" w:cs="Arial" w:eastAsia="Arial" w:hAnsi="Arial"/>
                <w:sz w:val="18"/>
                <w:szCs w:val="18"/>
                <w:color w:val="auto"/>
              </w:rPr>
              <w:t>•   Lightings applications (ballast, HID,</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 Epi stack process</w:t>
            </w:r>
          </w:p>
        </w:tc>
        <w:tc>
          <w:tcPr>
            <w:tcW w:w="3240" w:type="dxa"/>
            <w:vAlign w:val="bottom"/>
          </w:tcPr>
          <w:p>
            <w:pPr>
              <w:ind w:left="260"/>
              <w:spacing w:after="0"/>
              <w:rPr>
                <w:sz w:val="20"/>
                <w:szCs w:val="20"/>
                <w:color w:val="auto"/>
              </w:rPr>
            </w:pPr>
            <w:r>
              <w:rPr>
                <w:rFonts w:ascii="Arial" w:cs="Arial" w:eastAsia="Arial" w:hAnsi="Arial"/>
                <w:sz w:val="18"/>
                <w:szCs w:val="18"/>
                <w:color w:val="auto"/>
              </w:rPr>
              <w:t>LED)</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w w:val="98"/>
              </w:rPr>
              <w:t>•   Zener diode option for MOSFET protection</w:t>
            </w:r>
          </w:p>
        </w:tc>
        <w:tc>
          <w:tcPr>
            <w:tcW w:w="3240" w:type="dxa"/>
            <w:vAlign w:val="bottom"/>
          </w:tcPr>
          <w:p>
            <w:pPr>
              <w:ind w:left="80"/>
              <w:spacing w:after="0"/>
              <w:rPr>
                <w:sz w:val="20"/>
                <w:szCs w:val="20"/>
                <w:color w:val="auto"/>
              </w:rPr>
            </w:pPr>
            <w:r>
              <w:rPr>
                <w:rFonts w:ascii="Arial" w:cs="Arial" w:eastAsia="Arial" w:hAnsi="Arial"/>
                <w:sz w:val="18"/>
                <w:szCs w:val="18"/>
                <w:color w:val="auto"/>
              </w:rPr>
              <w:t>•   Smartphones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Arial" w:cs="Arial" w:eastAsia="Arial" w:hAnsi="Arial"/>
                <w:sz w:val="18"/>
                <w:szCs w:val="18"/>
                <w:color w:val="auto"/>
              </w:rPr>
              <w:t>for abnormal input</w:t>
            </w:r>
          </w:p>
        </w:tc>
        <w:tc>
          <w:tcPr>
            <w:tcW w:w="3240" w:type="dxa"/>
            <w:vAlign w:val="bottom"/>
          </w:tcPr>
          <w:p>
            <w:pPr>
              <w:ind w:left="80"/>
              <w:spacing w:after="0"/>
              <w:rPr>
                <w:sz w:val="20"/>
                <w:szCs w:val="20"/>
                <w:color w:val="auto"/>
              </w:rPr>
            </w:pPr>
            <w:r>
              <w:rPr>
                <w:rFonts w:ascii="Arial" w:cs="Arial" w:eastAsia="Arial" w:hAnsi="Arial"/>
                <w:sz w:val="18"/>
                <w:szCs w:val="18"/>
                <w:color w:val="auto"/>
              </w:rPr>
              <w:t>•   Power supplies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 Advanced SJ MOSFET process</w:t>
            </w:r>
          </w:p>
        </w:tc>
        <w:tc>
          <w:tcPr>
            <w:tcW w:w="3240" w:type="dxa"/>
            <w:vAlign w:val="bottom"/>
          </w:tcPr>
          <w:p>
            <w:pPr>
              <w:ind w:left="80"/>
              <w:spacing w:after="0"/>
              <w:rPr>
                <w:sz w:val="20"/>
                <w:szCs w:val="20"/>
                <w:color w:val="auto"/>
              </w:rPr>
            </w:pPr>
            <w:r>
              <w:rPr>
                <w:rFonts w:ascii="Arial" w:cs="Arial" w:eastAsia="Arial" w:hAnsi="Arial"/>
                <w:sz w:val="18"/>
                <w:szCs w:val="18"/>
                <w:color w:val="auto"/>
              </w:rPr>
              <w:t>•   Servers and Telecom powers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w w:val="98"/>
              </w:rPr>
              <w:t>•   Advanced packages to enable reduction of</w:t>
            </w:r>
          </w:p>
        </w:tc>
        <w:tc>
          <w:tcPr>
            <w:tcW w:w="3240" w:type="dxa"/>
            <w:vAlign w:val="bottom"/>
          </w:tcPr>
          <w:p>
            <w:pPr>
              <w:ind w:left="80"/>
              <w:spacing w:after="0"/>
              <w:rPr>
                <w:sz w:val="20"/>
                <w:szCs w:val="20"/>
                <w:color w:val="auto"/>
              </w:rPr>
            </w:pPr>
            <w:r>
              <w:rPr>
                <w:rFonts w:ascii="Arial" w:cs="Arial" w:eastAsia="Arial" w:hAnsi="Arial"/>
                <w:sz w:val="18"/>
                <w:szCs w:val="18"/>
                <w:color w:val="auto"/>
              </w:rPr>
              <w:t>•   Industrial applications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Arial" w:cs="Arial" w:eastAsia="Arial" w:hAnsi="Arial"/>
                <w:sz w:val="18"/>
                <w:szCs w:val="18"/>
                <w:color w:val="auto"/>
              </w:rPr>
              <w:t>PCB mounting area</w:t>
            </w:r>
          </w:p>
        </w:tc>
        <w:tc>
          <w:tcPr>
            <w:tcW w:w="3240" w:type="dxa"/>
            <w:vAlign w:val="bottom"/>
          </w:tcPr>
          <w:p>
            <w:pPr>
              <w:ind w:left="80"/>
              <w:spacing w:after="0"/>
              <w:rPr>
                <w:sz w:val="20"/>
                <w:szCs w:val="20"/>
                <w:color w:val="auto"/>
              </w:rPr>
            </w:pPr>
            <w:r>
              <w:rPr>
                <w:rFonts w:ascii="Arial" w:cs="Arial" w:eastAsia="Arial" w:hAnsi="Arial"/>
                <w:sz w:val="18"/>
                <w:szCs w:val="18"/>
                <w:color w:val="auto"/>
              </w:rPr>
              <w:t>•   EV charging station*</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 Low power loss by high speed switching</w:t>
            </w:r>
          </w:p>
        </w:tc>
        <w:tc>
          <w:tcPr>
            <w:tcW w:w="3240" w:type="dxa"/>
            <w:vAlign w:val="bottom"/>
          </w:tcPr>
          <w:p>
            <w:pPr>
              <w:ind w:left="80"/>
              <w:spacing w:after="0"/>
              <w:rPr>
                <w:sz w:val="20"/>
                <w:szCs w:val="20"/>
                <w:color w:val="auto"/>
              </w:rPr>
            </w:pPr>
            <w:r>
              <w:rPr>
                <w:rFonts w:ascii="Arial" w:cs="Arial" w:eastAsia="Arial" w:hAnsi="Arial"/>
                <w:sz w:val="18"/>
                <w:szCs w:val="18"/>
                <w:color w:val="auto"/>
              </w:rPr>
              <w:t>•   On board charger*</w:t>
            </w: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IGBTs</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 Voltage options of 650V/1200V</w:t>
            </w:r>
          </w:p>
        </w:tc>
        <w:tc>
          <w:tcPr>
            <w:tcW w:w="3240" w:type="dxa"/>
            <w:vAlign w:val="bottom"/>
          </w:tcPr>
          <w:p>
            <w:pPr>
              <w:ind w:left="80"/>
              <w:spacing w:after="0"/>
              <w:rPr>
                <w:sz w:val="20"/>
                <w:szCs w:val="20"/>
                <w:color w:val="auto"/>
              </w:rPr>
            </w:pPr>
            <w:r>
              <w:rPr>
                <w:rFonts w:ascii="Arial" w:cs="Arial" w:eastAsia="Arial" w:hAnsi="Arial"/>
                <w:sz w:val="18"/>
                <w:szCs w:val="18"/>
                <w:color w:val="auto"/>
              </w:rPr>
              <w:t>•   Automotive</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 Field Stop Trench IGBT</w:t>
            </w:r>
          </w:p>
        </w:tc>
        <w:tc>
          <w:tcPr>
            <w:tcW w:w="3240" w:type="dxa"/>
            <w:vAlign w:val="bottom"/>
          </w:tcPr>
          <w:p>
            <w:pPr>
              <w:ind w:left="80"/>
              <w:spacing w:after="0"/>
              <w:rPr>
                <w:sz w:val="20"/>
                <w:szCs w:val="20"/>
                <w:color w:val="auto"/>
              </w:rPr>
            </w:pPr>
            <w:r>
              <w:rPr>
                <w:rFonts w:ascii="Arial" w:cs="Arial" w:eastAsia="Arial" w:hAnsi="Arial"/>
                <w:sz w:val="18"/>
                <w:szCs w:val="18"/>
                <w:color w:val="auto"/>
              </w:rPr>
              <w:t>•   Solar inverters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 Current options from 15A to 100A</w:t>
            </w:r>
          </w:p>
        </w:tc>
        <w:tc>
          <w:tcPr>
            <w:tcW w:w="3240" w:type="dxa"/>
            <w:vAlign w:val="bottom"/>
          </w:tcPr>
          <w:p>
            <w:pPr>
              <w:ind w:left="80"/>
              <w:spacing w:after="0"/>
              <w:rPr>
                <w:sz w:val="20"/>
                <w:szCs w:val="20"/>
                <w:color w:val="auto"/>
              </w:rPr>
            </w:pPr>
            <w:r>
              <w:rPr>
                <w:rFonts w:ascii="Arial" w:cs="Arial" w:eastAsia="Arial" w:hAnsi="Arial"/>
                <w:sz w:val="18"/>
                <w:szCs w:val="18"/>
                <w:color w:val="auto"/>
              </w:rPr>
              <w:t>•   Industrial applications</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Arial" w:cs="Arial" w:eastAsia="Arial" w:hAnsi="Arial"/>
                <w:sz w:val="18"/>
                <w:szCs w:val="18"/>
                <w:color w:val="auto"/>
              </w:rPr>
              <w:t>•   Consumer appliances</w:t>
            </w:r>
          </w:p>
        </w:tc>
      </w:tr>
      <w:tr>
        <w:trPr>
          <w:trHeight w:val="378"/>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Product</w:t>
            </w:r>
          </w:p>
        </w:tc>
        <w:tc>
          <w:tcPr>
            <w:tcW w:w="356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Key Features</w:t>
            </w:r>
          </w:p>
        </w:tc>
      </w:tr>
      <w:tr>
        <w:trPr>
          <w:trHeight w:val="296"/>
        </w:trPr>
        <w:tc>
          <w:tcPr>
            <w:tcW w:w="4100" w:type="dxa"/>
            <w:vAlign w:val="bottom"/>
            <w:gridSpan w:val="2"/>
          </w:tcPr>
          <w:p>
            <w:pPr>
              <w:spacing w:after="0"/>
              <w:rPr>
                <w:sz w:val="20"/>
                <w:szCs w:val="20"/>
                <w:color w:val="auto"/>
              </w:rPr>
            </w:pPr>
            <w:r>
              <w:rPr>
                <w:rFonts w:ascii="Arial" w:cs="Arial" w:eastAsia="Arial" w:hAnsi="Arial"/>
                <w:sz w:val="18"/>
                <w:szCs w:val="18"/>
                <w:color w:val="auto"/>
              </w:rPr>
              <w:t>AC-DC/DC-DC Converter</w:t>
            </w:r>
          </w:p>
        </w:tc>
        <w:tc>
          <w:tcPr>
            <w:tcW w:w="3560" w:type="dxa"/>
            <w:vAlign w:val="bottom"/>
          </w:tcPr>
          <w:p>
            <w:pPr>
              <w:ind w:left="100"/>
              <w:spacing w:after="0"/>
              <w:rPr>
                <w:sz w:val="20"/>
                <w:szCs w:val="20"/>
                <w:color w:val="auto"/>
              </w:rPr>
            </w:pPr>
            <w:r>
              <w:rPr>
                <w:rFonts w:ascii="Arial" w:cs="Arial" w:eastAsia="Arial" w:hAnsi="Arial"/>
                <w:sz w:val="18"/>
                <w:szCs w:val="18"/>
                <w:color w:val="auto"/>
              </w:rPr>
              <w:t>•   Wide control range for high power</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280"/>
              <w:spacing w:after="0"/>
              <w:rPr>
                <w:sz w:val="20"/>
                <w:szCs w:val="20"/>
                <w:color w:val="auto"/>
              </w:rPr>
            </w:pPr>
            <w:r>
              <w:rPr>
                <w:rFonts w:ascii="Arial" w:cs="Arial" w:eastAsia="Arial" w:hAnsi="Arial"/>
                <w:sz w:val="18"/>
                <w:szCs w:val="18"/>
                <w:color w:val="auto"/>
              </w:rPr>
              <w:t>application (&gt;150W)</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 Advanced BCDMOS process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 High Precision Voltage Reference</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 Very low startup current consumption</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 Fast load and line regulation</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 Accurate output voltage</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 OCP, SCP and thermal protections</w:t>
            </w: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LED Backlighting Drivers</w:t>
            </w:r>
          </w:p>
        </w:tc>
        <w:tc>
          <w:tcPr>
            <w:tcW w:w="3560" w:type="dxa"/>
            <w:vAlign w:val="bottom"/>
          </w:tcPr>
          <w:p>
            <w:pPr>
              <w:ind w:left="100"/>
              <w:spacing w:after="0"/>
              <w:rPr>
                <w:sz w:val="20"/>
                <w:szCs w:val="20"/>
                <w:color w:val="auto"/>
              </w:rPr>
            </w:pPr>
            <w:r>
              <w:rPr>
                <w:rFonts w:ascii="Arial" w:cs="Arial" w:eastAsia="Arial" w:hAnsi="Arial"/>
                <w:sz w:val="18"/>
                <w:szCs w:val="18"/>
                <w:color w:val="auto"/>
              </w:rPr>
              <w:t>•   High efficiency, wide input voltage range</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 Advanced BCDMOS process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 OCP, SCP, OVP and UVLO protections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 Accurate LED current control and multi-</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280"/>
              <w:spacing w:after="0"/>
              <w:rPr>
                <w:sz w:val="20"/>
                <w:szCs w:val="20"/>
                <w:color w:val="auto"/>
              </w:rPr>
            </w:pPr>
            <w:r>
              <w:rPr>
                <w:rFonts w:ascii="Arial" w:cs="Arial" w:eastAsia="Arial" w:hAnsi="Arial"/>
                <w:sz w:val="18"/>
                <w:szCs w:val="18"/>
                <w:color w:val="auto"/>
              </w:rPr>
              <w:t>channel matching</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 Programmable current limit, boost up</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560" w:type="dxa"/>
            <w:vAlign w:val="bottom"/>
          </w:tcPr>
          <w:p>
            <w:pPr>
              <w:ind w:left="280"/>
              <w:spacing w:after="0"/>
              <w:rPr>
                <w:sz w:val="20"/>
                <w:szCs w:val="20"/>
                <w:color w:val="auto"/>
              </w:rPr>
            </w:pPr>
            <w:r>
              <w:rPr>
                <w:rFonts w:ascii="Arial" w:cs="Arial" w:eastAsia="Arial" w:hAnsi="Arial"/>
                <w:sz w:val="18"/>
                <w:szCs w:val="18"/>
                <w:color w:val="auto"/>
              </w:rPr>
              <w:t>frequency</w:t>
            </w: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Digital Controlled LED Driver</w:t>
            </w:r>
          </w:p>
        </w:tc>
        <w:tc>
          <w:tcPr>
            <w:tcW w:w="3560" w:type="dxa"/>
            <w:vAlign w:val="bottom"/>
          </w:tcPr>
          <w:p>
            <w:pPr>
              <w:ind w:left="100"/>
              <w:spacing w:after="0"/>
              <w:rPr>
                <w:sz w:val="20"/>
                <w:szCs w:val="20"/>
                <w:color w:val="auto"/>
              </w:rPr>
            </w:pPr>
            <w:r>
              <w:rPr>
                <w:rFonts w:ascii="Arial" w:cs="Arial" w:eastAsia="Arial" w:hAnsi="Arial"/>
                <w:sz w:val="18"/>
                <w:szCs w:val="18"/>
                <w:color w:val="auto"/>
              </w:rPr>
              <w:t>•   Multi-channel constant current control</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 12Bit gray scale with SPI</w:t>
            </w: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LED Lighting Drivers</w:t>
            </w:r>
          </w:p>
        </w:tc>
        <w:tc>
          <w:tcPr>
            <w:tcW w:w="3560" w:type="dxa"/>
            <w:vAlign w:val="bottom"/>
          </w:tcPr>
          <w:p>
            <w:pPr>
              <w:ind w:left="100"/>
              <w:spacing w:after="0"/>
              <w:rPr>
                <w:sz w:val="20"/>
                <w:szCs w:val="20"/>
                <w:color w:val="auto"/>
              </w:rPr>
            </w:pPr>
            <w:r>
              <w:rPr>
                <w:rFonts w:ascii="Arial" w:cs="Arial" w:eastAsia="Arial" w:hAnsi="Arial"/>
                <w:sz w:val="18"/>
                <w:szCs w:val="18"/>
                <w:color w:val="auto"/>
              </w:rPr>
              <w:t>•   High efficiency, wide input voltage range</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w w:val="95"/>
              </w:rPr>
              <w:t>•   Simple solutions with external components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280"/>
              <w:spacing w:after="0"/>
              <w:rPr>
                <w:sz w:val="20"/>
                <w:szCs w:val="20"/>
                <w:color w:val="auto"/>
              </w:rPr>
            </w:pPr>
            <w:r>
              <w:rPr>
                <w:rFonts w:ascii="Arial" w:cs="Arial" w:eastAsia="Arial" w:hAnsi="Arial"/>
                <w:sz w:val="18"/>
                <w:szCs w:val="18"/>
                <w:color w:val="auto"/>
              </w:rPr>
              <w:t>fully integrated</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w w:val="96"/>
              </w:rPr>
              <w:t>•   Advanced high voltage BCDMOS process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 Accurate LED current control and high</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560" w:type="dxa"/>
            <w:vAlign w:val="bottom"/>
          </w:tcPr>
          <w:p>
            <w:pPr>
              <w:ind w:left="280"/>
              <w:spacing w:after="0"/>
              <w:rPr>
                <w:sz w:val="20"/>
                <w:szCs w:val="20"/>
                <w:color w:val="auto"/>
              </w:rPr>
            </w:pPr>
            <w:r>
              <w:rPr>
                <w:rFonts w:ascii="Arial" w:cs="Arial" w:eastAsia="Arial" w:hAnsi="Arial"/>
                <w:sz w:val="18"/>
                <w:szCs w:val="18"/>
                <w:color w:val="auto"/>
              </w:rPr>
              <w:t>power factor and low THB</w:t>
            </w: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Regulators</w:t>
            </w:r>
          </w:p>
        </w:tc>
        <w:tc>
          <w:tcPr>
            <w:tcW w:w="3560" w:type="dxa"/>
            <w:vAlign w:val="bottom"/>
          </w:tcPr>
          <w:p>
            <w:pPr>
              <w:ind w:left="100"/>
              <w:spacing w:after="0"/>
              <w:rPr>
                <w:sz w:val="20"/>
                <w:szCs w:val="20"/>
                <w:color w:val="auto"/>
              </w:rPr>
            </w:pPr>
            <w:r>
              <w:rPr>
                <w:rFonts w:ascii="Arial" w:cs="Arial" w:eastAsia="Arial" w:hAnsi="Arial"/>
                <w:sz w:val="18"/>
                <w:szCs w:val="18"/>
                <w:color w:val="auto"/>
              </w:rPr>
              <w:t>•   Single and multi-regulators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 Low Noise Output regulators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 Wide range of input voltage and various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280"/>
              <w:spacing w:after="0"/>
              <w:rPr>
                <w:sz w:val="20"/>
                <w:szCs w:val="20"/>
                <w:color w:val="auto"/>
              </w:rPr>
            </w:pPr>
            <w:r>
              <w:rPr>
                <w:rFonts w:ascii="Arial" w:cs="Arial" w:eastAsia="Arial" w:hAnsi="Arial"/>
                <w:sz w:val="18"/>
                <w:szCs w:val="18"/>
                <w:color w:val="auto"/>
              </w:rPr>
              <w:t>output current</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 CMOS and BCDMOS processes</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w w:val="98"/>
              </w:rPr>
              <w:t>•   LDO (Low Drop Out — Linear Regulator)</w:t>
            </w: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SSD PMIC</w:t>
            </w:r>
          </w:p>
        </w:tc>
        <w:tc>
          <w:tcPr>
            <w:tcW w:w="3560" w:type="dxa"/>
            <w:vAlign w:val="bottom"/>
          </w:tcPr>
          <w:p>
            <w:pPr>
              <w:ind w:left="100"/>
              <w:spacing w:after="0"/>
              <w:rPr>
                <w:sz w:val="20"/>
                <w:szCs w:val="20"/>
                <w:color w:val="auto"/>
              </w:rPr>
            </w:pPr>
            <w:r>
              <w:rPr>
                <w:rFonts w:ascii="Arial" w:cs="Arial" w:eastAsia="Arial" w:hAnsi="Arial"/>
                <w:sz w:val="18"/>
                <w:szCs w:val="18"/>
                <w:color w:val="auto"/>
              </w:rPr>
              <w:t>•   High current buck</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 PFM function</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 High frequency switching</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 High efficiency</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 High integration technology</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•   Small QFN package</w:t>
            </w:r>
          </w:p>
        </w:tc>
      </w:tr>
      <w:tr>
        <w:trPr>
          <w:trHeight w:val="378"/>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15240</wp:posOffset>
            </wp:positionV>
            <wp:extent cx="2057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97" w:lineRule="exact"/>
        <w:rPr>
          <w:sz w:val="20"/>
          <w:szCs w:val="20"/>
          <w:color w:val="auto"/>
        </w:rPr>
      </w:pPr>
    </w:p>
    <w:p>
      <w:pPr>
        <w:ind w:right="820"/>
        <w:spacing w:after="0" w:line="271" w:lineRule="auto"/>
        <w:rPr>
          <w:sz w:val="20"/>
          <w:szCs w:val="20"/>
          <w:color w:val="auto"/>
        </w:rPr>
      </w:pPr>
      <w:r>
        <w:rPr>
          <w:rFonts w:ascii="Arial" w:cs="Arial" w:eastAsia="Arial" w:hAnsi="Arial"/>
          <w:sz w:val="17"/>
          <w:szCs w:val="17"/>
          <w:color w:val="auto"/>
        </w:rPr>
        <w:t>•   LCD/LED/UHD TVs •   Power supplies •   Smartphones</w:t>
      </w:r>
    </w:p>
    <w:p>
      <w:pPr>
        <w:spacing w:after="0"/>
        <w:rPr>
          <w:sz w:val="20"/>
          <w:szCs w:val="20"/>
          <w:color w:val="auto"/>
        </w:rPr>
      </w:pPr>
      <w:r>
        <w:rPr>
          <w:rFonts w:ascii="Arial" w:cs="Arial" w:eastAsia="Arial" w:hAnsi="Arial"/>
          <w:sz w:val="18"/>
          <w:szCs w:val="18"/>
          <w:color w:val="auto"/>
        </w:rPr>
        <w:t>•   Mobile phones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 Notebooks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 Set-top boxes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 Tablet PCs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 Notebooks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 Smartphones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 LED/UHD TVs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 LED monitors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 Digital signage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•   AC and DC LED lighting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 Smartphones and Mobile phones •   Notebooks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 Computing applications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•   Computing applications</w:t>
      </w:r>
    </w:p>
    <w:p>
      <w:pPr>
        <w:sectPr>
          <w:pgSz w:w="11900" w:h="16838" w:orient="portrait"/>
          <w:cols w:equalWidth="0" w:num="2">
            <w:col w:w="7780" w:space="200"/>
            <w:col w:w="2540"/>
          </w:cols>
          <w:pgMar w:left="320" w:top="486" w:right="10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Product</w:t>
            </w:r>
          </w:p>
        </w:tc>
        <w:tc>
          <w:tcPr>
            <w:tcW w:w="2880" w:type="dxa"/>
            <w:vAlign w:val="bottom"/>
          </w:tcPr>
          <w:p>
            <w:pPr>
              <w:spacing w:after="0"/>
              <w:rPr>
                <w:sz w:val="15"/>
                <w:szCs w:val="15"/>
                <w:color w:val="auto"/>
              </w:rPr>
            </w:pPr>
          </w:p>
        </w:tc>
        <w:tc>
          <w:tcPr>
            <w:tcW w:w="356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Key Features</w:t>
            </w:r>
          </w:p>
        </w:tc>
        <w:tc>
          <w:tcPr>
            <w:tcW w:w="120" w:type="dxa"/>
            <w:vAlign w:val="bottom"/>
          </w:tcPr>
          <w:p>
            <w:pPr>
              <w:spacing w:after="0"/>
              <w:rPr>
                <w:sz w:val="15"/>
                <w:szCs w:val="15"/>
                <w:color w:val="auto"/>
              </w:rPr>
            </w:pPr>
          </w:p>
        </w:tc>
        <w:tc>
          <w:tcPr>
            <w:tcW w:w="32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Applications</w:t>
            </w:r>
          </w:p>
        </w:tc>
      </w:tr>
      <w:tr>
        <w:trPr>
          <w:trHeight w:val="296"/>
        </w:trPr>
        <w:tc>
          <w:tcPr>
            <w:tcW w:w="4100" w:type="dxa"/>
            <w:vAlign w:val="bottom"/>
            <w:gridSpan w:val="3"/>
          </w:tcPr>
          <w:p>
            <w:pPr>
              <w:spacing w:after="0"/>
              <w:rPr>
                <w:sz w:val="20"/>
                <w:szCs w:val="20"/>
                <w:color w:val="auto"/>
              </w:rPr>
            </w:pPr>
            <w:r>
              <w:rPr>
                <w:rFonts w:ascii="Arial" w:cs="Arial" w:eastAsia="Arial" w:hAnsi="Arial"/>
                <w:sz w:val="18"/>
                <w:szCs w:val="18"/>
                <w:color w:val="auto"/>
              </w:rPr>
              <w:t>Logic PMIC</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 High current boost</w:t>
            </w:r>
          </w:p>
        </w:tc>
        <w:tc>
          <w:tcPr>
            <w:tcW w:w="3240" w:type="dxa"/>
            <w:vAlign w:val="bottom"/>
          </w:tcPr>
          <w:p>
            <w:pPr>
              <w:ind w:left="80"/>
              <w:spacing w:after="0"/>
              <w:rPr>
                <w:sz w:val="20"/>
                <w:szCs w:val="20"/>
                <w:color w:val="auto"/>
              </w:rPr>
            </w:pPr>
            <w:r>
              <w:rPr>
                <w:rFonts w:ascii="Arial" w:cs="Arial" w:eastAsia="Arial" w:hAnsi="Arial"/>
                <w:sz w:val="18"/>
                <w:szCs w:val="18"/>
                <w:color w:val="auto"/>
              </w:rPr>
              <w:t>•   Notebooks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 Integrated pass transistor</w:t>
            </w:r>
          </w:p>
        </w:tc>
        <w:tc>
          <w:tcPr>
            <w:tcW w:w="3240" w:type="dxa"/>
            <w:vAlign w:val="bottom"/>
          </w:tcPr>
          <w:p>
            <w:pPr>
              <w:ind w:left="80"/>
              <w:spacing w:after="0"/>
              <w:rPr>
                <w:sz w:val="20"/>
                <w:szCs w:val="20"/>
                <w:color w:val="auto"/>
              </w:rPr>
            </w:pPr>
            <w:r>
              <w:rPr>
                <w:rFonts w:ascii="Arial" w:cs="Arial" w:eastAsia="Arial" w:hAnsi="Arial"/>
                <w:sz w:val="18"/>
                <w:szCs w:val="18"/>
                <w:color w:val="auto"/>
              </w:rPr>
              <w:t>•   Tablet PCs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 LDO</w:t>
            </w:r>
          </w:p>
        </w:tc>
        <w:tc>
          <w:tcPr>
            <w:tcW w:w="3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 3channel high current buck</w:t>
            </w:r>
          </w:p>
        </w:tc>
        <w:tc>
          <w:tcPr>
            <w:tcW w:w="3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 Negative Charge Pump</w:t>
            </w:r>
          </w:p>
        </w:tc>
        <w:tc>
          <w:tcPr>
            <w:tcW w:w="3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 2channel buffer Op-Amp.</w:t>
            </w:r>
          </w:p>
        </w:tc>
        <w:tc>
          <w:tcPr>
            <w:tcW w:w="32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•   Tiny Wafer Level CSP</w:t>
            </w:r>
          </w:p>
        </w:tc>
        <w:tc>
          <w:tcPr>
            <w:tcW w:w="3240" w:type="dxa"/>
            <w:vAlign w:val="bottom"/>
          </w:tcPr>
          <w:p>
            <w:pPr>
              <w:spacing w:after="0"/>
              <w:rPr>
                <w:sz w:val="20"/>
                <w:szCs w:val="20"/>
                <w:color w:val="auto"/>
              </w:rPr>
            </w:pPr>
          </w:p>
        </w:tc>
      </w:tr>
      <w:tr>
        <w:trPr>
          <w:trHeight w:val="162"/>
        </w:trPr>
        <w:tc>
          <w:tcPr>
            <w:tcW w:w="1220" w:type="dxa"/>
            <w:vAlign w:val="bottom"/>
            <w:tcBorders>
              <w:bottom w:val="single" w:sz="8" w:color="auto"/>
            </w:tcBorders>
            <w:gridSpan w:val="2"/>
          </w:tcPr>
          <w:p>
            <w:pPr>
              <w:spacing w:after="0"/>
              <w:rPr>
                <w:sz w:val="14"/>
                <w:szCs w:val="14"/>
                <w:color w:val="auto"/>
              </w:rPr>
            </w:pPr>
          </w:p>
        </w:tc>
        <w:tc>
          <w:tcPr>
            <w:tcW w:w="2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250"/>
        </w:trPr>
        <w:tc>
          <w:tcPr>
            <w:tcW w:w="4100" w:type="dxa"/>
            <w:vAlign w:val="bottom"/>
            <w:gridSpan w:val="3"/>
          </w:tcPr>
          <w:p>
            <w:pPr>
              <w:spacing w:after="0"/>
              <w:rPr>
                <w:sz w:val="20"/>
                <w:szCs w:val="20"/>
                <w:color w:val="auto"/>
              </w:rPr>
            </w:pPr>
            <w:r>
              <w:rPr>
                <w:rFonts w:ascii="Arial" w:cs="Arial" w:eastAsia="Arial" w:hAnsi="Arial"/>
                <w:sz w:val="18"/>
                <w:szCs w:val="18"/>
                <w:color w:val="auto"/>
              </w:rPr>
              <w:t>*  In customer qualification stage</w:t>
            </w:r>
          </w:p>
        </w:tc>
        <w:tc>
          <w:tcPr>
            <w:tcW w:w="3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tcPr>
          <w:p>
            <w:pPr>
              <w:spacing w:after="0"/>
              <w:rPr>
                <w:sz w:val="21"/>
                <w:szCs w:val="2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focus our sales and marketing strategy on continuing to grow and leverage our existing relationships with leading consumer electronics OEMs, while expanding into industrial and automotive end markets. We believe our close collaboration with customers allows us to align our product and technology development with our customers’ existing and future needs. Because our customers often service multiple end markets, our product sales teams are organized by customers within the major geographies. We believe this facilitates the sale of products that address multiple end-market applications to each of our customers.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sell our products through a direct sales force and a network of authorized agents and distributors. We have strategically located our sales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technical support offices near our customers. Our direct sales force consists primarily of representatives co-located with our design center in Korea,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well as our local sales and support offices and sales liaisons in Japan, Greater China, Taiwan and Europe. We have a network of agents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distributors in the U.S., Europe and the Asia Pacific region. For the years ended December 31, 2022, 2021 and 2020, we derived 48%, 62% and 75%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sales from our standard products business through our direct sales force, respectively, and 52%, 38% and 25% of net sales from our standard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products business through our network of authorized agents and distributors, respectively.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120" w:right="100" w:firstLine="440"/>
        <w:spacing w:after="0" w:line="283" w:lineRule="auto"/>
        <w:rPr>
          <w:sz w:val="20"/>
          <w:szCs w:val="20"/>
          <w:color w:val="auto"/>
        </w:rPr>
      </w:pPr>
      <w:r>
        <w:rPr>
          <w:rFonts w:ascii="Arial" w:cs="Arial" w:eastAsia="Arial" w:hAnsi="Arial"/>
          <w:sz w:val="16"/>
          <w:szCs w:val="16"/>
          <w:color w:val="auto"/>
        </w:rPr>
        <w:t>We sell our Display Solutions and Power Solutions products to consumer, computing, communication, automotive and industrial electronics OEMs, original design manufacturers and electronics manufacturing services companies, as well as subsystem designers. For the years ended December 31, 2022, 2021 and 2020, our ten largest customers accounted for 69.4%, 79.8% and 87.6% of net sales from our standard products business, respectively. Our arrangements with and reliance on key customers, particularly customers for our display products, may make it less practicable to pursue certain opportunities with other potential new and existing customers. For the year ended December 31, 2022, sales to Samsung Display represented 19.0% of net sales from our standard products business and 80.2% of net sales from our Display Solutions business line, and SAMT represented 13.8% of net sales from our standard products business and 18.1% of net sales from our Power Solutions business line. For the year ended December 31, 2021, sales to Samsung Display represented 42.5% of net sales from our standard products business and 89.7% of net sales from our Display Solutions business line, and SAMT represented 10.4% of net sales from our standard products business and 19.8% of net sales from our Power Solutions business line. For the year ended December 31, 2020, sales to Samsung Display represented 56.2% of net sales from our standard products business and 87.5% of net sales from our Display Solutions business line. For the year ended December 31, 2022, we recorded revenues of</w:t>
      </w:r>
    </w:p>
    <w:p>
      <w:pPr>
        <w:spacing w:after="0" w:line="4"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$10.4 million from customers in the U.S. and $291.5 million from all foreign countries, of which 42.2% was from Greater China and 36.1% was from Korea. For the year ended December 31, 2021, we recorded revenues of $6.1 million from customers in the U.S. and $427.0 million from all foreign countries, of which 47.2% was from Greater China, 26.6% from Korea and 18.9% from Vietnam. For the year ended December 31, 2020, we recorded revenues of $5.1 million from customers in the U.S. and $460.4 million from all foreign countries, of which 61.9% was from Greater China, 23.1% from Korea and 10.8% from Vietnam. All information pertaining to the geographic source of revenues is with respect to the geographic location to which our products are billed.</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86"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As of December 31, 2022, our portfolio of intellectual property assets included approximately 961 registered patents and 144 pending patent applications. Approximately 433 and 52 of our patents and pending applications, respectively, are novel in that they are not a foreign counterpart of an existing patent or patent application. Because we file patents in multiple jurisdictions, we additionally have approximately 528 registered patents and 92 pending applications that relate to identical technical claims in our base patent portfolio. Our patents expire at various times approximately over the next 19 years. While these patents are in the aggregate important to our competitive position, we do not believe that any single registered or pending patent is material to us.</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See “Item 1A. Risk Factors—Risks Related to Our Business—Our ability to compete successfully and achieve future growth will depend, in part, on our ability to protect our intellectual property, proprietary technology and know-how, as well as our ability to operate without infringing the proprietary rights of others.”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National Core Technology</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Under the Act on Prevention of Leakage and Protection of Industrial Technology of Korea (the “ITA”), any export (including various means of outflow such as sale or transfer outside Korea) of technology designated as “national core technology” (“National Core Technology” or “NCT”) by the Korean Ministry of Trade, Industry and Energy (the “MOTIE”) requires the filing of a prior-report with, and the acceptance of the same by, the MOTIE. Any such export of NCT without the acceptance of the prior report with the MOTIE may be subject to corrective orders by the relevant authorities, and failure to comply with such corrective orders may potentially result in criminal liabilities.</w:t>
      </w:r>
    </w:p>
    <w:p>
      <w:pPr>
        <w:spacing w:after="0" w:line="1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Notification Regarding Designation of National Core Technologies issued by the MOTIE was amended on July 14, 2021 to add certain technologies to the list of National Core Technology designated by the MOTIE, and the amended list includes the design technology for OLED Display Driver IC for driving display panels (“OLED DDI”). In the ordinary course of business, our Korean subsidiary may provide certain information relating to its products, including OLED DDI, to customers, suppliers or vendors, and such disclosure of information may be subject to the NCT-related regulations under the ITA, and therefore the MOTIE’s acceptance of prior-reports. Since the amendment of the foregoing NCT list in July 2021, we have filed prior-reports with the MOTIE for the export of our OLED DDI product-related information to certain overseas vendors that manufacture our products, and all such reports have thus far been accepted by the MOTIE.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and power management semiconductor devices.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compete based on design experience, manufacturing capabilities, the ability to satisfy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worldwide workforce consisted of 897 employees (full- and part-time) as of December 31, 2022, of which 202 were involved in sales, marketing, general and administrative, 222 in research and development (including 87 with advanced degrees), 44 in quality, reliability and assurance, and 429 in manufacturing (comprised of 46 in engineering and 383 in operations, maintenance and others). Our employees leverage their extensive expertise in engineering, design and process to accelerate the advancement of technology and be leaders in our industry. We pride our company on being a great workplace where employees from diverse backgrounds can reach their full potential.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Labor Unions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As disclosed in previous reports, we have a labor union at our Korean subsidiary (the “First Union”). On September 16, 2021, the formation of a second labor union at our Korean subsidiary (the “Second Union”) was approved by local authorities (the First Union and the Second Union are collectively referred to as the “Magnachip Semiconductor Labor Unions”). Both the First Union and the Second Union are members of a supervisory association named “Federation of Korean Trade Unions.” The First Union represents member employees who are factory workers and the Second Union represents member employees who are office workers, in both cases at our Korean subsidiary.</w:t>
      </w:r>
    </w:p>
    <w:p>
      <w:pPr>
        <w:spacing w:after="0" w:line="17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As of December 31, 2022, of the 866 employees at our Korean subsidiary, 387 were represented by the First Union, and 98 employees were represented by the Second Union. Approximately 56% of our employees at our Korean subsidiary were represented by the Magnachip Semiconductor Labor Unions.</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See “Item 1A. Risk Factors—Risks Related to Our Business—If we encounter future labor problems, we may fail to deliver our products and services in a timely manner, which would adversely affect our revenues and profitability.”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Values and Culture</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Our core values represent a commitment to building an environment of trust with our employees, customers, investors and the communities in which we operate. Through our values and culture, we strive to shape a better future not only for ourselves and our customers, but for humanity as a whole. At Magnachip, we strive to foster effective collaboration by respecting different perspectives, giving and receiving constructive feedback, and supporting one another.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Inclusion and Diversity</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support all employees, regardless of gender, gender identity or expression, age, veteran status, race, ethnicity, national origin, religion or disability. We place great importance on inclusion and diversity within the workplace, and believe that an inclusive and diverse culture creates a happier, more relaxed work environment.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Labor and Ethics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Magnachip strives to provide and maintain a working environment where management and employees are happy and treated with dignity and respect. Magnachip adheres to human rights and labor standards of international labor organizations, such as the United Nations and the International Labor Organization. Magnachip prohibits all forms of discrimination based on gender, race, nationality, religion and age to ensure all employees work in a safe and fair environment.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Empowering Great Talent</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offer a variety of offline training programs, including courses in the areas of design, engineering and technology, as well as courses at different job levels and leadership education. We also offer a number of online training programs, including in the areas of management/leadership and business skills such as presentation, negotiation, reporting, Information Technology and foreign language, which allow employees to improve their capabilities without time and space constraints. Every year, a majority of our employees are required to complete certain educational programs in the areas of information security, industrial safety and health, and sexual harassment prevention.</w:t>
      </w:r>
    </w:p>
    <w:p>
      <w:pPr>
        <w:spacing w:after="0" w:line="176"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We believe the foundation of Magnachip is our research and development (“R&amp;D”) talent. To ensure R&amp;D technical professionals continue to advance their skills and knowledge, we have technology committees that attend regular seminars and conduct periodic research. We have a reward program for exemplary research.</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also offer a Vision Seminar, which is led by our CEO and is designed to share our company’s vision, strategy and the management’s key messages to employees. Additionally, the CEO and management regularly communicate with employees through CEO letters and town hall meetings.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strive to reward employees with competitive compensation based on contribution and performance. We periodically evaluate market practices for compensation and benefits, including with respect to job function, role and responsibility, job level and region, and regularly review whether our compensation levels and distribution methods are fair and equitable. Additionally, we have long- and mid-term retention programs to attract and retain high-performing key talent.</w:t>
      </w:r>
    </w:p>
    <w:p>
      <w:pPr>
        <w:spacing w:after="0" w:line="187"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We offer various employee benefits under the company philosophy that ensuring employees enjoy a happier life with their families is as critical as promoting their own health and well-being. All employees and their family members have access to annual medical checkup programs. Employees also have access to other benefits such as personal pensions, housing assistance, medical reimbursement plans and educational assistance programs.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Safety and Wellness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During the ongoing COVID-19 pandemic, our priority has been ensuring the health and safety of our employees and their families. We built a companywide control tower to provide appropriate response guidance as the pandemic has evolved, and have secured internal/external capabilities to respond to emergencies systematically. In response to the ongoing COVID-19 pandemic, we quickly instituted infrastructure to support remote working, so that our employees could work from home in a safe and stable environment. In addition, we have installed safety facilities within our business sites.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change frequently and have tended to become more stringent over time. Since 2015, our Korean subsidiary has been subject to a new set of greenhouse gas emissions regulation, the Korean Emissions Trading Scheme, or K-ETS, under the Act on Allocation and Trading of Greenhouse Gas Emission Allowances. Under K-ETS, our Korean subsidiary was allocated a certain amount of emissions allowance in accordance with the National Allocation Plan prepared by the Korean government and is required to meet its allocated target by either reducing the emission or purchasing the allowances from other participants in the emission trading market.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Another example is the newly reinforced regulations on chemicals under Chemicals Control Act and K-REACH, which came into effect on January 1, 2015. Under these laws, our Korean subsidiary is required to comply with various requirements to report, evaluate, manage and ensure the safe usage of the chemicals used in its facilities. There can be no assurance that we have been or will be in compliance with all of these laws and regulations, or that we will not incur material costs or liabilities in connection with these laws and regulations in the future. The adoption of new environmental, health and safety laws and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use processes that require specialized raw materials that are generally available from a limited number of suppliers. We continue to attempt to qualify additional suppliers for our raw materials. The Securities and Exchange Commission (the “SEC”), as mandated by the Dodd-Frank Wall Street Reform and Consumer Protection Act of 2010, has adopted disclosure regulations for public companies that manufacture products containing certain minerals that are mined from the Democratic Republic of Congo and adjoining countries. These “conflict minerals” are commonly found in metals used in the manufacture of semiconductors. The implementation of these requirements could adversely affect the sourcing, availability and pricing of metals used in the manufacture of our products. See “Item 1A. Risk Factors—Risks Related to Our Business—Compliance with regulations regarding the use of “conflict minerals” could limit the supply and increase the cost of certain raw materials used in manufacturing our products.”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principal executive office is located at: c/o Magnachip Semiconductor, Ltd., 15F, 76, Jikji-daero 436beon-gil, Heungdeok-gu, Cheongju-si, Chungcheongbuk-do, 28581, Republic of Korea, and our email address is investors@magnachip.com. Our website address is www.magnachip.com. Our annual, quarterly and current reports on Forms 10-K, 10-Q or 8-K, respectively, and all amendments thereto filed or furnished pursuant to Section 13(a) or 15(d) of the Exchange Act, can be accessed, free of charge, at our website as soon as practicable after such reports are filed with the SEC. In addition, our Corporate Governance Guidelines, Code of Business Conduct and Ethics, Clawback Policy, Audit Committee Charter, Compensation Committee Charter, Nominating and Governance Committee Charter and Risk Committee Charter are available on our website. Information contained on our website does not constitute, and shall not be deemed to constitute, part of this Report and shall not be deemed to be incorporated by reference into this Report. In addition, the SEC maintains an internet site, www.sec.gov, from which you can access our annual, quarterly and current reports on Form 10-K, 10-Q and 8-K, respectively, and all amendments to these materials after such reports and amendments are filed with the SEC. You may also request a copy of these filings, at no cost, by writing or telephoning us at the following address or phone number: c/o Magnachip Semiconductor, Ltd., 15F, 76 Jikji-daero 436beon-gil, Heungdeok-gu, Cheongju-si, Chungcheongbuk-do, 28581, Republic of Korea; Attention: Investor Relations; email address: investors@magnachip.com.</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regarding our current executive officers: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240" w:type="dxa"/>
            <w:vAlign w:val="bottom"/>
          </w:tcPr>
          <w:p>
            <w:pPr>
              <w:spacing w:after="0"/>
              <w:rPr>
                <w:sz w:val="16"/>
                <w:szCs w:val="16"/>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Age</w:t>
            </w:r>
          </w:p>
        </w:tc>
        <w:tc>
          <w:tcPr>
            <w:tcW w:w="334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(YJ) Kim</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w:t>
            </w:r>
          </w:p>
        </w:tc>
        <w:tc>
          <w:tcPr>
            <w:tcW w:w="8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CCEEFF"/>
            </w:tcBorders>
            <w:shd w:val="clear" w:color="auto" w:fill="CCEEFF"/>
          </w:tcPr>
          <w:p>
            <w:pPr>
              <w:ind w:left="80"/>
              <w:spacing w:after="0" w:line="203" w:lineRule="exact"/>
              <w:rPr>
                <w:sz w:val="20"/>
                <w:szCs w:val="20"/>
                <w:color w:val="auto"/>
              </w:rPr>
            </w:pPr>
            <w:r>
              <w:rPr>
                <w:rFonts w:ascii="Arial" w:cs="Arial" w:eastAsia="Arial" w:hAnsi="Arial"/>
                <w:sz w:val="18"/>
                <w:szCs w:val="18"/>
                <w:color w:val="auto"/>
              </w:rPr>
              <w:t>Director and Chief Executive Officer</w:t>
            </w:r>
          </w:p>
        </w:tc>
        <w:tc>
          <w:tcPr>
            <w:tcW w:w="500" w:type="dxa"/>
            <w:vAlign w:val="bottom"/>
            <w:tcBorders>
              <w:top w:val="single" w:sz="8" w:color="auto"/>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Shin Young Park</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7100" w:type="dxa"/>
            <w:vAlign w:val="bottom"/>
            <w:gridSpan w:val="3"/>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71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Chief Compliance Officer, General Counsel and Secretary</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7100" w:type="dxa"/>
            <w:vAlign w:val="bottom"/>
            <w:gridSpan w:val="3"/>
          </w:tcPr>
          <w:p>
            <w:pPr>
              <w:ind w:left="80"/>
              <w:spacing w:after="0"/>
              <w:rPr>
                <w:sz w:val="20"/>
                <w:szCs w:val="20"/>
                <w:color w:val="auto"/>
              </w:rPr>
            </w:pPr>
            <w:r>
              <w:rPr>
                <w:rFonts w:ascii="Arial" w:cs="Arial" w:eastAsia="Arial" w:hAnsi="Arial"/>
                <w:sz w:val="18"/>
                <w:szCs w:val="18"/>
                <w:color w:val="auto"/>
              </w:rPr>
              <w:t>General Manager of Worldwide Sales</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Ho Park</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71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General Manager of Power Solutions</w:t>
            </w:r>
          </w:p>
        </w:tc>
      </w:tr>
      <w:tr>
        <w:trPr>
          <w:trHeight w:val="365"/>
        </w:trPr>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tcPr>
          <w:p>
            <w:pPr>
              <w:ind w:left="150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4"/>
                <w:szCs w:val="24"/>
                <w:color w:val="auto"/>
              </w:rPr>
            </w:pPr>
          </w:p>
        </w:tc>
        <w:tc>
          <w:tcPr>
            <w:tcW w:w="326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b w:val="1"/>
          <w:bCs w:val="1"/>
          <w:i w:val="1"/>
          <w:iCs w:val="1"/>
          <w:color w:val="auto"/>
        </w:rPr>
        <w:t xml:space="preserve">Young-Joon (YJ) Kim, Board of Directors, Member of the Risk Committee and Chief Executive Officer. </w:t>
      </w:r>
      <w:r>
        <w:rPr>
          <w:rFonts w:ascii="Arial" w:cs="Arial" w:eastAsia="Arial" w:hAnsi="Arial"/>
          <w:sz w:val="16"/>
          <w:szCs w:val="16"/>
          <w:color w:val="auto"/>
        </w:rPr>
        <w:t>Mr. YJ Kim became our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in May 2015 and has also served as a director on our Board since that time. In February 2020, Mr. Kim assumed the additional role of General Manager of the Display business to capitalize on attractive growth opportunities in OLED display and other relevant emerging markets. He also served as the acting General Manager of Foundry Services Group from January 2019 until the completion of the sale of the Foundry Services Group and the factory in Cheongju (“Fab 4”) on September 1, 2020. Mr. Kim joined our company in May 2013 and served as our Executive Vice President and General Manager, Display Solutions Division. He was promoted to Interim Chief Executive Officer in May 2014. Prior to joining our company,</w:t>
      </w:r>
    </w:p>
    <w:p>
      <w:pPr>
        <w:spacing w:after="0" w:line="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Mr. Kim held a variety of senior management roles at several global semiconductor firms. His past roles include marketing, engineering, product development and strategic planning, and his product expertise includes microprocessors, network processors, multi-core processors, FLASH, EPROM, analog, mixed-signal, sensors, wireless base station, workstations and servers. Immediately before joining our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in 1988. Mr. Kim holds B.S. and M. Eng. degrees in Electrical Engineering from Cornell University. Our Board has concluded that Mr. YJ Kim is a valuable member of the Board based on his understanding of our company’s products and technology as our Chief Executive Officer and his deep knowledge of the semiconductor industry.</w:t>
      </w:r>
    </w:p>
    <w:p>
      <w:pPr>
        <w:spacing w:after="0" w:line="16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b w:val="1"/>
          <w:bCs w:val="1"/>
          <w:i w:val="1"/>
          <w:iCs w:val="1"/>
          <w:color w:val="auto"/>
        </w:rPr>
        <w:t>Shin Young Park, Chief Financial Officer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Shin Young Park became our Chief Financial Officer in January 2022 and became our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Officer in March 2020. Ms. Park previously served as the Company’s Corporate Controller from November 2018 to February 2020. Prior to that, she served as the SEC Reporting and Accounting Director from April 2015 to October 2018. Before joining the Company in April 2014, from 2005 to March 2014, Ms. Park served in various senior advisory and audit service positions at Deloitte, a public accounting firm. From 2005 to 2009, she worked at Deloitte &amp; Touche in Chicago, Illinois; from 2009 to 2011 and then from 2013 to March 2014, she worked at Deloitte Anjin in Seoul, South Korea; and from 2011 to 2013, she worked at Deloitte in London, U.K. Ms. Park holds a B.A. degree in business administration from Sogang University, Seoul, Korea, and a Master’s degree in hospitality industry studies from New York University.</w:t>
      </w:r>
    </w:p>
    <w:p>
      <w:pPr>
        <w:spacing w:after="0" w:line="17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b w:val="1"/>
          <w:bCs w:val="1"/>
          <w:i w:val="1"/>
          <w:iCs w:val="1"/>
          <w:color w:val="auto"/>
        </w:rPr>
        <w:t xml:space="preserve">Theodore Kim, Chief Compliance Officer, General Counsel and Secretary. </w:t>
      </w:r>
      <w:r>
        <w:rPr>
          <w:rFonts w:ascii="Arial" w:cs="Arial" w:eastAsia="Arial" w:hAnsi="Arial"/>
          <w:sz w:val="16"/>
          <w:szCs w:val="16"/>
          <w:color w:val="auto"/>
        </w:rPr>
        <w:t>Mr. Theodore (“Ted”) Kim became our Chief Compliance Officer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2015 and became our General Counsel and Secretary in November 2013. Mr. Kim previously served as our Senior Vice President from November 2013 to May 2015. Prior to joining Magnachip, Mr. Kim served as Head Lawyer, Global Business Development at Samsung Fire &amp; Marine Insurance from October 2012 to October 2013. Mr. Kim was employed by Gibson Dunn, a law firm, from October 2005 to July 2012, serving most recently as Of Counsel. Prior to that, he served as Foreign Legal Consultant at Kim &amp; Chang, a law firm in Korea, from 2001 to 2005, and prior to that, he worked as an associate attorney at Morrison &amp; Foerster, a law firm, from 1997 to 2001. Mr. Kim holds a B.A. degree in Economics and a B.S. degree in Mechanical Engineering from University of California, Irvine, and a J.D. degree from University of California, Los Angeles, School of Law.</w:t>
      </w:r>
    </w:p>
    <w:p>
      <w:pPr>
        <w:spacing w:after="0" w:line="16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Woung Moo Lee, General Manager of Worldwide Sales. </w:t>
      </w:r>
      <w:r>
        <w:rPr>
          <w:rFonts w:ascii="Arial" w:cs="Arial" w:eastAsia="Arial" w:hAnsi="Arial"/>
          <w:sz w:val="18"/>
          <w:szCs w:val="18"/>
          <w:color w:val="auto"/>
        </w:rPr>
        <w:t>Mr. Woung Moo Lee was named as General Manager of Worldwide Sales since June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Prior to that, Mr. Lee served as General Manager of Worldwide Sales and Power Solutions from February 2020. Mr. Lee had been appointed as General Manager of the Standard Products Group in 2015 and prior to that served as our Senior Vice President, Korea Sales from 2013. Before joining our company, he was one of the founding executives and served as Vice President of Global Strategy and Marketing, Samsung LED Co., Ltd. from 2009 to 2011. In 1984, Mr. Lee began his career as a memory semiconductor design engineer and served as Vice President of Memory Strategy &amp; Marketing Team at Samsung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Electronics Co., Ltd. until 2009. Mr. Lee received the prestigious “Proud Samsung Employee Award” in 2005 and holds a B.S. degree in Electronic Engineering from Inha University.</w:t>
      </w:r>
    </w:p>
    <w:p>
      <w:pPr>
        <w:spacing w:after="0" w:line="166"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b w:val="1"/>
          <w:bCs w:val="1"/>
          <w:i w:val="1"/>
          <w:iCs w:val="1"/>
          <w:color w:val="auto"/>
        </w:rPr>
        <w:t>Chan Ho Park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General Manager of Power Solutions. </w:t>
      </w:r>
      <w:r>
        <w:rPr>
          <w:rFonts w:ascii="Arial" w:cs="Arial" w:eastAsia="Arial" w:hAnsi="Arial"/>
          <w:sz w:val="16"/>
          <w:szCs w:val="16"/>
          <w:color w:val="auto"/>
        </w:rPr>
        <w:t>Dr. Chan Ho Park became our General Manager of Power Solutions in June 2020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30 years of hands-on experience in the development of discrete power devices and market insights throughout the power semiconductor industry. Prior to joining our company, he was a senior staff at Vishay Intertechnology Inc. since March, 2014. He developed cutting-edge technology platforms for low voltages MOSFETs having 1.5 giga-cell density and provided high and low side MOSFETs for DrMOS to various power stage solutions.</w:t>
      </w:r>
    </w:p>
    <w:p>
      <w:pPr>
        <w:spacing w:after="0" w:line="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Dr. Park started his professional career in 1986 as a design engineer in the field of BJT, J-FET, and Schottky Diode at Samsung Electronics, located in Bucheon, Korea. Afterwards, he worked for Fairchild Semiconductor in West Jordan, Utah and for Vishay Siliconix in San Jose, California. He rejoined Samsung Electronics, System LSI Business in 2011 as the Vice President of Discrete Development Team, where he led R&amp;D, PE, FAE and high voltage power IC technologies for IGBTs, super-junction MOSFETs, split gate MOSFETs and driver ICs. He received a Ph.D. in Electrical Engineering from KAIST (Korea Advanced Institute of Science and Technology) and a B.S. in Physics from Seoul National University. He is a member of IEEE and a peer reviewer for IEEE transactions on Electron Devices and Electron Device Letters.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Report. Any of the following risks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risk factors included herein.</w:t>
      </w:r>
    </w:p>
    <w:p>
      <w:pPr>
        <w:spacing w:after="0" w:line="131" w:lineRule="exact"/>
        <w:rPr>
          <w:sz w:val="20"/>
          <w:szCs w:val="20"/>
          <w:color w:val="auto"/>
        </w:rPr>
      </w:pPr>
    </w:p>
    <w:p>
      <w:pPr>
        <w:ind w:left="540" w:right="20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We manufacture our products based on our estimates of customer demand, and if our estimates are incorrect, our financial results could be negatively impacted.</w:t>
      </w:r>
    </w:p>
    <w:p>
      <w:pPr>
        <w:spacing w:after="0" w:line="75" w:lineRule="exact"/>
        <w:rPr>
          <w:rFonts w:ascii="Arial" w:cs="Arial" w:eastAsia="Arial" w:hAnsi="Arial"/>
          <w:sz w:val="18"/>
          <w:szCs w:val="18"/>
          <w:color w:val="auto"/>
        </w:rPr>
      </w:pPr>
    </w:p>
    <w:p>
      <w:pPr>
        <w:ind w:left="540" w:right="14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A significant portion of our sales comes from a relatively limited number of customers, the loss of which could adversely affect our financial results.</w:t>
      </w:r>
    </w:p>
    <w:p>
      <w:pPr>
        <w:spacing w:after="0" w:line="75" w:lineRule="exact"/>
        <w:rPr>
          <w:rFonts w:ascii="Arial" w:cs="Arial" w:eastAsia="Arial" w:hAnsi="Arial"/>
          <w:sz w:val="18"/>
          <w:szCs w:val="18"/>
          <w:color w:val="auto"/>
        </w:rPr>
      </w:pPr>
    </w:p>
    <w:p>
      <w:pPr>
        <w:ind w:left="540" w:right="10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The average selling prices of our semiconductor products have at times declined rapidly and will likely do so in the future, which could harm our revenue and gross profit.</w:t>
      </w:r>
    </w:p>
    <w:p>
      <w:pPr>
        <w:spacing w:after="0" w:line="75" w:lineRule="exact"/>
        <w:rPr>
          <w:rFonts w:ascii="Arial" w:cs="Arial" w:eastAsia="Arial" w:hAnsi="Arial"/>
          <w:sz w:val="18"/>
          <w:szCs w:val="18"/>
          <w:color w:val="auto"/>
        </w:rPr>
      </w:pPr>
    </w:p>
    <w:p>
      <w:pPr>
        <w:ind w:left="540" w:right="28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We are subject to risks associated with currency fluctuations, and changes in the exchange rates of applicable currencies could impact our results of operations.</w:t>
      </w:r>
    </w:p>
    <w:p>
      <w:pPr>
        <w:spacing w:after="0" w:line="75"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Global shortages in manufacturing capacities could interrupt or negatively affect our operations, increase cost to manufacture and negatively impact our results of operations.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Expanded trade restrictions may limit our ability to sell to certain customers.</w:t>
      </w:r>
    </w:p>
    <w:p>
      <w:pPr>
        <w:spacing w:after="0" w:line="130" w:lineRule="exact"/>
        <w:rPr>
          <w:rFonts w:ascii="Arial" w:cs="Arial" w:eastAsia="Arial" w:hAnsi="Arial"/>
          <w:sz w:val="18"/>
          <w:szCs w:val="18"/>
          <w:color w:val="auto"/>
        </w:rPr>
      </w:pPr>
    </w:p>
    <w:p>
      <w:pPr>
        <w:ind w:left="540" w:right="200" w:hanging="424"/>
        <w:spacing w:after="0" w:line="34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Recent changes in international trade policy and the imposition and threats of international tariffs, including tariffs applied to goods traded between the United States and China, could materially and adversely affect our business and results of operations.</w:t>
      </w:r>
    </w:p>
    <w:p>
      <w:pPr>
        <w:spacing w:after="0" w:line="29" w:lineRule="exact"/>
        <w:rPr>
          <w:rFonts w:ascii="Arial" w:cs="Arial" w:eastAsia="Arial" w:hAnsi="Arial"/>
          <w:sz w:val="16"/>
          <w:szCs w:val="16"/>
          <w:color w:val="auto"/>
        </w:rPr>
      </w:pPr>
    </w:p>
    <w:p>
      <w:pPr>
        <w:ind w:left="540" w:right="28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Our Korean subsidiary has been designated as a regulated business under Korean environmental law, and such designation could have an adverse effect on our financial position and results of operations.</w:t>
      </w:r>
    </w:p>
    <w:p>
      <w:pPr>
        <w:spacing w:after="0" w:line="75" w:lineRule="exact"/>
        <w:rPr>
          <w:rFonts w:ascii="Arial" w:cs="Arial" w:eastAsia="Arial" w:hAnsi="Arial"/>
          <w:sz w:val="18"/>
          <w:szCs w:val="18"/>
          <w:color w:val="auto"/>
        </w:rPr>
      </w:pPr>
    </w:p>
    <w:p>
      <w:pPr>
        <w:ind w:left="540" w:right="14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Our compliance with the Serious Accidents Punishment Act (the “SAPA”) could require significant expenditures and management time and expose us to liability for violations.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86"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18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75" w:lineRule="exact"/>
        <w:rPr>
          <w:rFonts w:ascii="Arial" w:cs="Arial" w:eastAsia="Arial" w:hAnsi="Arial"/>
          <w:sz w:val="18"/>
          <w:szCs w:val="18"/>
          <w:color w:val="auto"/>
        </w:rPr>
      </w:pPr>
    </w:p>
    <w:p>
      <w:pPr>
        <w:ind w:left="540" w:right="34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We cannot guarantee that our share repurchase program will be successfully consummated, or that it will enhance shareholder value, and share repurchases could affect the price of our common stock.</w:t>
      </w:r>
    </w:p>
    <w:p>
      <w:pPr>
        <w:spacing w:after="0" w:line="75"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Provisions in our charter documents and Delaware Law may make it difficult for a third party to acquire us and could depress the price of our common stock.</w:t>
      </w:r>
    </w:p>
    <w:p>
      <w:pPr>
        <w:spacing w:after="0" w:line="75"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We have not historically paid dividends and do not currently have any dividend or distribution policy, and therefore, investors may need to rely on sales of their common stock as the only way to realize any future gains on their investments.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We operate in the highly cyclical semiconductor industry, which is subject to significant downturns that may negatively impact our results of operations.</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and price erosion, evolving technical standards, short product life cycles (for semiconductors and for the end-user products in which they are used) and wide fluctuations in product supply and demand. From time to time, these and other factors, together with changes in general economic conditions, cause significant upturns and downturns in the industry in general and in our business in particular. Periods of industry downturns have been characterized by diminished demand for end-user products, high inventory levels, underutilization of manufacturing capacity, changes in revenue mix and accelerated erosion of average selling prices. We have experienced these conditions in our business in the past and may experience renewed, and possibly more severe and prolonged, downturns in the future as a result of such cyclical changes. This may reduce our results of operations. Over the prior two years, increases in demand for semiconductor products resulted in a global shortage of manufacturing capacities. As a result, we experienced increases in the costs to manufacture our products. We are not able to foresee when the current shortage of manufacturing capacity will subside. If we are unable secure manufacturing capacities from our current subcontractors, our ability to deliver our products to our customers may be negatively impacted. These factors could cause a negative impact on our results of operations. However, we are beginning to see some indicators of improvement of such supply shortage situation. Current global macroeconomic conditions, including COVID-19 pandemic, higher inflation and interest rates and uncertainty caused by the Russian-Ukraine war, have led to weaker end-market demand and an oversupply of inventory. We continue to monitor these trends and uncertainties, and any decline in end-market demand and increase in inventory levels could negatively impact our financial condition and results of operations.</w:t>
      </w:r>
    </w:p>
    <w:p>
      <w:pPr>
        <w:spacing w:after="0" w:line="17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2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restructuring activities and dispositions of assets and businesses could result in lost business and other costs that could have a material adverse effect on our results of operations.</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From time to time, we may choose to sell assets, restructure business operations, shut down manufacturing lines or otherwise dispose of assets and businesses as part of management’s strategies to better align our product offerings with market demands and our customers’ needs. In connection with these activities, we face risks that we will disrupt service to our customers, lose business and incur significant costs related to such activities. These risks include potential damage to our reputation and customer relationships if we are unable to effectively transition such customer relationships to other production lines or products or if we cannot effectively manage our supplier and vendor relationships during such activities. In addition, we may also face claims or costs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associated with transitioning or eliminating certain employee positions and modifying or terminating vendor relationships in connection with those exit activities.</w:t>
      </w:r>
    </w:p>
    <w:p>
      <w:pPr>
        <w:spacing w:after="0" w:line="278"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develop new products and technologies or enhance our existing products in order to react to rapid technological change and market demands, our business will suffer.</w:t>
      </w:r>
    </w:p>
    <w:p>
      <w:pPr>
        <w:spacing w:after="0" w:line="62"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Our industry is subject to constant and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including smaller geometries, or to license or otherwise obtain essential intellectual property required by our customers.</w:t>
      </w:r>
    </w:p>
    <w:p>
      <w:pPr>
        <w:spacing w:after="0" w:line="18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must develop new products and enhance our existing products to meet rapidly evolving customer requirements. We design products for customers that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w:t>
      </w:r>
    </w:p>
    <w:p>
      <w:pPr>
        <w:spacing w:after="0" w:line="15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Customer and market requirements can change during the development of a product. There is a risk that these developments and enhancements will be late, fail to meet customer or market specifications or not be competitive with products from our competitors that offer comparable or superior performance and functionality. Any new products, such as our expanding line of power management solutions, or product enhancements, may not be accepted in new or existing markets. Our business will suffer if we fail to develop and introduce new products or product enhancements on a timely and cost-effective basis.</w:t>
      </w:r>
    </w:p>
    <w:p>
      <w:pPr>
        <w:spacing w:after="0" w:line="296"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We manufacture our products based on our estimates of customer demand, and if our estimates are incorrect, our financial results could be negatively impacted.</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customers may cancel their orders, reduce quantities or delay production, which would adversely affect our margins and results of operations.</w:t>
      </w:r>
    </w:p>
    <w:p>
      <w:pPr>
        <w:spacing w:after="0" w:line="152"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design-wins, have affected and may continue to affect our results of operations adversely. These risks are exacerbated because many of our products are customized, which hampers our ability to sell excess inventory to the general market. We may incur charges resulting from the write-off of obsolete inventory. In addition, while we do not obtain long-term purchase commitments, we generally agree to the pricing of a particular product over a set period of time. If we underestimate our costs when determining pricing, our margins and results of operations would be adversely affected.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fab manufacturing depends on high utilization of our manufacturing capacity, a reduction of which could have a material adverse effect on our business, financial condition and the results of our operations.</w:t>
      </w:r>
    </w:p>
    <w:p>
      <w:pPr>
        <w:spacing w:after="0" w:line="62"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An important factor in our success is the extent to which we are able to utilize the available capacity in our fabrication facility.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the inability to source sufficient materials necessary for manufacturing, low levels of customer orders, operating inefficiencies, strategic evaluations and decisions by our Board related our overall business, divisions and business lines, mechanical failures and disruption of operations due to expansion or relocation of operations, power interruptions and fire, flood or other natural disasters or calamities. The potential delays and costs resulting from these factors and circumstances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A significant portion of our sales comes from a relatively limited number of customers, the loss of which could adversely affect our financial results.</w:t>
      </w:r>
    </w:p>
    <w:p>
      <w:pPr>
        <w:spacing w:after="0" w:line="15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Historically, we have relied on a limited number of customers for a substantial portion of our total revenue. If we were to lose key customers or if customers cease to place orders for our high-volume products, particularly our display products, our financial results could be adversely affected. In addition, our arrangements with and reliance on key customers may make it less practicable to pursue certain opportunities with other potential new and existing customers. For the years ended December 31, 2022, 2021 and 2020, our ten largest customers accounted for 69.4%, 79.8% and 87.6% of net sales from our standard products business, respectively. For the year ended December 31, 2022, sales to Samsung Display represented 19.0% of net sales from our standard products business and 80.2% of net sales from our Display Solutions business line, and SAMT represented 13.8% of net sales from our standard products business and 18.1% of net sales from our Power Solutions business line. For the year ended December 31, 2021, sales to Samsung Display represented 42.5% of net sales from our standard products business and 89.7% of net sales from our Display Solutions business line, and SAMT represented 10.4% of net sales from our standard products business and 19.8% of net sales from our Power Solutions business line. For the year ended December 31, 2020, sales to Samsung Display represented 56.2% of net sales from our standard products business and 87.5% of net sales from our Display Solutions business line. Significant reductions in sales to any of these customers, especially our few largest customers, the loss of other major customers or a general curtailment in orders for our high-volume products within a short period of time could adversely affect our business.</w:t>
      </w:r>
    </w:p>
    <w:p>
      <w:pPr>
        <w:spacing w:after="0" w:line="27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average selling prices of our semiconductor products have at times declined rapidly and will likely do so in the future, which could harm our revenue and gross profit.</w:t>
      </w:r>
    </w:p>
    <w:p>
      <w:pPr>
        <w:spacing w:after="0" w:line="6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industry is highly competitive, and our ability to compete could be negatively impacted by a variety of factors.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semiconductor industry is highly competitive and includes hundreds of companies, a number of which have achieved substantial market share within both our product categories and end markets. Current and prospective customers for our products and services evaluate our capabilities against the merits of our</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competitors. Some of our competitors are well established as independent companies and have substantially</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86"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76"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offer cost-effective and high quality products and services on a timely basis using our technologies;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accurately identify and respond to emerging technological trends and demand for product features and performance characteristics;</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rapidly introduce new products that are accepted by the market;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adopt or adapt to emerging industry standards;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nature of our competitors and competitiveness of their products and services in a given market;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entrance of new competitors into our markets;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the highly competitive power management market.</w:t>
      </w:r>
    </w:p>
    <w:p>
      <w:pPr>
        <w:spacing w:after="0" w:line="225"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demand for consumer electronics in our end markets can impact our results of operations.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Demand for our products will depend in part on the demand for various consumer electronics products, in particular, mobile phones and multimedia devices, digital televisions, flat panel displays, mobile PCs and digital cameras, which in turn depends on general economic conditions and other factors beyond our control. If our customers fail to introduce new products that employ our products or component parts, demand for our products will suffer.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30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If we fail to achieve design-wins for our semiconductor products, we may lose the opportunity for sales to customers for a significant period of time and be unable to recoup our investments in our products.</w:t>
      </w:r>
    </w:p>
    <w:p>
      <w:pPr>
        <w:spacing w:after="0" w:line="6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expend considerable resources on winning competitive selection processes, known as design-wins, to develop semiconductor products for use in our customers’ products. These selection processes are typically lengthy and can require us to incur significant design and development expenditures. We may not win the competitive selection process and may never generate any revenue despite incurring significant design and development expenditures.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initial design-wins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86" w:right="5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have lengthy and expensive design-to-mass production and manufacturing process development cycles that may cause us to incur significant expenses without realizing meaningful sales, the occurrence of which would harm our business.</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30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Research and development investments may not yield profitable and commercially viable products, and thus will not necessarily result in increases in revenues for us.</w:t>
      </w:r>
    </w:p>
    <w:p>
      <w:pPr>
        <w:spacing w:after="0" w:line="62"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We invest significant resources in our research and development. Our research and development efforts, however, may not yield profitable or commercially viable products. During each stage of research and development, there is a substantial risk that we will have to abandon a potential product that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2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face numerous challenges relating to executing our growth strategy, and if we are unable to execute our growth strategy effectively, our business and financial results could be materially and adversely affected.</w:t>
      </w:r>
    </w:p>
    <w:p>
      <w:pPr>
        <w:spacing w:after="0" w:line="6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growth strategy is to leverage our advanced analog and mixed-signal technology platform, continue to innovate and deliver new products, increase business with existing customers, broaden our customer base, aggressively grow our power business, and drive execution excellence.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2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currency fluctuations, and changes in the exchange rates of applicable currencies could impact our results of operations.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Historically, a portion of our revenues and greater than the majority of our 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a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For example, foreign currency fluctuations had an unfavorable impact on our reported profit margins and operating income from operations for the fiscal year ended December 31, 2021 due to a relatively stronger Korean won during the period, while we had a favorable impact on our reported profit margins and operating income from operations for the fiscal year ended December 31, 2022 due to a relatively weaker Korean won during the period. Moreover, our foreign currency gain or loss would be affected by changes in the exchange rate between the Korean won and the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U.S. dollar as a substantial portion of non-cash translation gain or loss is associated with the intercompany long-term loans to our Korean subsidiary, which is denominated in U.S. dollars. As of December 31, 2022, the outstanding intercompany loan balance including accrued interests between our Korean subsidiary and our Dutch subsidiary was $311.0 million. Our Dutch subsidiary uses the U.S. dollar as their functional currency. As a result of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These foreign currency forward and zero cost collar contracts typically require us to sell specified notional amounts in U.S. dollars and provide us the option to sell specified notional amounts in U.S. dollars during successive months to our counterparty in exchange for Korean won at specified exchange rates.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total cash and cash equivalents is less than $30 million at the end of a fiscal quarter. We cannot assure that any hedging technique we implement will be effective. If our hedging activities are not effective, changes in currency exchange rates may have a more significant impact on our results of operations. See “Item 7. Management’s Discussion and Analysis of Financial Condition and Results of Operations—Factors Affecting our Results of Operations” for further details.</w:t>
      </w:r>
    </w:p>
    <w:p>
      <w:pPr>
        <w:spacing w:after="0" w:line="293"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b w:val="1"/>
          <w:bCs w:val="1"/>
          <w:i w:val="1"/>
          <w:iCs w:val="1"/>
          <w:color w:val="auto"/>
        </w:rPr>
        <w:t>The loss of our key employees would materially adversely affect our business, and we may not be able to attract or retain the technical or management employees necessary to compete in our industry.</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key executives have substantial experience and have made significant contributions to our business, and our continued success is dependent upon the retention of our key management executives. The loss of such key personnel would have a material adverse effect on our business. In addition, our future success depends on our ability to attract and retain skilled technical and managerial personnel. We do not know whether we will be able to retain all of these employees as we continue to pursue our business strategy. The loss of the services of key employees, especially our key design and technical personnel, or our inability to retain, attract and motivate qualified design and technical personnel, could have a material adverse effect on our business, financial condition and results of operations. This could hinder our research and product development programs or otherwise have a material adverse effect on our business.</w:t>
      </w:r>
    </w:p>
    <w:p>
      <w:pPr>
        <w:spacing w:after="0" w:line="28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we encounter future labor problems, we may fail to deliver our products and services in a timely manner, which would adversely affect our revenues and profitability.</w:t>
      </w:r>
    </w:p>
    <w:p>
      <w:pPr>
        <w:spacing w:after="0" w:line="6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As of December 31, 2022, 485 employees, or approximately 56% of our employees, were represented by the Magnachip Semiconductor Labor Unions. We can offer no assurance that any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25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incur costs to engage in future business combinations or strategic investments, and we may not realize the anticipated benefits of those transactions.</w:t>
      </w:r>
    </w:p>
    <w:p>
      <w:pPr>
        <w:spacing w:after="0" w:line="6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86" w:right="5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potential increases in our indebtedness and contingent liabilities and charges if the acquired company or assets are later determined to be worth less than the amount paid for them in an earlier original acquisition. In addition, our indebtedness may restrict us from making acquisitions that we may otherwise wish to pursue.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failure to achieve acceptable manufacturing yields could adversely affect our business.</w:t>
      </w:r>
    </w:p>
    <w:p>
      <w:pPr>
        <w:spacing w:after="0" w:line="117"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The manufacturing of semiconductors involves highly complex processes that require precision, a highly regulated and sterile environment and specialized equipment. Defects or other difficulties in the manufacturing process can prevent us from achieving acceptable yields in the manufacturing of our products,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We may also experience manufacturing problems in achieving acceptable yields as a result of, among other things, transferring production to other facilities, upgrading or expanding existing facilities or changing our process technologies. Yields below our target levels can negatively impact our gross profit and may cause us to eliminate underperforming products.</w:t>
      </w:r>
    </w:p>
    <w:p>
      <w:pPr>
        <w:spacing w:after="0" w:line="286"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We rely on a number of independent subcontractors and the failure of any of these independent subcontractors to perform as required could adversely affect our operating results.</w:t>
      </w:r>
    </w:p>
    <w:p>
      <w:pPr>
        <w:spacing w:after="0" w:line="62"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A substantial portion of our net sales are derived from semiconductor devices assembled in packages or on film. The packaging and testing of semiconductors require technical skills and specialized equipment. For the portion of packaging and testing that we outsource, we use subcontractors located in Korea and China. We rely on these subcontractors to package and test our devices with acceptable quality and yield levels, and, while we specify quality standards, we are not able to directly oversee their day-to-day operations and the packaging and testing of our devices. Onboarding of a new subcontractor, including as a result of switching from one subcontractor to another, takes approximately three to six months to verify the subcontractor’s capabilities and an additional six to twelve months to receive approval from our customers to use such subcontractor. We could be adversely affected by political disorders, labor disruptions, public health issues (including viral outbreaks such as COVID-19) and natural disasters where our subcontractors are located due to the time it would take to onboard a new subcontractor. If our semiconductor packagers and test service subcontractors experience problems in packaging and testing our semiconductor devices, experience prolonged quality or yield problems, experience shutdowns or delays associated with public health issues (such as those associated with COVID-19), or decrease the capacity of their operations available to us, our operating results could be adversely affected.</w:t>
      </w:r>
    </w:p>
    <w:p>
      <w:pPr>
        <w:spacing w:after="0" w:line="29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cooperate with independent foundries to produce certain Display Solutions and Power Solutions products, and the failure of such independent foundries to satisfy our demand could materially disrupt our business.</w:t>
      </w:r>
    </w:p>
    <w:p>
      <w:pPr>
        <w:spacing w:after="0" w:line="6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use independent foundry services for certain of our OLED Display Solutions products and Power Solutions products. Silicon wafer production at these facilities is allocated solely by our vendors and beyond our direct control. Therefore, any disruption in wafer supply from these vendors could have a material impact on our revenue and results of operations.</w:t>
      </w:r>
    </w:p>
    <w:p>
      <w:pPr>
        <w:spacing w:after="0" w:line="29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Global shortages in manufacturing capacities could interrupt or negatively affect our operations, increase cost to manufacture and negatively impact our results of operations.</w:t>
      </w:r>
    </w:p>
    <w:p>
      <w:pPr>
        <w:spacing w:after="0" w:line="6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Increases in demand for semiconductor products resulted in a global shortage of manufacturing capacity over the prior two years. As a result, we may experience increases in the costs to manufacture our products and may not be able to manufacture and deliver all of the orders placed by our customers. We are not able to foresee when the current shortage of manufacturing capacity will subside. If we are unable secure manufacturing capacities from our current subcontractors, our ability to deliver our products to our customers may be negatively impacted. Also, our subcontractors may increase their fees, which would result in an increase in our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manufacturing costs, which we may not be fully able to pass to our customers. These factors could cause a negative impact on our results of operations.</w:t>
      </w:r>
    </w:p>
    <w:p>
      <w:pPr>
        <w:spacing w:after="0" w:line="356"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b w:val="1"/>
          <w:bCs w:val="1"/>
          <w:i w:val="1"/>
          <w:iCs w:val="1"/>
          <w:color w:val="auto"/>
        </w:rPr>
        <w:t>We depend on successful parts and materials procurement for our manufacturing processes, and a shortage or increase in the price of these materials could interrupt our operations and result in a decline of revenues and results of operations.</w:t>
      </w:r>
    </w:p>
    <w:p>
      <w:pPr>
        <w:spacing w:after="0" w:line="3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procure materials and electronic and mechanical components from international sources and original equipment manufacturers. We use a wide range of parts and materials in the production of our semiconductors, including silicon, processing chemicals, processing gases, precious metals and electronic and mechanical components, some of which, such as silicon wafers, are specialized raw materials that are generally only available from a limited number of suppliers. If demand increases or supply decreases for any reason, the costs of our raw materials could significantly increase. For example, worldwide supplies of silicon wafers, an important raw material for the semiconductors we manufacture, have been constrained in recent years due to an increased demand for silicon. We from time to time may enter into multi-year agreements, which specify future quantities and pricing of materials to be supplied by the vendors of these materials; however, this option may not be available to us and we cannot assure that supply increases will match demand increases. If we cannot obtain adequate materials in a timely manner or on favorable terms for the manufacture of our products, revenues and results of operations will decline.</w:t>
      </w:r>
    </w:p>
    <w:p>
      <w:pPr>
        <w:spacing w:after="0" w:line="28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Compliance with regulations regarding the use of “conflict minerals” could limit the supply and increase the cost of certain raw materials used in manufacturing our products.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SEC, as mandated by the Dodd-Frank Wall Street Reform and Consumer Protection Act of 2010, adopted disclosure regulations for public companies that manufacture products containing certain minerals that are mined from the Democratic Republic of Congo and adjoining countries and procedures pertaining to a manufacturer’s efforts regarding the source of such minerals. These “conflict minerals” are commonly found in metals used in the manufacture of semiconductors. Manufacturers are also required to disclose their efforts to prevent the sourcing of such minerals and metals produced from them. The implementation of these requirements could adversely affect the sourcing, availability and pricing of metals used in the manufacture of our products. We may also incur additional costs to comply with the disclosure requirements, including costs related to determining the source of any of the relevant minerals used in our products. We may also face difficulties in satisfying customers who may require that our products be certified as free of “conflict materials,” which could harm our relationships with these customers and lead to a loss of revenue.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warranty claims, product return, litigation and liability risks and the risk of negative publicity if our products fail.</w:t>
      </w:r>
    </w:p>
    <w:p>
      <w:pPr>
        <w:spacing w:after="0" w:line="11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Our semiconductors are incorporated into a number of end products, and our business is exposed to product return, warranty and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 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as a result of changes in, or differences in the interpretation of, applicable tax laws, or the adoption of new U.S. or international tax legislation.</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Our company’s organizational structure was created in part based on certain interpretations and conclusions regarding various tax laws, including withholding tax and other tax laws of applicable jurisdictions. Our interpretations and conclusions regarding tax laws, however, are not binding on any taxing authority and, if these interpretations and conclusions are incorrect, if our business were to be operated in a way that rendered us ineligible for tax exemptions or caused us to become subject to incremental tax, or if the authorities were to change, modify or have a different interpretation of the relevant tax laws, we could suffer adverse tax and other financial consequences, and the anticipated benefits of our organizational structure could be materially impaired. Our company’s organizational structure and other tax positions are subject to review by tax authorities in the local and other jurisdictions where we operate our business.</w:t>
      </w:r>
    </w:p>
    <w:p>
      <w:pPr>
        <w:spacing w:after="0" w:line="17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provision for income taxes is subject to volatility and could be negatively affected by earnings being (i) lower than anticipated in jurisdictions that have lower statutory tax rates or (ii) higher than anticipated in jurisdictions that have higher statutory tax rates. In addition, our provision for income taxes could be negatively affected by changes in the valuation of our deferred tax assets and liabilities, changes to global intangible low-tax income tax laws, transfer pricing adjustments, or changes in tax laws, regulations, or accounting principles.</w:t>
      </w:r>
    </w:p>
    <w:p>
      <w:pPr>
        <w:spacing w:after="0" w:line="17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Additional changes in the U.S. tax regime or in how U.S. multinational corporations are taxed on foreign income, including changes in how existing tax laws are interpreted or enforced, could adversely affect our business, financial condition or results of operations. For example, the Organization for Economic Cooperation and Development (OECD) has recommended changes to numerous long-standing international tax principles through its base erosion and profit shifting (BEPS) project. These changes, to the extent adopted, may increase tax uncertainty, result in higher compliance costs and adversely affect our provision for income taxes, results of operations and/or cash flow.</w:t>
      </w:r>
    </w:p>
    <w:p>
      <w:pPr>
        <w:spacing w:after="0" w:line="1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August 16, 2022, the U.S. enacted the Inflation Reduction Act of 2022 (the “IRA”), which, among other things, implements a 15% alternative minimum tax on the adjusted financial statement income of large corporations with average annual financial income exceeding $1 billion, a 1% excise tax on net stock repurchases and several tax incentives to promote clean energy. The IRA provisions are effective for tax years beginning after December 31, 2022. On December 12, 2022, the European Union member states agreed to implement the OECD’s Pillar 2 global corporate minimum tax rate of 15% on companies with revenues of at least EUR 750 million, which will be effective for fiscal years beginning on January 1, 2024. Additionally, South Korea became one of the first countries to enact minimum tax rules. At this time, we do not anticipate that changes in the tax laws will have a material impact to our consolidated tax provision for the year ending December 31, 2022 or December 31, 2023. We will continue to monitor as new information and guidance becomes available.</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are also subject to regular reviews, examinations and audits by the IRS and other taxing authorities, including the Korean National Tax Service, with respect to income and non-income based taxes both within and outside the U.S. In connection with the OECD’s BEPS project, companies are required to disclose more information to tax authorities on operations around the world, which may lead to greater audit scrutiny of income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business, financial condition or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Expanded trade restrictions imposed by the United States may limit our ability to sell to certain customers.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On August 17, 2020, the U.S. Department of Commerce expanded the scope of export restrictions as applied to products directed to Huawei and its affiliates listed on the Bureau of Industry and Security’s Entity List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(collectively, “Huawei”). While prior restrictions had minimal effect on our ability to supply to customers, the newly expanded restrictions would limit our ability to supply to a variety of customers who we believe incorporate our products to those customers’ products directly or indirectly sold to Huawei. As of the date of this Annual Report, we are uncertain on the seriousness of the restrictions’ impact or duration and the future trajectory of our business from customers who directly or indirectly supply Huawei with products that incorporate our products. For export of some of our products, we have successfully obtained the necessary export licenses, and if exports of other products require export licenses due to the restrictions, we will consider applying for the necessary export licenses to continue to sell to the affected customers. Although we have thus far successfully obtained the necessary export licenses for exporting some of our products, we are unsure whether our other applications will be successful. There is also a possibility that export restrictions may be further expanded to target companies in addition to Huawei, which may have an additional impact on our ability to sell to our customers. Export restrictions may also affect our contractors, suppliers or customers, and we cannot assure that they will not violate the restrictions, and any such violations may result in fines or criminal sanctions against us and damage our reputation.</w:t>
      </w:r>
    </w:p>
    <w:p>
      <w:pPr>
        <w:spacing w:after="0" w:line="168"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Additionally, the U.S. has published significant changes to U.S. export control regulations with respect to Russia and China, and we anticipate additional changes to export control regulations in the future. For example, the U.S. government has implemented controls on advanced computing ICs, computer commodities that contain such ICs, and certain semiconductor manufacturing items, as well as controls on transactions involving items for supercomputer and semiconductor manufacturing end-users. The new controls expand the scope of foreign-produced items subject to license requirements for certain entities on the U.S. government’s Entity List. Future changes in the U.S. export control regulations, including changes in the enforcement and scope of such regulations, may create delays in the introduction of our products or services in international markets or could prevent our customers with international operations from deploying our products or services globally. In some cases, such changes could prevent the export or import of our products, which could have a material impact on our future results of operations and financial condition.</w:t>
      </w:r>
    </w:p>
    <w:p>
      <w:pPr>
        <w:spacing w:after="0" w:line="273"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b w:val="1"/>
          <w:bCs w:val="1"/>
          <w:i w:val="1"/>
          <w:iCs w:val="1"/>
          <w:color w:val="auto"/>
        </w:rPr>
        <w:t>Expanded trade restrictions imposed by South Korea may limit our ability to sell to certain customers or engage in any potential strategic opportunities.</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ITA, any export (including various means of outflow, such as sale or transfer outside Korea) of National Core Technology by MOTIE requires the filing of a prior-report with, and the acceptance of the same by, the MOTIE. Any such export of NCT without the acceptance of the prior-report with the MOTIE may be subject to corrective orders by the relevant authorities, and failure to comply with such corrective orders may potentially result in criminal liabilities.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Notification Regarding Designation of National Core Technologies issued by the MOTIE was amended on July 14, 2021 to add certain technologies to the list of National Core Technology designated by the MOTIE, and the amended list includes the design technology for OLED DDI. In the ordinary course of business, our Korean subsidiary may provide certain information relating to its products, including OLED DDI, to customers, suppliers or vendors, and such disclosure of information may be subject to the NCT-related regulations under the ITA, and therefore the MOTIE’s acceptance of prior reports. Since the amendment of the foregoing NCT list in July 2021, we have filed prior-reports with the MOTIE for the export of our OLED DDI product-related information to certain overseas vendors that manufacture our products, and all such reports have thus far been accepted by the MOTIE.</w:t>
      </w:r>
    </w:p>
    <w:p>
      <w:pPr>
        <w:spacing w:after="0" w:line="19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There is no assurance, however, that any future prior-reports for the export of our product-related information will be accepted by the MOTIE. In the event that any future prior-report is not accepted, we may be unable to continue our business with the overseas customers, suppliers or vendors, including the manufacturing and delivery of our OLED DDI products.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addition, in the event that there is any M&amp;A transaction with respect to our Korean subsidiary that results in non-Korean ownership of 50% or more, or exertion of control over the appointment of officers/management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86" w:right="4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by a non-Korean person or entity as the largest shareholder, a prior-report with and the acceptance by the MOTIE is required under the ITA. There is no assurance that any report for an M&amp;A transaction involving non-Korean acquirers or investors will be accepted by the MOTIE when such transaction is pursued in the future.</w:t>
      </w:r>
    </w:p>
    <w:p>
      <w:pPr>
        <w:spacing w:after="0" w:line="292"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Recent changes in international trade policy and the imposition and threats of international tariffs, including tariffs applied to goods traded between the United States and China, could materially and adversely affect our business and results of operations.</w:t>
      </w:r>
    </w:p>
    <w:p>
      <w:pPr>
        <w:spacing w:after="0" w:line="3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Since the beginning of 2018, there have been increasing public threats and, in some cases, legislative or executive action, from U.S. and foreign leaders regarding instituting tariffs against foreign imports of certain materials. More specifically, since March of 2018, the U.S. and China have applied tariffs to certain of each other’s exports. The institution of trade tariffs globally, and between the U.S. and China specifically, may negatively impact the affected countries’ economic conditions, which could negatively affect demand for our products in those countries and materially and adversely affect our business and results of operations of our customers serving the affected markets. Imposition of tariffs could increase costs of the end-user products we supply that we may not be able to pass on to our customers, which could in turn cause a decrease in the sales of our products and materially and adversely affect our business and results of operations.</w:t>
      </w:r>
    </w:p>
    <w:p>
      <w:pPr>
        <w:spacing w:after="0" w:line="285"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Our ability to compete successfully and achieve future growth will depend, in part, on our ability to protect our intellectual property, proprietary technology and know-how, as well as our ability to operate without infringing the proprietary rights of others.</w:t>
      </w:r>
    </w:p>
    <w:p>
      <w:pPr>
        <w:spacing w:after="0" w:line="3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attempt to protect our intellectual property rights, both in the U.S. and in foreign countries, through a combination of patent, trademark, copyright, mask works and trade secret laws, as well as licensing agreements and third-party nondisclosure and assignment agreements. Because of the differences in foreign trademark, patent and other laws concerning proprietary rights, our intellectual property rights may not receive the same degree of protection in foreign countries as they would in the U.S. In particular, the validity, enforceability and scope of protection of intellectual property in China, where we derive a significant portion of our net sales, and certain other countries where we derive net sales, are uncertain and still evolving and historically have not protected, and may not protect in the future, intellectual property rights to the same extent as do the laws and enforcement procedures in the U.S. Our failure to obtain or maintain adequate protection of our intellectual property rights for any reason could have a material adverse effect on our business, results of operations and financial condition.</w:t>
      </w:r>
    </w:p>
    <w:p>
      <w:pPr>
        <w:spacing w:after="0" w:line="17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Many of our patents are subject to cross licenses, several of which are with our competitors. Some of our technologies are not covered by any patent or patent application. The confidentiality agreements on which we rely to protect these technologies may be breached and may not be adequate to protect our proprietary technologies. Further, it is possible that others will independently develop the same or similar technologies, even without access to our proprietary technologies.</w:t>
      </w:r>
    </w:p>
    <w:p>
      <w:pPr>
        <w:spacing w:after="0" w:line="16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advertising and marketing new brands. Further, we cannot assure you that competitors will not infringe our trademarks, or that we will have adequate resources to enforce our trademarks.</w:t>
      </w:r>
    </w:p>
    <w:p>
      <w:pPr>
        <w:spacing w:after="0" w:line="19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ability to compete successfully depends on our ability to operate without infringing the proprietary rights of others. We have no means of knowing what patent applications have been filed until they are published.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86"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and we cannot assure you that we will prevail. Any claims of intellectual property infringement or misappropriation against use, even those without merit, could require us to:</w:t>
      </w:r>
    </w:p>
    <w:p>
      <w:pPr>
        <w:spacing w:after="0" w:line="92" w:lineRule="exact"/>
        <w:rPr>
          <w:sz w:val="20"/>
          <w:szCs w:val="20"/>
          <w:color w:val="auto"/>
        </w:rPr>
      </w:pPr>
    </w:p>
    <w:p>
      <w:pPr>
        <w:ind w:left="540" w:right="40" w:hanging="424"/>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or indemnify customers or licensees for damages they may suffer if the products they purchase from us or the technology they license from us violate the intellectual property rights of others;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our manufacture, use, sale or importation of the accused products;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redesign, reengineer or rebrand our products, if feasible;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significant resources to develop or acquire non-infringing technologies;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discontinue processes; or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licenses to a third party’s intellectual property.</w:t>
      </w:r>
    </w:p>
    <w:p>
      <w:pPr>
        <w:spacing w:after="0" w:line="22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There can be no assurance that we would be successful in such development or acquisition or that such licenses would be available under reasonable terms, or at all.</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license certain intellectual property from third parties. The termination of key third-party licenses relating to the use of intellectual property in our products and our design processes would adversely affect certain areas of our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many environmental laws and regulations that could affect our operations or result in significant expenses.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Among them is the Act on Remediation and Compensation for Damages arising from Environmental Contamination which came into effect in Korea on January 1, 2016 and provides for strict liability of business entities in violation of the act and alleviates the burden of proof for the damaged party. Further, under the amendment to the Act on the Control and Aggravated Punishment of Environmental Offenses that becomes effective on November 27, 2020, certain environmental offenses such as illegally emitting specified hazardous air pollutants or emitting air pollutants without necessary permits will be subject to penalties of up to 5% of the sales amount generated from the relevant business. Moreover, to effectively respond to environmental crimes, on November 14, 2022, a joint investigation team was established, consisting of experts from both national and local governments, including the prosecutor’s office, the Ministry of Environment. As a result, we have increased potential exposure to liability for environmental contaminations that might have existed in the past or would arise in the future.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86"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Korean subsidiary has been designated as a regulated business under Korean environmental law, and such designation could have an adverse effect on our financial position and results of operations.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Since 2015, our Korean subsidiary has been subject to K-ETS, a new set of greenhouse gas emissions regulations, under the Act on Allocation and Trading of Greenhouse Gas Emission Allowances. Under K-ETS, our Korean subsidiary was allocated a certain amount of emissions allowance in accordance with the National Allocation Plan prepared by the Korean government, and is required to meet its allocated target by either reducing emissions or purchasing allowances from other participants or the government in the emission trading market. Reduction of our emissions or energy consumption may result in additional and potentially costly compliance or remediation expenses, including potentially the installation of equipment and changes in the type of materials we use in manufacturing, as well as cost of procuring emission allowances to cover the excess emissions, which could adversely affect our financial position and results of operations. During the first implementation period from 2015 to 2017 and second implementation period from 2018 to 2020, we did not exceed the allocated emission amount. Our Korean subsidiary has been allocated emissions allowance in the third implementation period from 2021 to 2025, and we do not expect to exceed the allocated emission amount during the third implementation period. If, however, our Korean subsidiary exceeds the allocated emission amount the third implementation period, we will be required to pay for the excess emissions and may be subject to other regulatory action. We will continue to monitor our compliance with the emissions allowance on a yearly basis. In addition, from time to time, if we assess that we have excess allowances, we may sell such excess allowances to manufacturers in the emission market in Korea.</w:t>
      </w:r>
    </w:p>
    <w:p>
      <w:pPr>
        <w:spacing w:after="0" w:line="186"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Furthermore, the Korean legislature enacted the Framework Act on Carbon Neutrality and Green Growth for Responding to Climate Change (the “Carbon Neutrality Framework Act”) on September 24, 2021. The Carbon Neutrality Framework Act aims to reduce greenhouse gas emissions by more than 35% by 2030 (compared to 2018) and proclaims the achievement of carbon neutrality by 2050 as a national vision. The Carbon Neutrality Framework Act is significant in that it legislates carbon neutrality and greenhouse gas reduction objectives, and enables the central administrative agencies, local governments and public institutions to implement various measures towards such objectives. On March 25, 2022, the Enforcement Decree of the Carbon Neutrality Framework Act (the “Enforcement Decree”) was enacted. The Enforcement Decree aims to provide details required for the execution of items prescribed under the Carbon Neutrality Framework Act. The key provisions of the Enforcement Decree include those setting the mid- to long-term greenhouse gas reduction goal at 40% and implementing the climate change impact assessment scheme. It is anticipated that the Carbon Neutrality Framework Act, which aims to promote the harmonious development of the economy and the environment in conjunction with active greenhouse gas reduction measures, will serve as the foundation for the government’s climate change response policy going forward.</w:t>
      </w:r>
    </w:p>
    <w:p>
      <w:pPr>
        <w:spacing w:after="0" w:line="2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compliance with the Serious Accidents Punishment Act (the “SAPA”) could require significant expenditures and management time and expose us to liability for violations.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Enacted on January 26, 2021 and effective as of January 27, 2022 in Korea, the SAPA will impose enhanced liability exposure for workplace accidents. The legislative goal of the SAPA is to prevent serious accidents by prescribing punishments and punitive damages liability for business owners or responsible management personnel who have violated safety and health measures in the event of such serious accidents (serious industrial accidents and serious civil accidents). Since the law applies to businesses in Korea with 50 or more full-time employees starting from January 27, 2022, our Korean subsidiary becomes subject to the law after the effective date. According to the SAPA, if a serious occupational accident occurs that results in at least one deceased person, at least two persons wounded for six months or more, or at least three persons suffering from occupational diseases within a one year period, if the “business owners or responsible management personnel” of the relevant business place is found to have failed to perform its “obligation to secure safety and health,” that person may be subject to imprisonment for up to 7 year or a fine of up to KRW 100 million (in case of death, imprisonment for not less than 1 year or a fine of not less than KRW 1 billion). Additionally, if there was negligence of the company in giving due attention and supervision to prevent such accident, the company will be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subject to a fine up to KRW 5 billion under joint penalty provisions. Relevant responsible management personnel will also be required to spend more time, effort and cost to comply with the SAPA and perform the necessary additional duties imposed by the law to ensure compliance.</w:t>
      </w:r>
    </w:p>
    <w:p>
      <w:pPr>
        <w:spacing w:after="0" w:line="25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the future, and such capital may not be available on acceptable terms or at all, which would have a material adverse effect on our business, financial condition and results of operations.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may require more capital in the future from equity or debt financings to fund operating expenses, such as research and development costs, finance investments in equipment and infrastructure, acquire complementary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There can be no assurance that any additional equity or debt financing would be available to us, or if available, that such financing would be on favorable terms to us. Accordingly, if we are unable to obtain additional capital or our business does not generate sufficient cash flows from operating activities to fund our working capital needs and planned capital expenditures, and our cash reserves are depleted, we may need to take various actions, such as down-sizing and/or eliminating certain operations, which could include additional exit costs, reducing or delaying capital expenditures, selling assets, or other restructuring actions. There can be no assurance that we would be successful in taking such actions and, in any event, such actions may result in a material adverse effect on our business and results of operations. In addition, our indebtedness limits our ability to incur additional indebtedness under certain circumstances.</w:t>
      </w:r>
    </w:p>
    <w:p>
      <w:pPr>
        <w:spacing w:after="0" w:line="290"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public health issues (including viral outbreaks such as COVID-19), difficulties in accounts receivable collection, extended payment terms and differing labor standards, enforcement of contractual obligations and protection of intellectual property. These risks may lead to increased costs or decreased revenue growth, or both.</w:t>
      </w:r>
    </w:p>
    <w:p>
      <w:pPr>
        <w:spacing w:after="0" w:line="28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and prospects may be materially and adversely affected by the ongoing COVID-19 pandemic or any future pandemic, epidemic or outbreak of any other highly infectious disease.</w:t>
      </w:r>
    </w:p>
    <w:p>
      <w:pPr>
        <w:spacing w:after="0" w:line="6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As a result of COVID-19, including the emergence of various variants, governments in affected countries have imposed travel bans, quarantines and other emergency public health measures. In response to the virus, national and local governments in numerous countries around the world have implemented substantial business restrictions and lockdown measures and may continue to impose similar policies in the future from time to time in response to further outbreaks of the virus. Private sector companies have also taken precautionary measures, such as requiring employees to work remotely, imposing travel restrictions and temporarily closing businesses and facilities. These restrictions have had, and these and future prevention and mitigation measures, may continue to have, an adverse impact on global economic conditions, which could materially adversely affect our future operations.</w:t>
      </w:r>
    </w:p>
    <w:p>
      <w:pPr>
        <w:spacing w:after="0" w:line="195"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These measures have impacted and may further impact our workforce and operations, the operations of our customers, and those of our respective vendors, suppliers, and partners. The disruptions to our operations caused by the COVID-19 outbreak may result in inefficiencies, delays and additional costs in our research and development, sales and marketing, and customer service efforts that we cannot fully mitigate through remote 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86"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other alternative work arrangements. Also, some suppliers of materials used in the production of our products may have been or will be more severely impacted by COVID-19, which could limit our ability to obtain sufficient materials for our products. In addition, the severe global economic disruption caused by COVID-19 may cause our customers and end-users of our products to suffer significant economic hardship, which could result in decreased demand for our products in the future and materially adversely affect our business, results of operations, financial condition (including liquidity) and prospects.</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full extent to which COVID-19, or any future pandemic, epidemic or outbreak of any other highly infectious disease, impacts our operations and causes disruptions on our customers, end-users, overall demand for our products, supply chain, and the related financial impact to us, will depend on future developments, which are highly uncertain and cannot be predicted with confidence, including the scope, severity and duration of such pandemic, the emergence and characteristics of new variants, the actions taken to contain the pandemic or mitigate its impact, including the adoption, administration and effectiveness of available COVID-19 vaccines, and the direct and indirect economic effects of the pandemic and containment measures, among others. Should such disruptions continue for an extended period of time, the impact could have a more severe adverse effect on our business, results of operations and financial condition (including liquidity). Additionally, weaker economic conditions generally could result in impairment in value of our tangible or intangible assets, or our ability to raise additional capital, if needed.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Tensions with North Korea could have an adverse effect on us and the market value of our shares.</w:t>
      </w:r>
    </w:p>
    <w:p>
      <w:pPr>
        <w:spacing w:after="0" w:line="117" w:lineRule="exact"/>
        <w:rPr>
          <w:sz w:val="20"/>
          <w:szCs w:val="20"/>
          <w:color w:val="auto"/>
        </w:rPr>
      </w:pPr>
    </w:p>
    <w:p>
      <w:pPr>
        <w:ind w:left="120" w:right="540" w:firstLine="440"/>
        <w:spacing w:after="0" w:line="258" w:lineRule="auto"/>
        <w:rPr>
          <w:sz w:val="20"/>
          <w:szCs w:val="20"/>
          <w:color w:val="auto"/>
        </w:rPr>
      </w:pPr>
      <w:r>
        <w:rPr>
          <w:rFonts w:ascii="Arial" w:cs="Arial" w:eastAsia="Arial" w:hAnsi="Arial"/>
          <w:sz w:val="18"/>
          <w:szCs w:val="18"/>
          <w:color w:val="auto"/>
        </w:rPr>
        <w:t>Relations between South Korea and North Korea have been tense throughout Korea’s modern history. The level of tension between the two Koreas has fluctuated and may increase abruptly as a result of current and future</w:t>
      </w:r>
    </w:p>
    <w:p>
      <w:pPr>
        <w:spacing w:after="0" w:line="1" w:lineRule="exact"/>
        <w:rPr>
          <w:sz w:val="20"/>
          <w:szCs w:val="20"/>
          <w:color w:val="auto"/>
        </w:rPr>
      </w:pPr>
    </w:p>
    <w:p>
      <w:pPr>
        <w:ind w:left="120"/>
        <w:spacing w:after="0" w:line="290" w:lineRule="auto"/>
        <w:rPr>
          <w:sz w:val="20"/>
          <w:szCs w:val="20"/>
          <w:color w:val="auto"/>
        </w:rPr>
      </w:pPr>
      <w:r>
        <w:rPr>
          <w:rFonts w:ascii="Arial" w:cs="Arial" w:eastAsia="Arial" w:hAnsi="Arial"/>
          <w:sz w:val="17"/>
          <w:szCs w:val="17"/>
          <w:color w:val="auto"/>
        </w:rPr>
        <w:t>events. In particular, in recent years, there have been heightened security concerns stemming from North Korea’s nuclear weapon and long-range missile programs and increased uncertainty regarding North Korea’s actions and possible responses from the international community.</w:t>
      </w:r>
    </w:p>
    <w:p>
      <w:pPr>
        <w:spacing w:after="0" w:line="16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North Korea’s economy also faces severe challenges, and any adverse economic developments may further aggravate social and political tensions within North Korea.</w:t>
      </w:r>
    </w:p>
    <w:p>
      <w:pPr>
        <w:spacing w:after="0" w:line="170"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Although we do not derive any revenue from, nor sell any products in, North Korea, any future increase in tensions between South Korea and North Korea that may occur, for example, if North Korea experiences a leadership crisis, high-level contacts between South Korea and North Korea break down, or military hostilities occur, could have a material adverse effect on the South Korean economy and on our business, financial condition, results of operations and the market value of our common stock.</w:t>
      </w:r>
    </w:p>
    <w:p>
      <w:pPr>
        <w:spacing w:after="0" w:line="295"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We may be subject to disruptions, breaches or cyber-attacks of our secured networks and information technology systems that could damage our reputation, harm our business, expose us to liability and materially adversely affect our results of operations.</w:t>
      </w:r>
    </w:p>
    <w:p>
      <w:pPr>
        <w:spacing w:after="0" w:line="3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the ordinary course of our business, we collect and store sensitive data, including IP and other proprietary information about our business and that of our customers, suppliers and business partners. Secure maintenance, processing and transmission of this information is critical to our operations and business strategy. We may be subject to disruptions, breaches or cyber-attacks of our secured networks and information technology systems caused by illegal hacking, criminal fraud or impersonation, computer viruses, acts of vandalism or terrorism or employee error, and our security measures or those of any third party service providers we use may not detect or prevent such security breaches. We may incur significant costs to eliminate or alleviate cybersecurity breaches and vulnerabilities, which could be significant, and our efforts to protect against such breaches or vulnerabilities may not be successful and could result in system interruptions that may materially impede our sales, manufacturing, distribution, finance or other critical functions. Any such compromise of our information security could also result in the unauthorized publication of our confidential business or proprietary information or that of other parties with which we do business, an interruption in our operations, the unauthorized transfer of cash 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other assets, the unauthorized release of customer or employee data or a violation of privacy or other laws in the jurisdictions in which we operate. Any of the foregoing could irreparably damage our reputation and business and/or expose us to material monetary liability, which could have a material adverse effect on our results of operations.</w:t>
      </w:r>
    </w:p>
    <w:p>
      <w:pPr>
        <w:spacing w:after="0" w:line="29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You may not be able to bring an action or enforce any judgment obtained in United States courts, or bring an action in any other jurisdiction, against us or our subsidiaries or our directors, officers or independent auditors that are organized or residing in jurisdictions other than the United States.</w:t>
      </w:r>
    </w:p>
    <w:p>
      <w:pPr>
        <w:spacing w:after="0" w:line="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Most of our subsidiaries are organized or incorporated outside of the U.S. and some of our directors and executive officers as well as our independent auditors are organized or reside outside of the U.S. Most of our and our subsidiaries’ assets are located outside of the U.S. and in particular, in Korea. Accordingly, any judgment obtained in the U.S. against us or our subsidiaries may not be collectible in the U.S. As a result, it may not be possible for you to effect service of process within the U.S. upon these persons or to enforce against them or us court judgments obtained in the U.S. that are predicated upon the civil liability provisions of the federal securities laws of the U.S. or of the securities laws of any state of the U.S. In particular, there is doubt as to the enforceability in Korea or any other jurisdictions outside the U.S., either in original actions or in actions for enforcement of judgments of U.S. courts, of civil liabilities predicated on the federal securities laws of the U.S. or the securities laws of any state of the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a holding company and depend on the business of our subsidiaries to make payments to us.</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We are a holding company with no independent operations of our own. Our subsidiaries conduct substantially all of the operations necessary to fund our obligations. Our ability to pay dividends or to make payments on any future obligations will depend on our subsidiaries’ cash flow and their payment of funds to us. Our subsidiaries’ ability to make payments to us will depend on:</w:t>
      </w:r>
    </w:p>
    <w:p>
      <w:pPr>
        <w:spacing w:after="0" w:line="89"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their earnings;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covenants contained in any debt agreements to which we may then be subject, including any debt agreements of our subsidiaries;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covenants contained in other agreements to which we or our subsidiaries are or may become subject;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and tax considerations; and</w:t>
      </w:r>
    </w:p>
    <w:p>
      <w:pPr>
        <w:spacing w:after="0" w:line="130" w:lineRule="exact"/>
        <w:rPr>
          <w:rFonts w:ascii="Arial" w:cs="Arial" w:eastAsia="Arial" w:hAnsi="Arial"/>
          <w:sz w:val="18"/>
          <w:szCs w:val="18"/>
          <w:color w:val="auto"/>
        </w:rPr>
      </w:pPr>
    </w:p>
    <w:p>
      <w:pPr>
        <w:ind w:left="540" w:right="200" w:hanging="424"/>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law, including any restrictions under Korean law that may be imposed on our Korean subsidiary that would restrict its ability to make payments on intercompany loans from our Dutch subsidiary.</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6"/>
          <w:szCs w:val="16"/>
          <w:color w:val="auto"/>
        </w:rPr>
        <w:t>We cannot assure that the operating results of our subsidiaries at any given time will be sufficient to make distributions or other payments to us.</w:t>
      </w:r>
    </w:p>
    <w:p>
      <w:pPr>
        <w:spacing w:after="0" w:line="35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We may at times need to incur impairment, restructuring and other restructuring related charges, which could materially affect our results of operations and financial condition.</w:t>
      </w:r>
    </w:p>
    <w:p>
      <w:pPr>
        <w:spacing w:after="0" w:line="6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industry downturns and for other reasons, we may need to record impairment, restructuring or other restructuring related charges. In the future, we may need to record additional impairment charges or to further restructure our business or incur additional restructuring charges, any of which could have a material adverse effect on our results of operations or financial condition.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litigation risks, which may be costly to defend and the outcome of which is uncertain.</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All industries, including the semiconductor industry, are subject to legal claims, with and without merit, that may be particularly costly and which may divert the attention of our management and our resources in general.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86"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are involved in a variety of legal matters, most of which we consider routine matters that arise in the normal course of business. These routine matters typically fall into broad categories such as those involving customers, employment and labor and intellectual property. Even if the final outcome of these legal claims does not have a material adverse effect on our financial position, results of operations or cash flows, defense and settlement costs can be substantial. Due to the inherent uncertainty of the litigation process, the resolution of any particular legal claim or proceeding could have a material effect on our business, financial condition, results of operations or cash flows.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common stock may be volatile and you may lose all or a part of your investment.</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trading price of our common stock might be subject to wide fluctuations. Factors, some of which are beyond our control, that could affect the trading price of our common stock may include:</w:t>
      </w:r>
    </w:p>
    <w:p>
      <w:pPr>
        <w:spacing w:after="0" w:line="76"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 from quarter to quarter or year to year;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agreements, technological innovations or strategic alliances;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recommendations or estimates by any securities analysts who follow our securities;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economic performance or market valuations of competing companies in our industry;</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our industry, end markets and the economy as a whole;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subsequent sales of stock and other financings;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legislation, regulation or technological developments that adversely affect our business.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29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successfully consummated, or that it will enhance shareholder value, and share repurchases could affect the price of our common stock.</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On December 21, 2021, the Board of Directors authorized us to repurchase up to $75.0 million of our outstanding common stock and we entered into an accelerated stock repurchase agreement (the “ASR Agreement”) with JPMorgan Chase Bank, National Association (“JPM”) to repurchase an aggregate of $37.5 million of our common stock. Pursuant to the terms of the ASR Agreement, we paid JPM $37.5 million in cash and received an initial delivery of 994,695 shares of our common stock. Upon final settlement of the ASR Agreement, we received an additional 1,031,576 shares of common stock from JPM. On August 31, 2022, the Board of Directors authorized an expansion of our previously announced stock repurchase program from $75 million to $87.5 million of our common stock. The remaining $50 million of the expanded $87.5 million program was planned to be repurchased in the open market or through privately negotiated transactions. In connection with the repurchase program, we established a stock trading plan with Oppenheimer &amp; Co. Inc. in accordance with Rule 10b5-1 under the Securities Exchange Act of 1934, as amended. This share repurchase program could affect the price of our common stock, increase volatility and diminish our cash reserves. The IRA enacted in August 2022 imposes a 1% excise tax on the fair market value of stock repurchases made by covered corporations after December 31, 2022. The total taxable value of shares repurchased is reduced by the fair market</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86"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342" w:lineRule="auto"/>
        <w:rPr>
          <w:sz w:val="20"/>
          <w:szCs w:val="20"/>
          <w:color w:val="auto"/>
        </w:rPr>
      </w:pPr>
      <w:r>
        <w:rPr>
          <w:rFonts w:ascii="Arial" w:cs="Arial" w:eastAsia="Arial" w:hAnsi="Arial"/>
          <w:sz w:val="16"/>
          <w:szCs w:val="16"/>
          <w:color w:val="auto"/>
        </w:rPr>
        <w:t>value of any newly issued shares during the taxable year. We are assessing the potential impact of the stock repurchase excise tax. Based on our preliminary assessment, we do not expect a material impact on our overall share repurchase program or our consolidated financial statements.</w:t>
      </w:r>
    </w:p>
    <w:p>
      <w:pPr>
        <w:spacing w:after="0" w:line="12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See “Item 8. Financial Statements and Supplementary Data—Notes to Consolidated Financial Statements—Note 13. Stockholders’ Equity and Stock-Based Compensation” for more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ownership of our common stock by certain stockholders could adversely affect our other stockholders.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concentration of ownership of our common stock by certain stockholders may limit the ability of other stockholders to influence corporate matters and, as a result, we may take actions that our public stockholders do not view as beneficial. For example, any concentration of ownership could have the effect of delaying or preventing a change in control or otherwise discouraging a potential acquirer from attempting to obtain control of us, which in turn could cause the market price of our common stock to decline or prevent our stockholders from realizing a premium over the market price for their shares of our common stock.</w:t>
      </w:r>
    </w:p>
    <w:p>
      <w:pPr>
        <w:spacing w:after="0" w:line="188"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Under our certificate of incorporation, our non-employee directors and non-employee holders of five percent or more of our outstanding common stock do not have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we might reasonably have pursued or had the ability or desire to pursue if granted an opportunity to do so.</w:t>
      </w:r>
    </w:p>
    <w:p>
      <w:pPr>
        <w:spacing w:after="0" w:line="26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Delaware Law may make it difficult for a third party to acquire us and could depress the price of our common stock.</w:t>
      </w:r>
    </w:p>
    <w:p>
      <w:pPr>
        <w:spacing w:after="0" w:line="6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Among other things, our certificate of incorporation and bylaws:</w:t>
      </w:r>
    </w:p>
    <w:p>
      <w:pPr>
        <w:spacing w:after="0" w:line="76"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stockholder approval, preferred stock with such terms as the Board of Directors may determine;</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action by written consent of our stockholders;</w:t>
      </w:r>
    </w:p>
    <w:p>
      <w:pPr>
        <w:spacing w:after="0" w:line="130" w:lineRule="exact"/>
        <w:rPr>
          <w:rFonts w:ascii="Arial" w:cs="Arial" w:eastAsia="Arial" w:hAnsi="Arial"/>
          <w:sz w:val="18"/>
          <w:szCs w:val="18"/>
          <w:color w:val="auto"/>
        </w:rPr>
      </w:pPr>
    </w:p>
    <w:p>
      <w:pPr>
        <w:jc w:val="both"/>
        <w:ind w:left="540" w:right="160" w:hanging="424"/>
        <w:spacing w:after="0" w:line="26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advance notice requirements for stockholder proposals and director nominations.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93"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130" w:lineRule="exact"/>
        <w:rPr>
          <w:rFonts w:ascii="Arial" w:cs="Arial" w:eastAsia="Arial" w:hAnsi="Arial"/>
          <w:sz w:val="18"/>
          <w:szCs w:val="18"/>
          <w:color w:val="auto"/>
        </w:rPr>
      </w:pPr>
    </w:p>
    <w:p>
      <w:pPr>
        <w:ind w:left="540" w:right="120" w:hanging="424"/>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86"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380" w:hanging="424"/>
        <w:spacing w:after="0" w:line="308"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46"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In general, DGCL Section 203 defines a business combination to include the following:</w:t>
      </w:r>
    </w:p>
    <w:p>
      <w:pPr>
        <w:spacing w:after="0" w:line="130" w:lineRule="exact"/>
        <w:rPr>
          <w:rFonts w:ascii="Arial" w:cs="Arial" w:eastAsia="Arial" w:hAnsi="Arial"/>
          <w:sz w:val="17"/>
          <w:szCs w:val="17"/>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30" w:lineRule="exact"/>
        <w:rPr>
          <w:rFonts w:ascii="Arial" w:cs="Arial" w:eastAsia="Arial" w:hAnsi="Arial"/>
          <w:sz w:val="18"/>
          <w:szCs w:val="18"/>
          <w:color w:val="auto"/>
        </w:rPr>
      </w:pPr>
    </w:p>
    <w:p>
      <w:pPr>
        <w:ind w:left="540" w:right="460" w:hanging="424"/>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540" w:right="640" w:hanging="424"/>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540" w:right="440" w:hanging="424"/>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4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2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have not historically paid dividends and do not currently have any dividend or distribution policy, and therefore, investors may need to rely on sales of their common stock as the only way to realize any future gains on their investments.</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not historically paid cash dividends and do not currently have any dividend or distribution policy. Any determination to pay dividends in the future will be at the discretion of our Board of Directors. Accordingly, unless the Board implements a future dividend or distribution policy, investors must rely on sales of their common stock after price appreciation, which may never occur, as the only way to realize any future gains on their investments.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manufacturing operations take place in a single fabrication facility located in Korea in Gumi. Our facility has a capacity of approximately 36,000 eight-inch equivalent wafers per month. We manufacture wafers utilizing geometries ranging from 0.35 to 0.50 microns. The Gumi facility has one main building with 41,022 square meters devoted to manufacturing, testing and packaging.</w:t>
      </w:r>
    </w:p>
    <w:p>
      <w:pPr>
        <w:spacing w:after="0" w:line="184" w:lineRule="exact"/>
        <w:rPr>
          <w:sz w:val="20"/>
          <w:szCs w:val="20"/>
          <w:color w:val="auto"/>
        </w:rPr>
      </w:pPr>
    </w:p>
    <w:p>
      <w:pPr>
        <w:jc w:val="both"/>
        <w:ind w:left="120" w:right="120" w:firstLine="440"/>
        <w:spacing w:after="0" w:line="342" w:lineRule="auto"/>
        <w:rPr>
          <w:sz w:val="20"/>
          <w:szCs w:val="20"/>
          <w:color w:val="auto"/>
        </w:rPr>
      </w:pPr>
      <w:r>
        <w:rPr>
          <w:rFonts w:ascii="Arial" w:cs="Arial" w:eastAsia="Arial" w:hAnsi="Arial"/>
          <w:sz w:val="16"/>
          <w:szCs w:val="16"/>
          <w:color w:val="auto"/>
        </w:rPr>
        <w:t>In addition to our fabrication facility in Gumi, we lease facilities in Cheongju and Seoul, Korea. Each of these facilities includes administration, sales and marketing and research and development functions. We lease sales and marketing offices through our subsidiaries in several other countries.</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ownership of our wafer manufacturing assets is an important component of our business strategy. Maintaining manufacturing control enables us to develop proprietary, differentiated products and results in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320" w:top="486" w:right="5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higher production yields, as well as shortened design and production cycles. We believe our facilities are suitable and adequate for the conduct of our business for the foreseeable future and that we have sufficient production capacity to service our business as currently contemplated without significant capital investment.</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All of our assembly, test and packaging services for our Display Solutions business and for our Power Solutions business are outsourced with the balance handled in-house. The independent providers of these outsourced services are located in Korea and China. The relative cost of outsourced services, as compared to in-house services, depends upon many factors specific to each product and circumstance. However, we generally incur higher costs for outsourced services, which can result in lower margins.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are involved in a variety of legal matters, most of which we consider routine matters that arise in the normal course of business. These routine matters typically fall into broad categories such as those involving customers, employment and labor and intellectual property. Intellectual property litigation and infringement claims, in particular, could cause us to incur significant expenses or prevent us from selling our products. We are currently not involved in any legal proceedings that we believe would have a material adverse effect on our business, financial condition or results of operations.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“Item 1A. Risk Factors” in this Report for additional information.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486" w:right="5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172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New York Stock Exchange under the symbol “MX.”</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graph and table below compare the cumulative total stockholder return of our common shares with the cumulative total return of the S&amp;P 500 Index and the Philadelphia Semiconductor Index (PHLX) from December 29, 2017 (the last trading day before the beginning of our fifth preceding fiscal year) through December 30, 2022. The graph assumes that $100 was invested on December 29, 2017 in our common shares and in each index and that any dividends were reinvested. No cash dividends have been declared on our common shares during the five-year period ended December 30, 2022.</w:t>
      </w: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Among Magnachip Semiconductor Corporation, the S&amp;P 500 Index and the PHLX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92075</wp:posOffset>
            </wp:positionV>
            <wp:extent cx="5092065" cy="30346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9206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540" w:right="3360" w:hanging="5424"/>
        <w:spacing w:after="0" w:line="449" w:lineRule="auto"/>
        <w:tabs>
          <w:tab w:leader="none" w:pos="33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stock performance included in this graph is not necessarily indicative of future stock performance. 40</w:t>
      </w:r>
    </w:p>
    <w:p>
      <w:pPr>
        <w:sectPr>
          <w:pgSz w:w="11900" w:h="16838" w:orient="portrait"/>
          <w:cols w:equalWidth="0" w:num="1">
            <w:col w:w="11100"/>
          </w:cols>
          <w:pgMar w:left="320" w:top="486" w:right="4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Return to Stockholders (Including Reinvestment of Dividends)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Indexed Returns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gridSpan w:val="2"/>
            <w:vMerge w:val="restart"/>
          </w:tcPr>
          <w:p>
            <w:pPr>
              <w:spacing w:after="0"/>
              <w:rPr>
                <w:sz w:val="20"/>
                <w:szCs w:val="20"/>
                <w:color w:val="auto"/>
              </w:rPr>
            </w:pPr>
            <w:r>
              <w:rPr>
                <w:rFonts w:ascii="Arial" w:cs="Arial" w:eastAsia="Arial" w:hAnsi="Arial"/>
                <w:sz w:val="14"/>
                <w:szCs w:val="14"/>
                <w:color w:val="auto"/>
              </w:rPr>
              <w:t>Company/Index</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Base Period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600" w:type="dxa"/>
            <w:vAlign w:val="bottom"/>
            <w:gridSpan w:val="2"/>
            <w:vMerge w:val="continue"/>
          </w:tcPr>
          <w:p>
            <w:pPr>
              <w:spacing w:after="0"/>
              <w:rPr>
                <w:sz w:val="13"/>
                <w:szCs w:val="13"/>
                <w:color w:val="auto"/>
              </w:rPr>
            </w:pPr>
          </w:p>
        </w:tc>
        <w:tc>
          <w:tcPr>
            <w:tcW w:w="700" w:type="dxa"/>
            <w:vAlign w:val="bottom"/>
          </w:tcPr>
          <w:p>
            <w:pPr>
              <w:jc w:val="right"/>
              <w:spacing w:after="0" w:line="154" w:lineRule="exact"/>
              <w:rPr>
                <w:sz w:val="20"/>
                <w:szCs w:val="20"/>
                <w:color w:val="auto"/>
              </w:rPr>
            </w:pPr>
            <w:r>
              <w:rPr>
                <w:rFonts w:ascii="Arial" w:cs="Arial" w:eastAsia="Arial" w:hAnsi="Arial"/>
                <w:sz w:val="14"/>
                <w:szCs w:val="14"/>
                <w:color w:val="auto"/>
                <w:w w:val="94"/>
              </w:rPr>
              <w:t>12/29/2017</w:t>
            </w:r>
          </w:p>
        </w:tc>
        <w:tc>
          <w:tcPr>
            <w:tcW w:w="28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w w:val="88"/>
              </w:rPr>
              <w:t>12/31/2018</w:t>
            </w:r>
          </w:p>
        </w:tc>
        <w:tc>
          <w:tcPr>
            <w:tcW w:w="26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w w:val="91"/>
              </w:rPr>
              <w:t>12/31/2019</w:t>
            </w:r>
          </w:p>
        </w:tc>
        <w:tc>
          <w:tcPr>
            <w:tcW w:w="28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w w:val="91"/>
              </w:rPr>
              <w:t>12/31/2020</w:t>
            </w:r>
          </w:p>
        </w:tc>
        <w:tc>
          <w:tcPr>
            <w:tcW w:w="26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w w:val="91"/>
              </w:rPr>
              <w:t>12/31/2021</w:t>
            </w:r>
          </w:p>
        </w:tc>
        <w:tc>
          <w:tcPr>
            <w:tcW w:w="28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w w:val="91"/>
              </w:rPr>
              <w:t>12/30/2022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Magnachip Semiconductor Corporation</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62.41</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116.68</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135.88</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210.75</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94.37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S&amp;P 500 Index</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93.76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121.85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140.49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178.27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Philadelphia Semiconductor Index</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92.19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147.61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223.10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314.93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202.08</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approximate number of record holders of our outstanding common stock as of February 10, 2023 was 70. This number does not include beneficial owners for whom shares are held by nominees in street name.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information on securities authorized for issuance under our equity compensation plans, see Item 12. Security Ownership of Certain Beneficial Owners and Management and Related Stockholder Matters.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have not historically paid any cash dividends on our common stock. Our Board of Directors continuously evaluates our capital allocation strategy and liquidity targets, but has not currently implemented any dividend or distribution policy. Any determination to pay dividends in the future will be at the discretion of our Board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the monthly activity related to our repurchases of common stock for the quarter ended December 31, 2022.</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5"/>
              </w:rPr>
              <w:t>Total Number</w:t>
            </w:r>
          </w:p>
        </w:tc>
        <w:tc>
          <w:tcPr>
            <w:tcW w:w="13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of Shares</w:t>
            </w:r>
          </w:p>
        </w:tc>
        <w:tc>
          <w:tcPr>
            <w:tcW w:w="13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of Shares that</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5"/>
              </w:rPr>
              <w:t>Total Number</w:t>
            </w:r>
          </w:p>
        </w:tc>
        <w:tc>
          <w:tcPr>
            <w:tcW w:w="760" w:type="dxa"/>
            <w:vAlign w:val="bottom"/>
          </w:tcPr>
          <w:p>
            <w:pPr>
              <w:spacing w:after="0"/>
              <w:rPr>
                <w:sz w:val="12"/>
                <w:szCs w:val="12"/>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9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2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9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3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48"/>
        </w:trPr>
        <w:tc>
          <w:tcPr>
            <w:tcW w:w="3800" w:type="dxa"/>
            <w:vAlign w:val="bottom"/>
            <w:gridSpan w:val="3"/>
            <w:vMerge w:val="restart"/>
          </w:tcPr>
          <w:p>
            <w:pPr>
              <w:ind w:left="1340"/>
              <w:spacing w:after="0"/>
              <w:rPr>
                <w:sz w:val="20"/>
                <w:szCs w:val="20"/>
                <w:color w:val="auto"/>
              </w:rPr>
            </w:pPr>
            <w:r>
              <w:rPr>
                <w:rFonts w:ascii="Arial" w:cs="Arial" w:eastAsia="Arial" w:hAnsi="Arial"/>
                <w:sz w:val="14"/>
                <w:szCs w:val="14"/>
                <w:b w:val="1"/>
                <w:bCs w:val="1"/>
                <w:color w:val="auto"/>
              </w:rPr>
              <w:t>Period</w:t>
            </w: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of Shares</w:t>
            </w:r>
          </w:p>
        </w:tc>
        <w:tc>
          <w:tcPr>
            <w:tcW w:w="7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9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3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1"/>
        </w:trPr>
        <w:tc>
          <w:tcPr>
            <w:tcW w:w="3800" w:type="dxa"/>
            <w:vAlign w:val="bottom"/>
            <w:gridSpan w:val="3"/>
            <w:vMerge w:val="continue"/>
          </w:tcPr>
          <w:p>
            <w:pPr>
              <w:spacing w:after="0"/>
              <w:rPr>
                <w:sz w:val="14"/>
                <w:szCs w:val="14"/>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Purchased</w:t>
            </w:r>
          </w:p>
        </w:tc>
        <w:tc>
          <w:tcPr>
            <w:tcW w:w="7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or Programs(1)</w:t>
            </w: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thousands)(1)</w:t>
            </w:r>
          </w:p>
        </w:tc>
        <w:tc>
          <w:tcPr>
            <w:tcW w:w="0" w:type="dxa"/>
            <w:vAlign w:val="bottom"/>
          </w:tcPr>
          <w:p>
            <w:pPr>
              <w:spacing w:after="0"/>
              <w:rPr>
                <w:sz w:val="1"/>
                <w:szCs w:val="1"/>
                <w:color w:val="auto"/>
              </w:rPr>
            </w:pPr>
          </w:p>
        </w:tc>
      </w:tr>
      <w:tr>
        <w:trPr>
          <w:trHeight w:val="209"/>
        </w:trPr>
        <w:tc>
          <w:tcPr>
            <w:tcW w:w="1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2022</w:t>
            </w:r>
          </w:p>
        </w:tc>
        <w:tc>
          <w:tcPr>
            <w:tcW w:w="40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403,823</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7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6"/>
              </w:rPr>
              <w:t>403,823</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color w:val="auto"/>
              </w:rPr>
              <w:t>November 2022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314,041</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9.65</w:t>
            </w:r>
          </w:p>
        </w:tc>
        <w:tc>
          <w:tcPr>
            <w:tcW w:w="1900" w:type="dxa"/>
            <w:vAlign w:val="bottom"/>
            <w:gridSpan w:val="2"/>
          </w:tcPr>
          <w:p>
            <w:pPr>
              <w:ind w:left="540"/>
              <w:spacing w:after="0"/>
              <w:rPr>
                <w:sz w:val="20"/>
                <w:szCs w:val="20"/>
                <w:color w:val="auto"/>
              </w:rPr>
            </w:pPr>
            <w:r>
              <w:rPr>
                <w:rFonts w:ascii="Arial" w:cs="Arial" w:eastAsia="Arial" w:hAnsi="Arial"/>
                <w:sz w:val="18"/>
                <w:szCs w:val="18"/>
                <w:color w:val="auto"/>
              </w:rPr>
              <w:t>314,041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39,195</w:t>
            </w: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2022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193,143</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8.83</w:t>
            </w:r>
          </w:p>
        </w:tc>
        <w:tc>
          <w:tcPr>
            <w:tcW w:w="1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193,143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37,489</w:t>
            </w:r>
          </w:p>
        </w:tc>
        <w:tc>
          <w:tcPr>
            <w:tcW w:w="0" w:type="dxa"/>
            <w:vAlign w:val="bottom"/>
          </w:tcPr>
          <w:p>
            <w:pPr>
              <w:spacing w:after="0"/>
              <w:rPr>
                <w:sz w:val="1"/>
                <w:szCs w:val="1"/>
                <w:color w:val="auto"/>
              </w:rPr>
            </w:pPr>
          </w:p>
        </w:tc>
      </w:tr>
      <w:tr>
        <w:trPr>
          <w:trHeight w:val="223"/>
        </w:trPr>
        <w:tc>
          <w:tcPr>
            <w:tcW w:w="3800" w:type="dxa"/>
            <w:vAlign w:val="bottom"/>
            <w:gridSpan w:val="3"/>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911,007</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78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6"/>
              </w:rPr>
              <w:t>911,007</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160" w:hanging="424"/>
        <w:spacing w:after="0" w:line="273"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August 31, 2022, the Company’s Board of Directors authorized an expansion of the Company’s previously announced stock repurchase program from $75 million to $87.5 million of the Company’s common stock. The Company has already repurchased shares worth $37.5 million under the program through an accelerated stock repurchase agreement on December 21, 2021 with JPMorgan Chase Bank, National Association. The remaining $50.0 million of the expanded $87.5 million program will be repurchased in the open market or through privately negotiated transactions. In connection with the repurchase program, the Company has established a stock trading plan with Oppenheimer &amp; Co. Inc. in accordance with Rule 10b5-1 under the Securities Exchange Act of 1934, as amended.</w:t>
      </w:r>
    </w:p>
    <w:p>
      <w:pPr>
        <w:spacing w:after="0" w:line="17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See “Item 8. Financial Statements and Supplementary Data—Notes to Consolidated Financial Statements—Note 13. Stockholders’ Equity and Stock-Based Compensation” in this Report for a description of the Accelerated Stock Repurchase Program.</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86"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[Reserved]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the audited consolidated financial statements, together in each case with the related notes, included elsewhere in this Report.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Report.</w:t>
      </w:r>
    </w:p>
    <w:p>
      <w:pPr>
        <w:spacing w:after="0" w:line="17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following section generally discusses our financial condition and results of operations for our fiscal year ended December 31, 2022 (“fiscal year 2022”) compared to our fiscal year ended December 31, 2021 (“fiscal year 2021”). A discussion regarding our financial condition and results of operations for fiscal year 2021 compared to our fiscal year ended December 31, 2020 (“fiscal year 2020”) can be found in Part II, Item 7 of our Annual Report on Form 10-K for fiscal year 2021, filed with the Securities and Exchange Commission (the “SEC”) on February 23, 2022.</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We are a designer and manufacturer of analog and mixed-signal semiconductor platform solutions for communications, IoT applications, consumer, computing, industrial and automotive applications. We have a proven record with more than 40 years of operating history, a portfolio of approximately 1,100 registered patents and pending applications and extensive engineering and manufacturing process expertise.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standard products business includes our Display Solutions and Power Solutions business lines.</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automotives, entertainment devices, IT applications such as monitors, notebook PCs, tablet PC and TVs applied with liquid crystal display (LCD), organic light emitting diodes (OLED) and Micro light emitting diode (Micro LED) panel. Since 2007, we have designed and manufactured OLED display driver integrated circuit (IC) products. Our current portfolio of OLED solutions address a wide range of resolutions ranging from HD (High Definition) to UHD (Ultra High Definition) for a wide range of applications including smartphones, TVs, automotive and IT applications such as monitors, notebook PCs, tablet PCs as well as AR/VRs.</w:t>
      </w:r>
    </w:p>
    <w:p>
      <w:pPr>
        <w:spacing w:after="0" w:line="195"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Our Power Solutions business line produces power management semiconductor products including discrete and integrated circuit solutions for power management in communications, consumer, computing, servers, automotive, and industrial applications. These products include metal oxide semiconductor field effect transistors (MOSFETs), insulated-gate bipolar transistors (IGBTs), AC-DC/DC-DC converters, LED drivers, regulators and power management integrated circuits (PMICs) for a range of devices, including televisions, smartphones, mobile phones, wearable devices, desktop PCs, notebooks, tablet PCs, other consumer electrics, automotive, and industrial applications such as power suppliers, e-bikes, solar inverters, LED lighting and motor drives.</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wide variety of analog and mixed-signal semiconductor products combined with our mature technology platform allow us to address multiple high-growth end markets and rapidly develop and introduce new products and services in response to market demands. Our design center and substantial manufacturing operation in Korea place us at the core of the global electronics device supply chain. We believe this enables us to quickly and efficiently respond to our customers’ needs, and allows us to better serve and capture additional demand from existing and new customers. Certain of our OLED products are produced using external 12-inch foundries. Through a strategic cooperation with external 12-inch foundries, we are managing to ensure outsourcing wafers at competitive price and produce quality products.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86"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and industrial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6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64"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w:t>
      </w:r>
    </w:p>
    <w:p>
      <w:pPr>
        <w:spacing w:after="0" w:line="178"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86"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technology and 12-inch and 8-inch wafer capacity, such as organic light emitting diodes (OLED). We believe this balanced capital investment strategy enables us to optimize our capital investments and facilitates more diversified product and service offerings.</w:t>
      </w:r>
    </w:p>
    <w:p>
      <w:pPr>
        <w:spacing w:after="0" w:line="170"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12-inch foundries starting in the second half of 2015 and we have started outsourcing 8-inch wafer for OLED TV IC after the sale of our fabrication facility located in Cheongju, Korea in 2020. This additional source of manufacturing is an increasingly important part of our supply chain management. By outsourcing manufacturing of OLED products to external foundries, we are able to adapt dynamically to changing customer requirements and address growing markets without substantial capital investments by us. However, relying on external foundries exposes us to the risk of being unable to secure manufacturing capacity, particularly under the current global shortage of foundry services. Although we are working strategically with external foundries to ensure long-term wafer capacity, if these efforts are unsuccessful, our ability to deliver products to our customers may be negatively impacted, which would adversely affect our relationship with customers and opportunities to secure new design-wins.</w:t>
      </w:r>
    </w:p>
    <w:p>
      <w:pPr>
        <w:spacing w:after="0" w:line="18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Expanded Stock Repurchase Program</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August 31, 2022, our Board of Directors authorized an expansion of the previously announced stock repurchase program from $75.0 million to $87.5 million of our common stock. We have already repurchased shares worth $37.5 million under the program through an accelerated stock repurchase agreement on December 21, 2021 with JPMorgan Chase Bank, National Association. The remaining $50.0 million of the expanded</w:t>
      </w:r>
    </w:p>
    <w:p>
      <w:pPr>
        <w:spacing w:after="0" w:line="2" w:lineRule="exact"/>
        <w:rPr>
          <w:sz w:val="20"/>
          <w:szCs w:val="20"/>
          <w:color w:val="auto"/>
        </w:rPr>
      </w:pPr>
    </w:p>
    <w:p>
      <w:pPr>
        <w:ind w:left="120" w:right="580"/>
        <w:spacing w:after="0" w:line="255" w:lineRule="auto"/>
        <w:rPr>
          <w:sz w:val="20"/>
          <w:szCs w:val="20"/>
          <w:color w:val="auto"/>
        </w:rPr>
      </w:pPr>
      <w:r>
        <w:rPr>
          <w:rFonts w:ascii="Arial" w:cs="Arial" w:eastAsia="Arial" w:hAnsi="Arial"/>
          <w:sz w:val="18"/>
          <w:szCs w:val="18"/>
          <w:color w:val="auto"/>
        </w:rPr>
        <w:t>$87.5 million program has been and will be repurchased in the open market or through privately negotiated transactions. In connection with the repurchase program, we have established a stock trading plan with Oppenheimer &amp; Co. Inc. in accordance with Rule 10b5-1 under the Securities Exchange Act of 1934, as amended.</w:t>
      </w:r>
    </w:p>
    <w:p>
      <w:pPr>
        <w:spacing w:after="0" w:line="19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From September 2022 to December 2022, we repurchased 1,235,650 shares of our common stock in the open market for an aggregate purchase price of $12.5 million and a price per share of $10.13 under the stock repurchase program.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Semiconductor Industry Trends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Increases in demand for semiconductor products resulted in a global shortage of manufacturing capacity over the prior two years. As a result, we may experience increased costs to manufacture our products and may not be able to manufacture and deliver all of the orders placed by our customers. Specifically, if we are unable to secure manufacturing capacity from the external foundries we rely on, our ability to deliver products to our customers may be negatively impacted. Also, shortage of manufacturing capacity may lead to an increase in our manufacturing costs. Our principal pricing strategy is to pass on the increased manufacturing costs to our customers; however, we may not be fully able to do this in all cases. Total revenues for the years ended December 31, 2022 and 2021 were severely impacted by these persisting supply shortages, in particular for 28nm</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12-inch OLED wafers, which impacted design-in projects from our large panel customer in Korea that are typically given 9 to 12 months in advance.</w:t>
      </w:r>
    </w:p>
    <w:p>
      <w:pPr>
        <w:spacing w:after="0" w:line="24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In an effort to minimize the potential adverse impact of the supply shortage, we continue to work strategically with certain external foundries to help ensure long-term wafer capacity. If these efforts are unsuccessful, however, such shortage could limit our ability to meet demand for our products in the future, which would adversely affect our reputation and competitive position, resulting in a negative impact on results of operations.</w:t>
      </w:r>
    </w:p>
    <w:p>
      <w:pPr>
        <w:spacing w:after="0" w:line="16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not able to foresee when the shortage of manufacturing capacity will subside, but we are beginning to see some indicators of improvement of such supply shortage situation. However, the global shortage for semiconductor products over the prior two years has led to overbooking backordered demand and oversupply. As a result, the current global macroeconomic conditions, including COVID-19 pandemic, higher inflation and interest rates and uncertainty caused by the Russian-Ukraine war, have led to weaker end-market demand and an oversupply of inventory. We continue to monitor these trends and uncertainties, and any decline in end-market demand and increase in inventory levels could negatively impact our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7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experienced some minor disruption in our Power Solutions business line from assembly and test subcontractors located in China in the first quarter of 2020 as a result of the COVID-19 pandemic. To date, our external Display Solutions business line contractors and sub-contractors have not been materially impacted by the COVID-19 pandemic. We are, however, unable to accurately predict the full impact that the COVID-19 pandemic will have on future results of operations due to numerous uncertainties. The extent to which the COVID-19 pandemic impacts our business, results of operations and financial condition will depend on future developments, which, despite progress in vaccination efforts, are highly uncertain and cannot be predicted with confidence, including the duration of the outbreak, new information that may emerge concerning the severity of the COVID-19 pandemic, such as new strains of the virus that may emerge, which may impact rates of infection and vaccination efforts, developments or perceptions regarding the safety of vaccines and the extent and effectiveness of actions to contain the COVID-19 pandemic or treat its impact, including vaccination campaigns and lockdown measures, among others. In addition, recurrences or additional waves of COVID-19 cases could cause other widespread or more severe impacts depending on where infection rates are highest. We cannot presently predict the scope and severity of any potential business shutdowns or disruptions, but if we or any of our customers and suppliers were to experience prolonged business shutdowns or other disruptions, our ability to conduct our business could be materially and negatively affected, which could have a material adverse impact on our business, results of operations and financial condition.</w:t>
      </w:r>
    </w:p>
    <w:p>
      <w:pPr>
        <w:spacing w:after="0" w:line="186"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We continue to closely monitor and evaluate the nature and scope of the impact of the COVID-19 pandemic to our business, consolidated results of operations, and financial condition, and may take further actions altering our business operations and managing our costs and liquidity that we deem necessary or appropriate to respond to this ongoing and uncertain global health crisis and the resulting global economic consequences.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86"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Developments in Export Control Regulations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On October 7, 2022, the Bureau of Industry and Security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end-uses and end-users, including those related to weapons of mass destruction. Additionally, on October 21, 2022, the Bureau of Industry and Security brought into effect a series of new Foreign Direct Product (FDP) rules and various new controls on advanced computing items, significantly expanding the scope of items that are subject to export control under the U.S. Export Regulations. Based on our understanding of the current U.S. Export Regulations and related rules, we do not anticipate that they will have a material impact on our business. Additional changes to the U.S. Export Regulations are expected, but the scope or timing of such changes is unknown. We will continue to monitor such developments, including potential additional trade restrictions, and other regulatory or policy changes by the U.S. and foreign governments.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 Adjusted Operating Income and Adjusted Net Income</w:t>
      </w:r>
    </w:p>
    <w:p>
      <w:pPr>
        <w:spacing w:after="0" w:line="11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We use the terms Adjusted EBITDA, Adjusted Operating Income and Adjusted Net Income (including on a per share basis) in this Report. Adjusted EBITDA, as we define it, is a non-U.S. GAAP measure. We define Adjusted EBITDA for the periods indicated as EBITDA (as defined below), adjusted to exclude (i) equity-based compensation expense, (ii) foreign currency loss, net, (iii) derivative valuation gain, net, (iv) inventory reserve related to Huawei impact of downstream trade restrictions, (v) merger-related income, net and (vi) other charges, net. EBITDA for the periods indicated is defined as net income (loss) before interest income, interest expense, income tax expense, and depreciation and amortization.</w:t>
      </w:r>
    </w:p>
    <w:p>
      <w:pPr>
        <w:spacing w:after="0" w:line="16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540" w:right="60" w:hanging="424"/>
        <w:spacing w:after="0" w:line="263"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9" w:lineRule="exact"/>
        <w:rPr>
          <w:rFonts w:ascii="Arial" w:cs="Arial" w:eastAsia="Arial" w:hAnsi="Arial"/>
          <w:sz w:val="18"/>
          <w:szCs w:val="18"/>
          <w:color w:val="auto"/>
        </w:rPr>
      </w:pPr>
    </w:p>
    <w:p>
      <w:pPr>
        <w:ind w:left="540" w:right="140" w:hanging="424"/>
        <w:spacing w:after="0" w:line="263"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w:t>
      </w:r>
    </w:p>
    <w:p>
      <w:pPr>
        <w:spacing w:after="0" w:line="89" w:lineRule="exact"/>
        <w:rPr>
          <w:rFonts w:ascii="Arial" w:cs="Arial" w:eastAsia="Arial" w:hAnsi="Arial"/>
          <w:sz w:val="18"/>
          <w:szCs w:val="18"/>
          <w:color w:val="auto"/>
        </w:rPr>
      </w:pPr>
    </w:p>
    <w:p>
      <w:pPr>
        <w:ind w:left="540" w:right="940" w:hanging="424"/>
        <w:spacing w:after="0" w:line="308"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believe that Adjusted EBITDA is useful for investors, among other reasons, to assess a company’s period-to-period core operating performance and to understand and assess the manner in which management analyzes operating performance.</w:t>
      </w:r>
    </w:p>
    <w:p>
      <w:pPr>
        <w:spacing w:after="0" w:line="38"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We use Adjusted EBITDA in a number of ways, including:</w:t>
      </w:r>
    </w:p>
    <w:p>
      <w:pPr>
        <w:spacing w:after="0" w:line="252" w:lineRule="exact"/>
        <w:rPr>
          <w:rFonts w:ascii="Arial" w:cs="Arial" w:eastAsia="Arial" w:hAnsi="Arial"/>
          <w:sz w:val="17"/>
          <w:szCs w:val="17"/>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encourage you to evaluate each adjustment and the reasons we consider them appropriate. In evaluating Adjusted EBITDA, you should be aware that in the future we may incur expenses similar to the adjustments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this presentation. Adjusted EBITDA is not a measure defined in accordance with U.S. GAAP and should not be construed as an alternative to net income or any other performance measure derived in accordance with U.S GAAP, or as an alternative to cash flows from operating activities as a measure of liquidity. A reconciliation of net income (loss) to Adjusted EBITDA is as follows:</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6"/>
              </w:rPr>
              <w:t>Year Ended</w:t>
            </w:r>
          </w:p>
        </w:tc>
        <w:tc>
          <w:tcPr>
            <w:tcW w:w="42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Year Ended</w:t>
            </w:r>
          </w:p>
        </w:tc>
      </w:tr>
      <w:tr>
        <w:trPr>
          <w:trHeight w:val="148"/>
        </w:trPr>
        <w:tc>
          <w:tcPr>
            <w:tcW w:w="7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42"/>
        </w:trPr>
        <w:tc>
          <w:tcPr>
            <w:tcW w:w="7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5"/>
          </w:tcPr>
          <w:p>
            <w:pPr>
              <w:ind w:left="520"/>
              <w:spacing w:after="0" w:line="142" w:lineRule="exact"/>
              <w:rPr>
                <w:sz w:val="20"/>
                <w:szCs w:val="20"/>
                <w:color w:val="auto"/>
              </w:rPr>
            </w:pPr>
            <w:r>
              <w:rPr>
                <w:rFonts w:ascii="Arial" w:cs="Arial" w:eastAsia="Arial" w:hAnsi="Arial"/>
                <w:sz w:val="14"/>
                <w:szCs w:val="14"/>
                <w:b w:val="1"/>
                <w:bCs w:val="1"/>
                <w:color w:val="auto"/>
                <w:w w:val="96"/>
              </w:rPr>
              <w:t>(Dollars 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Equity-based compensation expense(a)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net(b)</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Derivative valuation gain, net(c)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 related to Huawei impact of downstream trade restrictions(d)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Merger-related income, net(e)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 net(f)</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line="25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00" w:hanging="424"/>
        <w:spacing w:after="0" w:line="265"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540" w:right="40" w:hanging="424"/>
        <w:spacing w:after="0" w:line="265"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ind w:left="540" w:right="60" w:hanging="424"/>
        <w:spacing w:after="0" w:line="292"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the year ended December 31, 2021, this adjustment eliminates the impact of sales of inventories for which excess and obsolete reserves were previously recognized in relation to the U.S. Government’s export restrictions on Huawei, which is a downstream customer of some of our direct customers, as these reserved inventories were subsequently sold to certain other customers. As this charge and the timing of its reversal meaningfully impacted our operational results and are not expected to represent an ongoing operating expense subject to our ability to foresee and control, we believe our operating performance results are more meaningfully compared if this charge and related reversal are excluded.</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424"/>
        <w:spacing w:after="0" w:line="25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year ended December 31, 2021, this adjustment eliminates $70.2 million income from the recognition of a reverse termination fee as a result of the termination of the merger transaction, which was offset in part by a $34.7 million of professional service fees and expenses incurred in connection with the contemplated merger transaction that was terminated in December 2021.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3" w:lineRule="exact"/>
        <w:rPr>
          <w:rFonts w:ascii="Arial" w:cs="Arial" w:eastAsia="Arial" w:hAnsi="Arial"/>
          <w:sz w:val="18"/>
          <w:szCs w:val="18"/>
          <w:color w:val="auto"/>
        </w:rPr>
      </w:pPr>
    </w:p>
    <w:p>
      <w:pPr>
        <w:ind w:left="540" w:hanging="424"/>
        <w:spacing w:after="0" w:line="26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the year ended December 31, 2022, this adjustment eliminates $2.8 million of one-time employee incentives and professional service fees and expenses of $1.0 million incurred in connection with certain strategic evaluations, which was offset in part by a $0.5 million gain on sale of certain legacy equipment of the closed back-end line in our fabrication facility in Gumi. For the year ended December 31, 2021, this adjustment eliminates $3.4 million non-recurring professional service fees and expenses incurred in connection with the regulatory requests, which was offset in part by $1.4 million gain on sale of certain legacy equipment of the closed back-end line in our fabrication facility in Gumi, and $0.7 million legal settlement gain related to certain expenses incurred in prior periods in connection with our legacy Fab 4 (which was sold during the year ended December 31, 2020) and awarded in the third quarter of 2021.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73" w:lineRule="exact"/>
        <w:rPr>
          <w:rFonts w:ascii="Arial" w:cs="Arial" w:eastAsia="Arial" w:hAnsi="Arial"/>
          <w:sz w:val="17"/>
          <w:szCs w:val="17"/>
          <w:color w:val="auto"/>
        </w:rPr>
      </w:pPr>
    </w:p>
    <w:p>
      <w:pPr>
        <w:ind w:left="560" w:right="180"/>
        <w:spacing w:after="0" w:line="277" w:lineRule="auto"/>
        <w:rPr>
          <w:rFonts w:ascii="Arial" w:cs="Arial" w:eastAsia="Arial" w:hAnsi="Arial"/>
          <w:sz w:val="17"/>
          <w:szCs w:val="17"/>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7"/>
          <w:szCs w:val="17"/>
          <w:color w:val="auto"/>
        </w:rPr>
      </w:pPr>
    </w:p>
    <w:p>
      <w:pPr>
        <w:ind w:left="1080" w:hanging="532"/>
        <w:spacing w:after="0"/>
        <w:tabs>
          <w:tab w:leader="none" w:pos="10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40"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present Adjusted Operating Income as supplemental measures of our performance. We prepare Adjusted Operating Income by adjusting operating income (loss) to eliminate the impact of equity-based compensation expenses and other items that may be either one time or recurring that we do not consider to be indicative of our core ongoing operating performance. We believe that Adjusted Operating Income is useful to investors to provide a supplemental way to understand our underlying operating performance and allows investors to monitor and understand changes in our ability to generate income from ongoing business operations.</w:t>
      </w:r>
    </w:p>
    <w:p>
      <w:pPr>
        <w:spacing w:after="0" w:line="18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Adjusted Operating Income is not a measure defined in accordance with U.S. GAAP and should not be construed as an alternative to operating income or any other performance measure derived in accordance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86"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75" w:lineRule="auto"/>
        <w:rPr>
          <w:sz w:val="20"/>
          <w:szCs w:val="20"/>
          <w:color w:val="auto"/>
        </w:rPr>
      </w:pPr>
      <w:r>
        <w:rPr>
          <w:rFonts w:ascii="Arial" w:cs="Arial" w:eastAsia="Arial" w:hAnsi="Arial"/>
          <w:sz w:val="17"/>
          <w:szCs w:val="17"/>
          <w:color w:val="auto"/>
        </w:rPr>
        <w:t>U.S GAAP. We encourage you to evaluate each adjustment and the reasons we consider them appropriate. Other companies in our industry may calculate Adjusted Operating Income differently than we do, limiting its usefulness as a comparative measure. In addition, in evaluating Adjusted Operating Income, you should be aware that in the future we may incur expenses similar to the adjustments in this presentation. We define Adjusted Operating Income for the periods indicated as operating income adjusted to exclude (i) equity-based compensation expense, (ii) inventory reserve related to Huawei impact of downstream trade restrictions, (iii) merger-related income, net and (iv) other charges, net.</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summarizes the adjustments to operating income (loss) that we make in order to calculate Adjusted Operating Income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8"/>
              </w:rPr>
              <w:t>Year Ended</w:t>
            </w:r>
          </w:p>
        </w:tc>
        <w:tc>
          <w:tcPr>
            <w:tcW w:w="42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4"/>
          </w:tcPr>
          <w:p>
            <w:pPr>
              <w:ind w:left="520"/>
              <w:spacing w:after="0" w:line="142" w:lineRule="exact"/>
              <w:rPr>
                <w:sz w:val="20"/>
                <w:szCs w:val="20"/>
                <w:color w:val="auto"/>
              </w:rPr>
            </w:pPr>
            <w:r>
              <w:rPr>
                <w:rFonts w:ascii="Arial" w:cs="Arial" w:eastAsia="Arial" w:hAnsi="Arial"/>
                <w:sz w:val="14"/>
                <w:szCs w:val="14"/>
                <w:b w:val="1"/>
                <w:bCs w:val="1"/>
                <w:color w:val="auto"/>
                <w:w w:val="96"/>
              </w:rPr>
              <w:t>(Dollars 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Adjustments: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Inventory reserve related to Huawei impact of downstream trade restrictions(b)</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Merger-related income, net(c)</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Other charges, net(d)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line="254"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the year ended December 31, 2021, this adjustment eliminates the impact of sales of inventories for which excess and obsolete reserves were previously recognized in relation to the U.S. Government’s export restrictions on Huawei, which is a downstream customer of some of our direct customers, as these reserved inventories were subsequently sold to certain other customers. As this charge and the timing of its reversal meaningfully impacted our operational results and are not expected to represent an ongoing operating expense subject to our ability to foresee and control, we believe our operating performance results are more meaningfully compared if this charge and related reversal are excluded.</w:t>
      </w:r>
    </w:p>
    <w:p>
      <w:pPr>
        <w:spacing w:after="0" w:line="2" w:lineRule="exact"/>
        <w:rPr>
          <w:rFonts w:ascii="Arial" w:cs="Arial" w:eastAsia="Arial" w:hAnsi="Arial"/>
          <w:sz w:val="16"/>
          <w:szCs w:val="16"/>
          <w:color w:val="auto"/>
        </w:rPr>
      </w:pPr>
    </w:p>
    <w:p>
      <w:pPr>
        <w:ind w:left="54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year ended December 31, 2021, this adjustment eliminates $70.2 million income from the recognition of a reverse termination fee as a result of the termination of the merger transaction, which was offset in part by a $34.7 million of professional service fees and expenses incurred in connection with the contemplated merger transaction that was terminated in December 2021.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1" w:lineRule="exact"/>
        <w:rPr>
          <w:rFonts w:ascii="Arial" w:cs="Arial" w:eastAsia="Arial" w:hAnsi="Arial"/>
          <w:sz w:val="18"/>
          <w:szCs w:val="18"/>
          <w:color w:val="auto"/>
        </w:rPr>
      </w:pPr>
    </w:p>
    <w:p>
      <w:pPr>
        <w:ind w:left="540" w:hanging="424"/>
        <w:spacing w:after="0" w:line="269"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 the year ended December 31, 2022, this adjustment eliminates $2.8 million of one-time employee incentives and professional service fees and expenses of $1.0 million incurred in connection with certain strategic evaluations, which was offset in part by a $0.5 million gain on sale of certain legacy equipment of the closed back-end line in our fabrication facility in Gumi. For the year ended December 31, 2021, this adjustment eliminates $3.4 million non-recurring professional service fees and expenses incurred in connection with the regulatory requests, which was offset in part by $1.4 million gain on sale of certain legacy equipment of the closed back-end line in our fabrication facility in Gumi.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present Adjusted Net Income (including on a per share basis) as a further supplemental measure of our performance. We prepare Adjusted Net Income (including on a per share basis) by adjusting income (loss) to eliminate the impact of a number of non-cash expenses and other items that may be either one time or recurring that we do not consider to be indicative of our core ongoing operating performance. We believe that Adjusted Net Income (including on a per share basis) is particularly useful because it reflects the impact of our asset base and capital structure on our operating performance. We present Adjusted Net Income (including on a per share basis) for a number of reasons, including:</w:t>
      </w:r>
    </w:p>
    <w:p>
      <w:pPr>
        <w:spacing w:after="0" w:line="82" w:lineRule="exact"/>
        <w:rPr>
          <w:sz w:val="20"/>
          <w:szCs w:val="20"/>
          <w:color w:val="auto"/>
        </w:rPr>
      </w:pPr>
    </w:p>
    <w:p>
      <w:pPr>
        <w:ind w:left="1080" w:right="100" w:hanging="532"/>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use Adjusted Net Income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9"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believe that reporting Adjusted Net Income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4"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Adjusted Net Income (including on a per share basis) is not a measure defined in accordance with U.S. GAAP and should not be construed as an alternative to net income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(including on a per share basis) differently than we do, limiting its usefulness as a comparative measure. In addition, in evaluating Adjusted Net Income (including on a per share basis), you should be aware that in the future we may incur expenses similar to the adjustments in this presentation. We define Adjusted Net Income (including on a per share basis); for the periods indicated as income (loss), adjusted to exclude (i) equity-based compensation expense, (ii) foreign currency loss, net, (iii) derivative valuation gain, net, (iv) inventory reserve related to Huawei impact of downstream trade restrictions, (v) merger-related income, net, (vi) other charges, net and (vii) income tax effect on non-GAAP adjustments.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6"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table summarizes the adjustments to income (loss) that we make in order to calculate Adjusted Net Income (including on a per share basis)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Year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730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8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2021(h)</w:t>
            </w:r>
          </w:p>
        </w:tc>
      </w:tr>
      <w:tr>
        <w:trPr>
          <w:trHeight w:val="119"/>
        </w:trPr>
        <w:tc>
          <w:tcPr>
            <w:tcW w:w="7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20" w:type="dxa"/>
            <w:vAlign w:val="bottom"/>
            <w:tcBorders>
              <w:top w:val="single" w:sz="8" w:color="auto"/>
            </w:tcBorders>
            <w:gridSpan w:val="5"/>
          </w:tcPr>
          <w:p>
            <w:pPr>
              <w:jc w:val="right"/>
              <w:ind w:right="332"/>
              <w:spacing w:after="0" w:line="119" w:lineRule="exact"/>
              <w:rPr>
                <w:sz w:val="20"/>
                <w:szCs w:val="20"/>
                <w:color w:val="auto"/>
              </w:rPr>
            </w:pPr>
            <w:r>
              <w:rPr>
                <w:rFonts w:ascii="Arial" w:cs="Arial" w:eastAsia="Arial" w:hAnsi="Arial"/>
                <w:sz w:val="13"/>
                <w:szCs w:val="13"/>
                <w:b w:val="1"/>
                <w:bCs w:val="1"/>
                <w:color w:val="auto"/>
              </w:rPr>
              <w:t>(Dollars in millions, except per</w:t>
            </w:r>
          </w:p>
        </w:tc>
        <w:tc>
          <w:tcPr>
            <w:tcW w:w="100" w:type="dxa"/>
            <w:vAlign w:val="bottom"/>
          </w:tcPr>
          <w:p>
            <w:pPr>
              <w:spacing w:after="0"/>
              <w:rPr>
                <w:sz w:val="10"/>
                <w:szCs w:val="10"/>
                <w:color w:val="auto"/>
              </w:rPr>
            </w:pPr>
          </w:p>
        </w:tc>
      </w:tr>
      <w:tr>
        <w:trPr>
          <w:trHeight w:val="171"/>
        </w:trPr>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w w:val="90"/>
              </w:rPr>
              <w:t>share data)</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expense(a)</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Foreign currency loss, net(b)</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gain, net(c)</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02"/>
        </w:trPr>
        <w:tc>
          <w:tcPr>
            <w:tcW w:w="7300" w:type="dxa"/>
            <w:vAlign w:val="bottom"/>
          </w:tcPr>
          <w:p>
            <w:pPr>
              <w:ind w:left="360"/>
              <w:spacing w:after="0" w:line="201" w:lineRule="exact"/>
              <w:rPr>
                <w:sz w:val="20"/>
                <w:szCs w:val="20"/>
                <w:color w:val="auto"/>
              </w:rPr>
            </w:pPr>
            <w:r>
              <w:rPr>
                <w:rFonts w:ascii="Arial" w:cs="Arial" w:eastAsia="Arial" w:hAnsi="Arial"/>
                <w:sz w:val="18"/>
                <w:szCs w:val="18"/>
                <w:color w:val="auto"/>
              </w:rPr>
              <w:t>Inventory reserve related to Huawei impact of</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7300" w:type="dxa"/>
            <w:vAlign w:val="bottom"/>
          </w:tcPr>
          <w:p>
            <w:pPr>
              <w:ind w:left="360"/>
              <w:spacing w:after="0"/>
              <w:rPr>
                <w:sz w:val="20"/>
                <w:szCs w:val="20"/>
                <w:color w:val="auto"/>
              </w:rPr>
            </w:pPr>
            <w:r>
              <w:rPr>
                <w:rFonts w:ascii="Arial" w:cs="Arial" w:eastAsia="Arial" w:hAnsi="Arial"/>
                <w:sz w:val="18"/>
                <w:szCs w:val="18"/>
                <w:color w:val="auto"/>
              </w:rPr>
              <w:t>downstream trade restrictions(d)</w:t>
            </w:r>
          </w:p>
        </w:tc>
        <w:tc>
          <w:tcPr>
            <w:tcW w:w="1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income, net(e)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Other charges, net(f)</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effect on non-GAAP adjustments(g)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Adjusted Net Income(h)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Reported earnings (loss) per share—basic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Reported earnings (loss) per share—diluted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shares—basic</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44,850,791</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44,879,412</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Weighted average number of shares—diluted</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44,850,791</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47,709,373</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per share—basic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Adjusted earnings per share—diluted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shares—basic</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44,850,791</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44,879,412</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Weighted average number of shares—diluted</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45,795,559</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47,709,373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540" w:hanging="424"/>
        <w:spacing w:after="0" w:line="254"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00" w:hanging="424"/>
        <w:spacing w:after="0" w:line="265"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540" w:right="40" w:hanging="424"/>
        <w:spacing w:after="0" w:line="265"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ind w:left="540" w:right="140" w:hanging="424"/>
        <w:spacing w:after="0" w:line="273"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the year ended December 31, 2021, this adjustment eliminates the impact of sales of inventories for which excess and obsolete reserves were previously recognized in relation to the U.S. Government’s export restrictions on Huawei, which is a downstream customer of some of our direct customers, as these reserved inventories were subsequently sold to certain other customers. As this charge and the timing of its reversal meaningfully impacted our operational results and are not expected to represent an ongoing operating</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6"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120"/>
        <w:spacing w:after="0" w:line="258" w:lineRule="auto"/>
        <w:rPr>
          <w:sz w:val="20"/>
          <w:szCs w:val="20"/>
          <w:color w:val="auto"/>
        </w:rPr>
      </w:pPr>
      <w:r>
        <w:rPr>
          <w:rFonts w:ascii="Arial" w:cs="Arial" w:eastAsia="Arial" w:hAnsi="Arial"/>
          <w:sz w:val="18"/>
          <w:szCs w:val="18"/>
          <w:color w:val="auto"/>
        </w:rPr>
        <w:t>expense subject to our ability to foresee and control, we believe our operating performance results are more meaningfully compared if this charge and related reversal are excluded.</w:t>
      </w:r>
    </w:p>
    <w:p>
      <w:pPr>
        <w:spacing w:after="0" w:line="1" w:lineRule="exact"/>
        <w:rPr>
          <w:sz w:val="20"/>
          <w:szCs w:val="20"/>
          <w:color w:val="auto"/>
        </w:rPr>
      </w:pPr>
    </w:p>
    <w:p>
      <w:pPr>
        <w:ind w:left="540" w:right="2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the year ended December 31, 2021, this adjustment eliminates $70.2 million income from the recognition of a reverse termination fee as a result of the termination of the merger transaction, which was offset in part by a $34.7 million of professional service fees and expenses incurred in connection with the contemplated merger transaction that was terminated in December 2021.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the year ended December 31, 2022, this adjustment eliminates $2.8 million of one-time employee incentives and professional service fees and expenses of $1.0 million incurred in connection with certain strategic evaluations, which was offset in part by a $0.5 million gain on sale of certain legacy equipment of the closed back-end line in our fabrication facility in Gumi. For the year ended December 31, 2021, this adjustment eliminates $3.4 million non-recurring professional service fees and expenses incurred in connection with the regulatory requests, which was offset in part by $1.4 million gain on sale of certain legacy equipment of the closed back-end line in our fabrication facility in Gumi, and $0.7 million legal settlement gain related to certain expenses incurred in prior periods in connection with our legacy Fab 4 (which was sold during the year ended December 31, 2020) and awarded in the third quarter of 2021.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1" w:lineRule="exact"/>
        <w:rPr>
          <w:rFonts w:ascii="Arial" w:cs="Arial" w:eastAsia="Arial" w:hAnsi="Arial"/>
          <w:sz w:val="17"/>
          <w:szCs w:val="17"/>
          <w:color w:val="auto"/>
        </w:rPr>
      </w:pPr>
    </w:p>
    <w:p>
      <w:pPr>
        <w:ind w:left="540" w:right="100" w:hanging="424"/>
        <w:spacing w:after="0" w:line="281"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the years ended December 31, 2022 and 2021, income tax effect on non-GAAP adjustments were calculated by calculating the tax expense of each jurisdiction with or without the non-GAAP adjustments. For the year ended December 31, 2022, income tax effect on non-GAAP adjustments related to our Korean subsidiary and the U.S parent entity were $6.2 million and negative $1.7 million, respectively. For the year ended December 31, 2021, income tax effect on non-GAAP adjustments related to our Korean subsidiary and the U.S parent entity were</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$2.8 million and $6.9 million, respectively.</w:t>
      </w:r>
    </w:p>
    <w:p>
      <w:pPr>
        <w:spacing w:after="0" w:line="9" w:lineRule="exact"/>
        <w:rPr>
          <w:rFonts w:ascii="Arial" w:cs="Arial" w:eastAsia="Arial" w:hAnsi="Arial"/>
          <w:sz w:val="16"/>
          <w:szCs w:val="16"/>
          <w:color w:val="auto"/>
        </w:rPr>
      </w:pPr>
    </w:p>
    <w:p>
      <w:pPr>
        <w:jc w:val="both"/>
        <w:ind w:left="540" w:right="60" w:hanging="424"/>
        <w:spacing w:after="0" w:line="255"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adjustment for GAAP and cash tax expense difference in connection with the release of valuation allowances will no longer be an adjustment included in this non-GAAP financial measure. The reconciliation for the year ended December 31, 2021 presented above has been recast to reflect the removal of this adjustment in accordance with Securities and Exchange Commission guidance.</w:t>
      </w:r>
    </w:p>
    <w:p>
      <w:pPr>
        <w:spacing w:after="0" w:line="8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7"/>
          <w:szCs w:val="17"/>
          <w:color w:val="auto"/>
        </w:rPr>
        <w:t>We believe that all adjustments to income (loss) used to calculate Adjusted Net Income was applied consistently to the periods presented.</w:t>
      </w:r>
    </w:p>
    <w:p>
      <w:pPr>
        <w:spacing w:after="0" w:line="128" w:lineRule="exact"/>
        <w:rPr>
          <w:rFonts w:ascii="Arial" w:cs="Arial" w:eastAsia="Arial" w:hAnsi="Arial"/>
          <w:sz w:val="18"/>
          <w:szCs w:val="18"/>
          <w:color w:val="auto"/>
        </w:rPr>
      </w:pPr>
    </w:p>
    <w:p>
      <w:pPr>
        <w:ind w:left="560" w:right="180"/>
        <w:spacing w:after="0" w:line="277" w:lineRule="auto"/>
        <w:rPr>
          <w:rFonts w:ascii="Arial" w:cs="Arial" w:eastAsia="Arial" w:hAnsi="Arial"/>
          <w:sz w:val="18"/>
          <w:szCs w:val="18"/>
          <w:color w:val="auto"/>
        </w:rPr>
      </w:pPr>
      <w:r>
        <w:rPr>
          <w:rFonts w:ascii="Arial" w:cs="Arial" w:eastAsia="Arial" w:hAnsi="Arial"/>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Adjusted Net Income does not reflect changes in, or cash requirements for, our working capital needs;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Adjusted Net Income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differently than we do, limiting its usefulness as a comparative measure.</w:t>
      </w:r>
    </w:p>
    <w:p>
      <w:pPr>
        <w:spacing w:after="0" w:line="62" w:lineRule="exact"/>
        <w:rPr>
          <w:sz w:val="20"/>
          <w:szCs w:val="20"/>
          <w:color w:val="auto"/>
        </w:rPr>
      </w:pPr>
    </w:p>
    <w:p>
      <w:pPr>
        <w:ind w:left="560" w:right="420"/>
        <w:spacing w:after="0" w:line="308" w:lineRule="auto"/>
        <w:rPr>
          <w:sz w:val="20"/>
          <w:szCs w:val="20"/>
          <w:color w:val="auto"/>
        </w:rPr>
      </w:pPr>
      <w:r>
        <w:rPr>
          <w:rFonts w:ascii="Arial" w:cs="Arial" w:eastAsia="Arial" w:hAnsi="Arial"/>
          <w:sz w:val="17"/>
          <w:szCs w:val="17"/>
          <w:color w:val="auto"/>
        </w:rPr>
        <w:t>Because of these limitations, Adjusted Net Income should not be considered as a measure of profitability of our business. We compensate for these limitations by relying primarily on our U.S. GAAP results and using Adjusted Net Income only as a supplement.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We derive substantially all of our sales (net of sales returns and allowances) from our standard products business. We outsource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of mobile OLED products to external 12-inch foundries.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86" w:right="4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offices near concentrations of major customers. Our sales offices are located in Korea, Japan, Taiwan and Greater China. Our network of authorized agents and distributors is in the U.S., Europe and the Asia Pacific region.</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recognize revenue when a customer obtains control of the product, which is generally upon product shipment, delivery at the customer’s location or upon customer acceptance, depending on the terms of the arrangement. For the years ended December 31, 2022 and 2021, we sold products to 175 and 177 customers, respectively, and our net sales to our ten largest customers represented 69% and 80% of our net sales—standard products business, respectively.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provide the Transitional Fab 3 Foundry Services up to September 1, 2023 at an agreed upon cost plus a mark-up.</w:t>
      </w:r>
    </w:p>
    <w:p>
      <w:pPr>
        <w:spacing w:after="0" w:line="22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material costs consist of costs of raw materials, such as silicon wafers, chemicals, gases and tape and packaging supplies.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December 31, 2022, approximately 97% of our employees were eligible for severance benefits.</w:t>
      </w:r>
    </w:p>
    <w:p>
      <w:pPr>
        <w:spacing w:after="0" w:line="16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3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78"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86" w:right="5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direct sales force, a network of sales representatives and other costs of distribution. Personnel costs include base salary, benefits and incentive compensation.</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8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The rapid technological change and product obsolescence that characterize our industry require us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28-nanometer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Impact of Foreign Currency Exchange Rates on Reported Results of Operations. </w:t>
      </w:r>
      <w:r>
        <w:rPr>
          <w:rFonts w:ascii="Arial" w:cs="Arial" w:eastAsia="Arial" w:hAnsi="Arial"/>
          <w:sz w:val="17"/>
          <w:szCs w:val="17"/>
          <w:color w:val="auto"/>
        </w:rPr>
        <w:t>Historically, a portion of our revenues and cost of sales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December 31, 2022, the outstanding intercompany loan balance including accrued interest between our Korean subsidiary and our Dutch subsidiary was $311.0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From time to time, we may engage in exchange rate hedging activities in an effort to mitigate the impact of exchange rate fluctuations. Our Korean subsidiary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See “Note 10. Derivative Financial Instruments” to our consolidated financial statements under “Item 8. Financial Statements and Supplementary Data” for additional information regarding our foreign exchange hedging activities.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6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149"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fabrication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86"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Years Ended December 31, 2022 and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years ended December 31, 2022 and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jc w:val="right"/>
              <w:ind w:right="548"/>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jc w:val="right"/>
              <w:ind w:right="328"/>
              <w:spacing w:after="0"/>
              <w:rPr>
                <w:sz w:val="20"/>
                <w:szCs w:val="20"/>
                <w:color w:val="auto"/>
              </w:rPr>
            </w:pPr>
            <w:r>
              <w:rPr>
                <w:rFonts w:ascii="Arial" w:cs="Arial" w:eastAsia="Arial" w:hAnsi="Arial"/>
                <w:sz w:val="14"/>
                <w:szCs w:val="14"/>
                <w:b w:val="1"/>
                <w:bCs w:val="1"/>
                <w:color w:val="auto"/>
                <w:w w:val="91"/>
              </w:rPr>
              <w:t>December 31, 2022</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December 31, 2021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ind w:right="47"/>
              <w:spacing w:after="0" w:line="119"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8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700" w:type="dxa"/>
            <w:vAlign w:val="bottom"/>
            <w:gridSpan w:val="3"/>
          </w:tcPr>
          <w:p>
            <w:pPr>
              <w:jc w:val="center"/>
              <w:ind w:right="268"/>
              <w:spacing w:after="0" w:line="149" w:lineRule="exact"/>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2"/>
                <w:szCs w:val="12"/>
                <w:color w:val="auto"/>
              </w:rPr>
            </w:pPr>
          </w:p>
        </w:tc>
        <w:tc>
          <w:tcPr>
            <w:tcW w:w="9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Total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94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5"/>
          </w:tcPr>
          <w:p>
            <w:pPr>
              <w:jc w:val="right"/>
              <w:ind w:right="40"/>
              <w:spacing w:after="0" w:line="142" w:lineRule="exact"/>
              <w:rPr>
                <w:sz w:val="20"/>
                <w:szCs w:val="20"/>
                <w:color w:val="auto"/>
              </w:rPr>
            </w:pPr>
            <w:r>
              <w:rPr>
                <w:rFonts w:ascii="Arial" w:cs="Arial" w:eastAsia="Arial" w:hAnsi="Arial"/>
                <w:sz w:val="14"/>
                <w:szCs w:val="14"/>
                <w:b w:val="1"/>
                <w:bCs w:val="1"/>
                <w:color w:val="auto"/>
              </w:rPr>
              <w:t>(Dollars in millions)</w:t>
            </w: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Net sales—standard products business</w:t>
            </w:r>
          </w:p>
        </w:tc>
        <w:tc>
          <w:tcPr>
            <w:tcW w:w="2300" w:type="dxa"/>
            <w:vAlign w:val="bottom"/>
            <w:gridSpan w:val="4"/>
          </w:tcPr>
          <w:p>
            <w:pPr>
              <w:jc w:val="right"/>
              <w:ind w:right="41"/>
              <w:spacing w:after="0"/>
              <w:rPr>
                <w:sz w:val="20"/>
                <w:szCs w:val="20"/>
                <w:color w:val="auto"/>
              </w:rPr>
            </w:pPr>
            <w:r>
              <w:rPr>
                <w:rFonts w:ascii="Arial" w:cs="Arial" w:eastAsia="Arial" w:hAnsi="Arial"/>
                <w:sz w:val="18"/>
                <w:szCs w:val="18"/>
                <w:color w:val="auto"/>
              </w:rPr>
              <w:t>$ 301.9</w:t>
            </w:r>
          </w:p>
        </w:tc>
        <w:tc>
          <w:tcPr>
            <w:tcW w:w="140" w:type="dxa"/>
            <w:vAlign w:val="bottom"/>
          </w:tcPr>
          <w:p>
            <w:pPr>
              <w:spacing w:after="0"/>
              <w:rPr>
                <w:sz w:val="18"/>
                <w:szCs w:val="18"/>
                <w:color w:val="auto"/>
              </w:rPr>
            </w:pPr>
          </w:p>
        </w:tc>
        <w:tc>
          <w:tcPr>
            <w:tcW w:w="940" w:type="dxa"/>
            <w:vAlign w:val="bottom"/>
            <w:gridSpan w:val="4"/>
          </w:tcPr>
          <w:p>
            <w:pPr>
              <w:jc w:val="right"/>
              <w:ind w:right="28"/>
              <w:spacing w:after="0"/>
              <w:rPr>
                <w:sz w:val="20"/>
                <w:szCs w:val="20"/>
                <w:color w:val="auto"/>
              </w:rPr>
            </w:pPr>
            <w:r>
              <w:rPr>
                <w:rFonts w:ascii="Arial" w:cs="Arial" w:eastAsia="Arial" w:hAnsi="Arial"/>
                <w:sz w:val="18"/>
                <w:szCs w:val="18"/>
                <w:color w:val="auto"/>
              </w:rPr>
              <w:t>89.4%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$ 433.1</w:t>
            </w:r>
          </w:p>
        </w:tc>
        <w:tc>
          <w:tcPr>
            <w:tcW w:w="4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91.3%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$(131.2)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1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0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720"/>
              <w:spacing w:after="0"/>
              <w:rPr>
                <w:sz w:val="20"/>
                <w:szCs w:val="20"/>
                <w:color w:val="auto"/>
              </w:rPr>
            </w:pPr>
            <w:r>
              <w:rPr>
                <w:rFonts w:ascii="Arial" w:cs="Arial" w:eastAsia="Arial" w:hAnsi="Arial"/>
                <w:sz w:val="18"/>
                <w:szCs w:val="18"/>
                <w:color w:val="auto"/>
              </w:rPr>
              <w:t>Total revenues</w:t>
            </w:r>
          </w:p>
        </w:tc>
        <w:tc>
          <w:tcPr>
            <w:tcW w:w="16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100.0</w:t>
            </w:r>
          </w:p>
        </w:tc>
        <w:tc>
          <w:tcPr>
            <w:tcW w:w="1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337.7</w:t>
            </w:r>
          </w:p>
        </w:tc>
        <w:tc>
          <w:tcPr>
            <w:tcW w:w="1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474.2</w:t>
            </w:r>
          </w:p>
        </w:tc>
        <w:tc>
          <w:tcPr>
            <w:tcW w:w="4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Cost of sales—standard products business</w:t>
            </w:r>
          </w:p>
        </w:tc>
        <w:tc>
          <w:tcPr>
            <w:tcW w:w="2300" w:type="dxa"/>
            <w:vAlign w:val="bottom"/>
            <w:gridSpan w:val="4"/>
          </w:tcPr>
          <w:p>
            <w:pPr>
              <w:jc w:val="right"/>
              <w:ind w:right="41"/>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283.5</w:t>
            </w:r>
          </w:p>
        </w:tc>
        <w:tc>
          <w:tcPr>
            <w:tcW w:w="4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59.8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sales—transitional Fab 3 foundry services</w:t>
            </w:r>
          </w:p>
        </w:tc>
        <w:tc>
          <w:tcPr>
            <w:tcW w:w="1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40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720"/>
              <w:spacing w:after="0"/>
              <w:rPr>
                <w:sz w:val="20"/>
                <w:szCs w:val="20"/>
                <w:color w:val="auto"/>
              </w:rPr>
            </w:pPr>
            <w:r>
              <w:rPr>
                <w:rFonts w:ascii="Arial" w:cs="Arial" w:eastAsia="Arial" w:hAnsi="Arial"/>
                <w:sz w:val="18"/>
                <w:szCs w:val="18"/>
                <w:color w:val="auto"/>
              </w:rPr>
              <w:t>Total cost of sales</w:t>
            </w:r>
          </w:p>
        </w:tc>
        <w:tc>
          <w:tcPr>
            <w:tcW w:w="16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70.0</w:t>
            </w:r>
          </w:p>
        </w:tc>
        <w:tc>
          <w:tcPr>
            <w:tcW w:w="1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67.6</w:t>
            </w: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236.4</w:t>
            </w:r>
          </w:p>
        </w:tc>
        <w:tc>
          <w:tcPr>
            <w:tcW w:w="1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320.7</w:t>
            </w:r>
          </w:p>
        </w:tc>
        <w:tc>
          <w:tcPr>
            <w:tcW w:w="4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40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300" w:type="dxa"/>
            <w:vAlign w:val="bottom"/>
            <w:gridSpan w:val="4"/>
          </w:tcPr>
          <w:p>
            <w:pPr>
              <w:jc w:val="right"/>
              <w:ind w:right="41"/>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52.4</w:t>
            </w:r>
          </w:p>
        </w:tc>
        <w:tc>
          <w:tcPr>
            <w:tcW w:w="4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11.1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300" w:type="dxa"/>
            <w:vAlign w:val="bottom"/>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0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10.8</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Merger-related income, net</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3"/>
          </w:tcPr>
          <w:p>
            <w:pPr>
              <w:jc w:val="center"/>
              <w:ind w:right="88"/>
              <w:spacing w:after="0"/>
              <w:rPr>
                <w:sz w:val="20"/>
                <w:szCs w:val="20"/>
                <w:color w:val="auto"/>
              </w:rPr>
            </w:pPr>
            <w:r>
              <w:rPr>
                <w:rFonts w:ascii="Arial" w:cs="Arial" w:eastAsia="Arial" w:hAnsi="Arial"/>
                <w:sz w:val="18"/>
                <w:szCs w:val="18"/>
                <w:color w:val="auto"/>
                <w:w w:val="99"/>
              </w:rPr>
              <w:t>—</w:t>
            </w:r>
          </w:p>
        </w:tc>
        <w:tc>
          <w:tcPr>
            <w:tcW w:w="1220" w:type="dxa"/>
            <w:vAlign w:val="bottom"/>
            <w:gridSpan w:val="4"/>
          </w:tcPr>
          <w:p>
            <w:pPr>
              <w:jc w:val="right"/>
              <w:ind w:right="340"/>
              <w:spacing w:after="0"/>
              <w:rPr>
                <w:sz w:val="20"/>
                <w:szCs w:val="20"/>
                <w:color w:val="auto"/>
              </w:rPr>
            </w:pPr>
            <w:r>
              <w:rPr>
                <w:rFonts w:ascii="Arial" w:cs="Arial" w:eastAsia="Arial" w:hAnsi="Arial"/>
                <w:sz w:val="18"/>
                <w:szCs w:val="18"/>
                <w:color w:val="auto"/>
              </w:rPr>
              <w:t>(35.5)</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(7.5)</w:t>
            </w: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charges, net</w:t>
            </w:r>
          </w:p>
        </w:tc>
        <w:tc>
          <w:tcPr>
            <w:tcW w:w="1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6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(1.6)</w:t>
            </w:r>
          </w:p>
        </w:tc>
        <w:tc>
          <w:tcPr>
            <w:tcW w:w="1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17.6</w:t>
            </w: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83.4</w:t>
            </w:r>
          </w:p>
        </w:tc>
        <w:tc>
          <w:tcPr>
            <w:tcW w:w="4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00" w:type="dxa"/>
            <w:vAlign w:val="bottom"/>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Interest expense</w:t>
            </w: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220" w:type="dxa"/>
            <w:vAlign w:val="bottom"/>
            <w:gridSpan w:val="4"/>
          </w:tcPr>
          <w:p>
            <w:pPr>
              <w:jc w:val="right"/>
              <w:ind w:right="340"/>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2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(11.9)</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Others, net</w:t>
            </w:r>
          </w:p>
        </w:tc>
        <w:tc>
          <w:tcPr>
            <w:tcW w:w="1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0.2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(9.4)</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Income (loss) before income tax expense</w:t>
            </w:r>
          </w:p>
        </w:tc>
        <w:tc>
          <w:tcPr>
            <w:tcW w:w="16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(0.9)</w:t>
            </w:r>
          </w:p>
        </w:tc>
        <w:tc>
          <w:tcPr>
            <w:tcW w:w="1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15.6</w:t>
            </w: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4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300" w:type="dxa"/>
            <w:vAlign w:val="bottom"/>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166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  (8.0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$ 56.7</w:t>
            </w:r>
          </w:p>
        </w:tc>
        <w:tc>
          <w:tcPr>
            <w:tcW w:w="4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12.0%</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(64.7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Results by business line</w:t>
            </w: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8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7"/>
          </w:tcPr>
          <w:p>
            <w:pPr>
              <w:jc w:val="right"/>
              <w:ind w:right="428"/>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jc w:val="right"/>
              <w:ind w:right="208"/>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1"/>
              </w:rPr>
              <w:t>December 31, 2021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700" w:type="dxa"/>
            <w:vAlign w:val="bottom"/>
            <w:gridSpan w:val="3"/>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Total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6"/>
          </w:tcPr>
          <w:p>
            <w:pPr>
              <w:jc w:val="right"/>
              <w:ind w:right="1040"/>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Net sales—standard products business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24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71.4</w:t>
            </w:r>
          </w:p>
        </w:tc>
        <w:tc>
          <w:tcPr>
            <w:tcW w:w="94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21.2</w:t>
            </w:r>
          </w:p>
        </w:tc>
        <w:tc>
          <w:tcPr>
            <w:tcW w:w="12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205.3</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468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1800" w:type="dxa"/>
            <w:vAlign w:val="bottom"/>
            <w:gridSpan w:val="2"/>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230.5</w:t>
            </w:r>
          </w:p>
        </w:tc>
        <w:tc>
          <w:tcPr>
            <w:tcW w:w="940" w:type="dxa"/>
            <w:vAlign w:val="bottom"/>
            <w:gridSpan w:val="4"/>
          </w:tcPr>
          <w:p>
            <w:pPr>
              <w:jc w:val="right"/>
              <w:ind w:right="88"/>
              <w:spacing w:after="0"/>
              <w:rPr>
                <w:sz w:val="20"/>
                <w:szCs w:val="20"/>
                <w:color w:val="auto"/>
              </w:rPr>
            </w:pPr>
            <w:r>
              <w:rPr>
                <w:rFonts w:ascii="Arial" w:cs="Arial" w:eastAsia="Arial" w:hAnsi="Arial"/>
                <w:sz w:val="18"/>
                <w:szCs w:val="18"/>
                <w:color w:val="auto"/>
              </w:rPr>
              <w:t>68.3</w:t>
            </w: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227.8</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48.0</w:t>
            </w: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1800" w:type="dxa"/>
            <w:vAlign w:val="bottom"/>
            <w:gridSpan w:val="2"/>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301.9</w:t>
            </w:r>
          </w:p>
        </w:tc>
        <w:tc>
          <w:tcPr>
            <w:tcW w:w="94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89.4</w:t>
            </w:r>
          </w:p>
        </w:tc>
        <w:tc>
          <w:tcPr>
            <w:tcW w:w="12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433.1</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1800" w:type="dxa"/>
            <w:vAlign w:val="bottom"/>
            <w:gridSpan w:val="2"/>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35.8</w:t>
            </w:r>
          </w:p>
        </w:tc>
        <w:tc>
          <w:tcPr>
            <w:tcW w:w="940" w:type="dxa"/>
            <w:vAlign w:val="bottom"/>
            <w:gridSpan w:val="4"/>
          </w:tcPr>
          <w:p>
            <w:pPr>
              <w:jc w:val="right"/>
              <w:ind w:right="88"/>
              <w:spacing w:after="0"/>
              <w:rPr>
                <w:sz w:val="20"/>
                <w:szCs w:val="20"/>
                <w:color w:val="auto"/>
              </w:rPr>
            </w:pPr>
            <w:r>
              <w:rPr>
                <w:rFonts w:ascii="Arial" w:cs="Arial" w:eastAsia="Arial" w:hAnsi="Arial"/>
                <w:sz w:val="18"/>
                <w:szCs w:val="18"/>
                <w:color w:val="auto"/>
              </w:rPr>
              <w:t>10.6</w:t>
            </w: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41.1</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8.7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24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337.7</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474.2</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(136.6)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60" w:type="dxa"/>
            <w:vAlign w:val="bottom"/>
            <w:vMerge w:val="restart"/>
          </w:tcPr>
          <w:p>
            <w:pPr>
              <w:jc w:val="right"/>
              <w:ind w:right="65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760" w:type="dxa"/>
            <w:vAlign w:val="bottom"/>
            <w:gridSpan w:val="5"/>
          </w:tcPr>
          <w:p>
            <w:pPr>
              <w:jc w:val="right"/>
              <w:ind w:right="608"/>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9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76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4"/>
                <w:szCs w:val="14"/>
                <w:color w:val="auto"/>
              </w:rPr>
            </w:pPr>
          </w:p>
        </w:tc>
        <w:tc>
          <w:tcPr>
            <w:tcW w:w="19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 2021</w:t>
            </w:r>
          </w:p>
        </w:tc>
        <w:tc>
          <w:tcPr>
            <w:tcW w:w="620" w:type="dxa"/>
            <w:vAlign w:val="bottom"/>
            <w:gridSpan w:val="2"/>
            <w:vMerge w:val="restart"/>
          </w:tcPr>
          <w:p>
            <w:pPr>
              <w:jc w:val="right"/>
              <w:ind w:right="61"/>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8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w w:val="85"/>
              </w:rPr>
              <w:t>Net Sales</w:t>
            </w: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Net Sales</w:t>
            </w:r>
          </w:p>
        </w:tc>
        <w:tc>
          <w:tcPr>
            <w:tcW w:w="62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center"/>
              <w:ind w:left="68"/>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5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Gross profit—standard products business</w:t>
            </w: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99.5</w:t>
            </w:r>
          </w:p>
        </w:tc>
        <w:tc>
          <w:tcPr>
            <w:tcW w:w="880" w:type="dxa"/>
            <w:vAlign w:val="bottom"/>
            <w:gridSpan w:val="2"/>
          </w:tcPr>
          <w:p>
            <w:pPr>
              <w:jc w:val="right"/>
              <w:ind w:right="248"/>
              <w:spacing w:after="0"/>
              <w:rPr>
                <w:sz w:val="20"/>
                <w:szCs w:val="20"/>
                <w:color w:val="auto"/>
              </w:rPr>
            </w:pPr>
            <w:r>
              <w:rPr>
                <w:rFonts w:ascii="Arial" w:cs="Arial" w:eastAsia="Arial" w:hAnsi="Arial"/>
                <w:sz w:val="18"/>
                <w:szCs w:val="18"/>
                <w:color w:val="auto"/>
              </w:rPr>
              <w:t>33.0</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149.6</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34.5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profit—transitional Fab 3 foundry services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4.8</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720"/>
              <w:spacing w:after="0"/>
              <w:rPr>
                <w:sz w:val="20"/>
                <w:szCs w:val="20"/>
                <w:color w:val="auto"/>
              </w:rPr>
            </w:pPr>
            <w:r>
              <w:rPr>
                <w:rFonts w:ascii="Arial" w:cs="Arial" w:eastAsia="Arial" w:hAnsi="Arial"/>
                <w:sz w:val="18"/>
                <w:szCs w:val="18"/>
                <w:color w:val="auto"/>
              </w:rPr>
              <w:t>Total gross profit</w:t>
            </w: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101.3</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8"/>
                <w:szCs w:val="18"/>
                <w:color w:val="auto"/>
              </w:rPr>
              <w:t>30.0%</w:t>
            </w:r>
          </w:p>
        </w:tc>
        <w:tc>
          <w:tcPr>
            <w:tcW w:w="18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153.5</w:t>
            </w:r>
          </w:p>
        </w:tc>
        <w:tc>
          <w:tcPr>
            <w:tcW w:w="340" w:type="dxa"/>
            <w:vAlign w:val="bottom"/>
            <w:vMerge w:val="continue"/>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32.4%</w:t>
            </w:r>
          </w:p>
        </w:tc>
        <w:tc>
          <w:tcPr>
            <w:tcW w:w="500" w:type="dxa"/>
            <w:vAlign w:val="bottom"/>
          </w:tcPr>
          <w:p>
            <w:pPr>
              <w:jc w:val="right"/>
              <w:spacing w:after="0"/>
              <w:rPr>
                <w:sz w:val="20"/>
                <w:szCs w:val="20"/>
                <w:color w:val="auto"/>
              </w:rPr>
            </w:pPr>
            <w:r>
              <w:rPr>
                <w:rFonts w:ascii="Arial" w:cs="Arial" w:eastAsia="Arial" w:hAnsi="Arial"/>
                <w:sz w:val="18"/>
                <w:szCs w:val="18"/>
                <w:color w:val="auto"/>
                <w:w w:val="85"/>
              </w:rPr>
              <w:t>$ (52.3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Total revenues were $337.7 million for the year ended December 31, 2022, a $136.6 million, or 28.8%, decrease compared to $474.2 million for the year ended December 31, 2021. This decrease was primarily due to a decrease in revenue related to our standard products business as described below.</w:t>
      </w:r>
    </w:p>
    <w:p>
      <w:pPr>
        <w:spacing w:after="0" w:line="184"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The standard products business. </w:t>
      </w:r>
      <w:r>
        <w:rPr>
          <w:rFonts w:ascii="Arial" w:cs="Arial" w:eastAsia="Arial" w:hAnsi="Arial"/>
          <w:sz w:val="17"/>
          <w:szCs w:val="17"/>
          <w:color w:val="auto"/>
        </w:rPr>
        <w:t>Net sales from our standard products business were $301.9 million for the year ended December 31, 2022,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$131.2 million, or 30.3%, decrease compared to $433.1 million for the year ended December 31, 2021. Net sales from our Display Solutions business line was significantly decreased due primarily to a decrease in revenue from our mobile OLED display driver ICs stemming from a lower customer demand resulting from a slowdown in the Chinese smartphone market, and a lack of secured manufacturing capacity (in particular for 28nm 12-inch OLED wafers) at external 12-inch foundries, which was offset in part by a higher demand for our OLED TV display driver ICs and auto-LCD display driver ICs. The slight increase in net sales from our Power Solutions business line was attributable to a strong demand for power products such as high-end MOSFETs for computing and lighting solutions, and IGBTs mainly for solar inverters, which was offset in part by a lower demand for MOSFETs primarily for smartphones and e-bikes.</w:t>
      </w:r>
    </w:p>
    <w:p>
      <w:pPr>
        <w:spacing w:after="0" w:line="17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The transitional Fab 3 foundry services. </w:t>
      </w:r>
      <w:r>
        <w:rPr>
          <w:rFonts w:ascii="Arial" w:cs="Arial" w:eastAsia="Arial" w:hAnsi="Arial"/>
          <w:sz w:val="18"/>
          <w:szCs w:val="18"/>
          <w:color w:val="auto"/>
        </w:rPr>
        <w:t>Net sales from the transitional Fab 3 foundry services were $35.8 million and $41.1 million for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2022 and 2021,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Total gross profit was $101.3 million for the year ended December 31, 2022 compared to $153.5 million for the year ended December 31, 2021, representing a $52.3 million, or 34.0%, decrease. Gross profit as a percentage of total revenues for the year ended December 31, 2022 decreased to 30.0% compared to 32.4% for the year ended December 31, 2021. The decrease in gross profit and gross profit as a percentage of net sales was primarily due to the decrease in gross profit and gross profit as a percentage of net sales from our standard products business as further described below.</w:t>
      </w:r>
    </w:p>
    <w:p>
      <w:pPr>
        <w:spacing w:after="0" w:line="15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b w:val="1"/>
          <w:bCs w:val="1"/>
          <w:i w:val="1"/>
          <w:iCs w:val="1"/>
          <w:color w:val="auto"/>
        </w:rPr>
        <w:t xml:space="preserve">The standard products business. </w:t>
      </w:r>
      <w:r>
        <w:rPr>
          <w:rFonts w:ascii="Arial" w:cs="Arial" w:eastAsia="Arial" w:hAnsi="Arial"/>
          <w:sz w:val="18"/>
          <w:szCs w:val="18"/>
          <w:color w:val="auto"/>
        </w:rPr>
        <w:t>Gross profit from our standard products business was $99.5 million for the year ended December 31,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a $50.0 million, or 33.5%, decrease from $149.6 million for the year ended December 31, 2021. The decrease in gross profit was primarily attributable to a significant decrease in net sales from our Display Solutions business line as explained above. Gross profit as a percentage of net sales for the year ended December 31, 2022 decreased to 33.0% compared to 34.5% for the year ended December 31, 2021. The decrease in gross profit as a percentage of net sales was primarily attributable to certain inventory reserves and scrap cost related to 12-inch display products resulted from lower demand for China smartphones.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Sales—Standard Products Business by Geographic Region</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report net sales—standard products business by geographic region based on the location to which the products are billed. The following table sets forth our net sales—standard products business by geographic region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86" w:right="4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and the percentage of total net sales—standard products business represented by each geographic region for the years ended December 31, 2022 and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20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7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 2022</w:t>
            </w:r>
          </w:p>
        </w:tc>
        <w:tc>
          <w:tcPr>
            <w:tcW w:w="340" w:type="dxa"/>
            <w:vAlign w:val="bottom"/>
          </w:tcPr>
          <w:p>
            <w:pPr>
              <w:spacing w:after="0"/>
              <w:rPr>
                <w:sz w:val="14"/>
                <w:szCs w:val="14"/>
                <w:color w:val="auto"/>
              </w:rPr>
            </w:pPr>
          </w:p>
        </w:tc>
        <w:tc>
          <w:tcPr>
            <w:tcW w:w="20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Net Sales –</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Net Sales –</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standard</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standard</w:t>
            </w:r>
          </w:p>
        </w:tc>
        <w:tc>
          <w:tcPr>
            <w:tcW w:w="68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products</w:t>
            </w:r>
          </w:p>
        </w:tc>
        <w:tc>
          <w:tcPr>
            <w:tcW w:w="34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products</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business</w:t>
            </w:r>
          </w:p>
        </w:tc>
        <w:tc>
          <w:tcPr>
            <w:tcW w:w="3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business</w:t>
            </w:r>
          </w:p>
        </w:tc>
        <w:tc>
          <w:tcPr>
            <w:tcW w:w="68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5"/>
          </w:tcPr>
          <w:p>
            <w:pPr>
              <w:jc w:val="right"/>
              <w:ind w:right="1140"/>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$ 105.3</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$ 113.8</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179.6</w:t>
            </w:r>
          </w:p>
        </w:tc>
        <w:tc>
          <w:tcPr>
            <w:tcW w:w="3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59.5</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306.3</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7"/>
              </w:rPr>
              <w:t>(126.8)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5.7</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301.9</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34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433.1</w:t>
            </w:r>
          </w:p>
        </w:tc>
        <w:tc>
          <w:tcPr>
            <w:tcW w:w="340" w:type="dxa"/>
            <w:vAlign w:val="bottom"/>
            <w:vMerge w:val="continue"/>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6"/>
              </w:rPr>
              <w:t>(131.2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Net sales—standard products business in Korea for the year ended December 31, 2022 decreased from $113.8 million to $105.3 million compared to the year ended December 31, 2021, or by $8.5 million, or 7.5%, primarily due to weaker demand for power products such as MOSFETs, including high-end MOSFETs, primarily for TVs and smartphone applications, which was offset in part by an increase in revenue from our mobile OLED display driver ICs in the first half of 2022 and OLED TV display driver ICs.</w:t>
      </w:r>
    </w:p>
    <w:p>
      <w:pPr>
        <w:spacing w:after="0" w:line="18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Net sales—standard products business in the Asia Pacific for the year ended December 31, 2022 decreased from $306.3 million to $179.6 million compared to the year ended December 31, 2021, or by $126.8 million, or 41.4%, primarily due to a significant decrease in revenue from our mobile OLED display driver ICs stemming from a lower customer demand resulting from a slowdown in the Chinese smartphone market, and a lack of secured manufacturing capacity (in particular for 28nm 12-inch OLED wafers) at external 12-inch foundries, which was offset in part by a higher demand for power products such as high-end MOSFETs, primarily for computing, and IGBTs mainly for solar inverters. The increased demand for our auto-LCD display driver ICs also favorably affected this year.</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Net sales—standard products business in the U.S. for the year ended December 31, 2022 increased from $6.1 million to $10.4 million compared to the year ended December 31, 2021, or by $4.3 million, or 71.3%, primarily due to a change in billing location of a global customer who offers lighting solutions combined with the increase of high-end MOSFET design wins with the customer.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$50.9 million, or 15.1% of total revenues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2022, compared to $52.4 million, or 11.1% of total revenues for the year ended December 31, 2021. The decrease of $1.6 million, or 3.0%, was primarily attributable to a net decrease in estimated employee compensation reflecting the current year’s financial performance, and a decrease in running royalties recognized based on the sale of certain mobile OLED display driver ICs.</w:t>
      </w:r>
    </w:p>
    <w:p>
      <w:pPr>
        <w:spacing w:after="0" w:line="157" w:lineRule="exact"/>
        <w:rPr>
          <w:sz w:val="20"/>
          <w:szCs w:val="20"/>
          <w:color w:val="auto"/>
        </w:rPr>
      </w:pPr>
    </w:p>
    <w:p>
      <w:pPr>
        <w:jc w:val="both"/>
        <w:ind w:left="120" w:right="340" w:firstLine="440"/>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were $52.3 million, or 15.5% of total revenues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2022, compared to $51.2 million, or 10.8%, of total revenues for the year ended December 31, 2021. The increase of $1.1 million, or 2.2%, was primarily attributable to an increase in outside service fees, including those for software design tools.</w:t>
      </w:r>
    </w:p>
    <w:p>
      <w:pPr>
        <w:spacing w:after="0" w:line="16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Merger-related Income, Net. </w:t>
      </w:r>
      <w:r>
        <w:rPr>
          <w:rFonts w:ascii="Arial" w:cs="Arial" w:eastAsia="Arial" w:hAnsi="Arial"/>
          <w:sz w:val="18"/>
          <w:szCs w:val="18"/>
          <w:color w:val="auto"/>
        </w:rPr>
        <w:t>For the year ended December 31, 2021, we recorded a $70.2 million income from the recognition of a reverse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fee as a result of the termination of the merger transaction, which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86"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was offset in part by a $34.7 million of professional service fees and expenses incurred in connection with the contemplated merger transaction that was terminated in December 2021.</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Other Charges, Net. </w:t>
      </w:r>
      <w:r>
        <w:rPr>
          <w:rFonts w:ascii="Arial" w:cs="Arial" w:eastAsia="Arial" w:hAnsi="Arial"/>
          <w:sz w:val="16"/>
          <w:szCs w:val="16"/>
          <w:color w:val="auto"/>
        </w:rPr>
        <w:t>For the year ended December 31, 2022, we recorded a $2.8 million of one-time employee incentives and professional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fees and expenses of $1.0 million incurred in connection with certain strategic evaluations, which was offset in part by a $0.5 million gain on sale of certain legacy equipment of the closed back-end line in our fabrication facility in Gumi. For the year ended December 31, 2021, we recorded a</w:t>
      </w:r>
    </w:p>
    <w:p>
      <w:pPr>
        <w:spacing w:after="0" w:line="2"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$3.4 million of non-recurring professional service fees and expenses incurred in connection with the regulatory requests, which was offset in part by a $1.4 million gain on sale of certain legacy equipment of the closed back-end line in our fabrication facility in Gumi.</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a result of the foregoing, operating loss of $5.2 million was recorded for the year ended December 31, 2022 compared to operating income of $83.4 million the year ended December 31, 2021. The decrease in operating income of $88.7 million resulted primarily from a $52.3 million decrease in gross profit and a $35.5 million net decrease in merger-related income.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was $6.0 million and $2.6 million for the years ended December 31, 2022 and December 31, 2021,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of $3.4 million, or 129.2%, was primarily attributable to an increase in interest income on cash and cash equivalents held by our Korean subsidiary, which benefited from the favorable financial market environment.</w:t>
      </w:r>
    </w:p>
    <w:p>
      <w:pPr>
        <w:spacing w:after="0" w:line="184"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$1.2 million and $1.4 million for the years ended December 31, 2022 and December 31,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Foreign Currency Loss, Net. </w:t>
      </w:r>
      <w:r>
        <w:rPr>
          <w:rFonts w:ascii="Arial" w:cs="Arial" w:eastAsia="Arial" w:hAnsi="Arial"/>
          <w:sz w:val="18"/>
          <w:szCs w:val="18"/>
          <w:color w:val="auto"/>
        </w:rPr>
        <w:t>Net foreign currency loss for the year ended December 31, 2022 was $3.0 million compared to net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of $11.9 million for the year ended December 31, 2021. The net foreign currency losses for the years ended December 31, 2022 and 2021 were due to the depreciation in the value of the Korean won relative to the U.S. dollar during each period.</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120" w:right="180"/>
        <w:spacing w:after="0" w:line="273" w:lineRule="auto"/>
        <w:rPr>
          <w:sz w:val="20"/>
          <w:szCs w:val="20"/>
          <w:color w:val="auto"/>
        </w:rPr>
      </w:pPr>
      <w:r>
        <w:rPr>
          <w:rFonts w:ascii="Arial" w:cs="Arial" w:eastAsia="Arial" w:hAnsi="Arial"/>
          <w:sz w:val="17"/>
          <w:szCs w:val="17"/>
          <w:color w:val="auto"/>
        </w:rPr>
        <w:t>U.S. dollar. As of December 31, 2022 and 2021, the outstanding intercompany loan balance including accrued interest between our Korean subsidiary and our Dutch subsidiary was $311.0 million and $344.4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Others, Net. </w:t>
      </w:r>
      <w:r>
        <w:rPr>
          <w:rFonts w:ascii="Arial" w:cs="Arial" w:eastAsia="Arial" w:hAnsi="Arial"/>
          <w:sz w:val="17"/>
          <w:szCs w:val="17"/>
          <w:color w:val="auto"/>
        </w:rPr>
        <w:t>Others were comprised of rental income and gains and losses from valuation of derivatives which were designated as hedging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instruments. Others, net for the years ended December 31, 2022 and 2021 was $0.6 million and $1.2 million, respectively. Others, net for the year ended December 31, 2021, included a $0.7 million legal settlement gain related to certain expenses incurred in prior periods in connection with our legacy Fab 4 (which was sold during the year ended December 31, 2020) and awarded in the third quarter of 2021.</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are subject to income taxes in the U.S. and many foreign jurisdictions and our effective tax rate is affected by changes in the mix of earnings between countries with differing tax rates.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86" w:right="4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We recorded a $5.2 million income tax expense for the year ended December 31, 2022, which is primarily composed of income tax expense from our Korean subsidiary due mainly to its realized foreign currency gains resulting in taxable income for the year, and this expense was partially offset by income tax benefit from our Dutch subsidiary. The Dutch subsidiary’s tax benefit was mainly attributable to the reversal of withholding tax with respect to the waiver of the accrued interest on the loans granted to our Korean subsidiary by our Dutch subsidiary.</w:t>
      </w:r>
    </w:p>
    <w:p>
      <w:pPr>
        <w:spacing w:after="0" w:line="17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recorded a $17.3 million income tax expense for the year ended December 31, 2021, which was primarily composed of the income tax expense of $6.9 million from our Korean subsidiary, primarily due to its taxable income for the year, and the income tax expense of $8.2 million from the parent entity in the U.S. The U.S. parent’s tax expense was mainly attributable to the recognition of income and expenses related to the Merger combined with the utilization of its available net operating loss carry-forwards.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a result of the foregoing, net loss of $8.0 million was recorded for the year ended December 31, 2022 compared to net income of $56.7 million for the year ended December 31, 2021. As discussed above, the $64.7 million decrease in net income was primarily attributable to an $88.7 million decrease in operating income, which was offset in part by a $12.1 million decrease in income tax expense, an $8.8 million improvement in net foreign currency loss and a $3.4 million increase in interest income.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Our principal capital requirements are to fund sales and marketing, invest in research and development and capital equipment, and to fund working capital needs. We calculate working capital as current assets less current liabilities.</w:t>
      </w:r>
    </w:p>
    <w:p>
      <w:pPr>
        <w:spacing w:after="0" w:line="170"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December 31, 2022, we did not have any accounts payable on extended terms or payment deferment with our vendors.</w:t>
      </w:r>
    </w:p>
    <w:p>
      <w:pPr>
        <w:spacing w:after="0" w:line="192"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As of June 29, 2018, our Korean subsidiary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As of December 31, 2022, the outstanding obligation of this arrangement is approximately $24.8 million for remaining service term through 2028.</w:t>
      </w:r>
    </w:p>
    <w:p>
      <w:pPr>
        <w:spacing w:after="0" w:line="171"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As of December 31, 2022, cash and cash equivalents held by our Korean subsidiary were $207.9 million, which represents 92% of our total cash and cash equivalents on a consolidated basis. We currently believe that we will have sufficient cash reserves from cash on hand and expected cash from operations to fund our operations as well as capital expenditures for the next twelve months and the foreseeable future.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Year ended December 31, 2022 compared to year ended December 31, 2021</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of December 31, 2022, our cash and cash equivalents balance was $225.5 million, a $54.1 million decrease compared to $279.5 million as of December 31, 2021.</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Cash inflow provided by operating activities totaled $5.2 million for the year ended December 31, 2022, compared to $87.7 million of cash inflow provided by operating activities for the year ended December 31, 2021.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86" w:right="4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net operating cash inflow for the year ended December 31, 2022 reflects our net loss of $8.0 million, as adjusted favorably by $57.6 million, which mainly consisted of depreciation and amortization, provision for severance benefits, net foreign currency loss and stock-based compensation, and net unfavorable impact of $44.4 million from changes of operating assets and liabilities.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working capital balance as of December 31, 2022 was $290.6 million compared to $323.6 million as of December 31, 2021.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$33.0 million decrease was primarily attributable to a $54.1 million decrease in cash and cash equivalents and a $18.0 million decrease in other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receivables mainly resulted from receipt of reverse termination fee, which was offset in part by a $19.6 million decrease in accounts payable, a</w:t>
      </w:r>
    </w:p>
    <w:p>
      <w:pPr>
        <w:spacing w:after="0" w:line="21"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$10.4 million decrease in accrued expenses and a $4.9 million increase in advance payments to certain suppliers, including external foundries to meet our planned production.</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Cash outflow used in investing activities totaled $24.9 million for the year ended December 31, 2022, compared to a $31.4 million of cash outflow used in investing activities for the year ended December 31, 2021. The $6.5 million decrease in cash outflow was attributable to an $8.8 million decrease in purchase of property, plant and equipment, which was offset in part by a $1.9 million net increase in hedge collateral and a $0.9 million decrease in proceeds from disposal of property, plant and equipment.</w:t>
      </w:r>
    </w:p>
    <w:p>
      <w:pPr>
        <w:spacing w:after="0" w:line="18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Cash outflow used in financing activities totaled $12.7 million for the year ended December 31, 2022, compared to $35.5 million of cash outflow used in financing activities for the year ended December 31, 2021. The financing cash outflow for the year ended December 31, 2022 was primarily attributable to a payment of $12.1 million for the repurchases of our common stock in 2022 pursuant to our stock repurchase program and a payment of $1.8 million for the repurchase of our common stock to satisfy tax withholding obligations in connection with the vesting of restricted stock units, which was offset in part by $1.8 million of proceeds received from the issuance of common stock in connection with the exercise of stock options. The financing cash outflow for the year ended December 31, 2021 was primarily attributable to a payment of $37.5 million for accelerated stock repurchase program and a payment of $1.7 million for the repurchase of our common stock to satisfy tax withholding obligations in connection with the vesting of restricted stock units, which was offset in part by $4.3 million of proceeds received from the issuance of common stock in connection with the exercise of stock options.</w:t>
      </w:r>
    </w:p>
    <w:p>
      <w:pPr>
        <w:spacing w:after="0" w:line="19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routinely make capital expenditures for fabrication facility maintenance, enhancement of our existing facility and reinforcement of our global research and development capability. For the year ended December 31, 2022, capital expenditures for property, plant and equipment were $23.4 million, an $8.8 million, or 27.4%, decrease from $32.2 million for the year ended December 31, 2021. The capital expenditures for the years ended December 31, 2022 and 2021 were related to meeting our customer demand and supporting technology and facility improvement at our fabrication facility.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that the accounting policies discussed below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86"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We evaluate the sufficiency of inventory reserves and take into consideration historical usage, expected demand, anticipated sales price, new product development schedules, the effect new products might have on the sale of existing products, product age and other factors. Reserves are also established for excess inventory based on our current inventory levels and projected demand and our ability to sell those specific products. Situations that could cause these inventory reserves include a decline in business and economic conditions, decline in 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8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gross amount of inventory reserves charged to cost of sales totaled $13.3 million and $7.6 million in the fiscal years ended December 31, 2022 and 2021, respectively. The new cost base related to the sale of inventory that was previously written down totaled $3.6 million and $5.3 million in the fiscal years ended December 31, 2022 and 2021, respectively.</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prescribed in ASC 330, “Inventory,” once a reserve is established for a particular item based on our assessment as described above, it is maintained until the related item is sold or scrapped as a new cost basis has been established that cannot subsequently be marked up. In addition, the cost of inventories is determined based on the normal capacity of each fabrication facility. In case the capacity utilization is lower than a certain level that management believes to be normal, the fixed overhead costs per production unit which exceed those under normal capacity are charged to cost of sales rather than capitalized as inventories.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are subject to income taxes in the U.S. and foreign jurisdictions. Significant judgments and estimates are required in evaluating our uncertain tax positions and determining our provision for income taxes.</w:t>
      </w:r>
    </w:p>
    <w:p>
      <w:pPr>
        <w:spacing w:after="0" w:line="170"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We make an ongoing assessment of our deferred tax assets for recoverability considering historical profitability, projected future taxable income, the expected timing of the reversals of existing temporary differences, expiration of tax credits and net operating loss carry-forwards and tax planning strategies. Then, if necessary, we record valuation allowances against our deferred tax assets in order for the net amount of deferred tax assets to be recorded only to the extent that we conclude that it is more likely than not that our net deferred tax assets will be realized. We will continue to evaluate the ability to realize our net deferred tax assets on an ongoing basis to identify whether any significant changes in circumstances or assumptions have occurred that could materially affect the ability to realize deferred tax assets.</w:t>
      </w:r>
    </w:p>
    <w:p>
      <w:pPr>
        <w:spacing w:after="0" w:line="17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recognize and measure uncertain tax positions taken or expected to be taken in a tax return utilizing a two-step process. In the first step, recognition, we determine whether it is more likely than not that a tax position will be sustained upon examination, including resolution of any related appeals or litigation processes, based on the technical merits of the position. The second step addresses measurement of a tax position that meets the more likely than not criteria. The tax position is measured at the largest amount of benefit that has a likelihood of greater than 50 percent of being realized upon ultimate settlement.</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Although we believe our reserves are reasonable, no assurance can be given that the final tax outcome of these matters will not be different from that which is reflected in our historical income tax provisions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86"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provisions for income taxes in the period in which such determination is made. The provision for income taxes includes the effect of reserve provisions and changes to reserves that are considered appropriate, as well as the related net interest and penalties.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See Note 1 “Business, Basis of Presentation and Summary of Significant Accounting Policies” in the Notes to the Consolidated Financial Statements in Item 8 of Part II of this Report, for a full description of recent accounting pronouncements, including the expected dates of adoption, which is incorporated herein by reference.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86" w:right="4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In the normal course of our business, we are subject to market risks associated with currency movements on our assets and liabilities.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Exposures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December 31, 2022 for our Korean subsidiary, a 10% devaluation of the Korean won against the U.S. dollar would have resulted in a decrease of $0.7 million in our U.S. dollar financial instruments and cash balances.</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See “Note 10. Derivative Financial Instruments” to our consolidated financial statements under “Item 8. Financial Statements and Supplementary Data” and “Item 7.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86" w:right="4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88"/>
              </w:rPr>
              <w:t>Table of Contents</w:t>
            </w:r>
          </w:p>
        </w:tc>
        <w:tc>
          <w:tcPr>
            <w:tcW w:w="940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1064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3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0" w:type="dxa"/>
            <w:vAlign w:val="bottom"/>
            <w:gridSpan w:val="8"/>
          </w:tcPr>
          <w:p>
            <w:pPr>
              <w:ind w:left="1920"/>
              <w:spacing w:after="0"/>
              <w:rPr>
                <w:sz w:val="20"/>
                <w:szCs w:val="20"/>
                <w:color w:val="auto"/>
              </w:rPr>
            </w:pPr>
            <w:r>
              <w:rPr>
                <w:rFonts w:ascii="Arial" w:cs="Arial" w:eastAsia="Arial" w:hAnsi="Arial"/>
                <w:sz w:val="18"/>
                <w:szCs w:val="18"/>
                <w:b w:val="1"/>
                <w:bCs w:val="1"/>
                <w:color w:val="auto"/>
              </w:rPr>
              <w:t>INDEX TO CONSOLIDATED FINANCIAL STATEMENTS</w:t>
            </w:r>
          </w:p>
        </w:tc>
        <w:tc>
          <w:tcPr>
            <w:tcW w:w="3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56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Report of Independent Registered Public Accounting Firm (PCAOB ID 1103)</w:t>
            </w:r>
          </w:p>
        </w:tc>
        <w:tc>
          <w:tcPr>
            <w:tcW w:w="502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96"/>
        </w:trPr>
        <w:tc>
          <w:tcPr>
            <w:tcW w:w="120" w:type="dxa"/>
            <w:vAlign w:val="bottom"/>
          </w:tcPr>
          <w:p>
            <w:pPr>
              <w:spacing w:after="0"/>
              <w:rPr>
                <w:sz w:val="17"/>
                <w:szCs w:val="17"/>
                <w:color w:val="auto"/>
              </w:rPr>
            </w:pPr>
          </w:p>
        </w:tc>
        <w:tc>
          <w:tcPr>
            <w:tcW w:w="10640" w:type="dxa"/>
            <w:vAlign w:val="bottom"/>
            <w:gridSpan w:val="11"/>
          </w:tcPr>
          <w:p>
            <w:pPr>
              <w:spacing w:after="0" w:line="196" w:lineRule="exact"/>
              <w:rPr>
                <w:sz w:val="20"/>
                <w:szCs w:val="20"/>
                <w:color w:val="auto"/>
              </w:rPr>
            </w:pPr>
            <w:r>
              <w:rPr>
                <w:rFonts w:ascii="Arial" w:cs="Arial" w:eastAsia="Arial" w:hAnsi="Arial"/>
                <w:sz w:val="18"/>
                <w:szCs w:val="18"/>
                <w:color w:val="0000EE"/>
              </w:rPr>
              <w:t>Magnachip Semiconductor Corporation Consolidated Balance Sheets as of December 31, 2022 and 2021</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40" w:type="dxa"/>
            <w:vAlign w:val="bottom"/>
            <w:gridSpan w:val="11"/>
          </w:tcPr>
          <w:p>
            <w:pPr>
              <w:spacing w:after="0" w:line="196" w:lineRule="exact"/>
              <w:rPr>
                <w:sz w:val="20"/>
                <w:szCs w:val="20"/>
                <w:color w:val="auto"/>
              </w:rPr>
            </w:pPr>
            <w:r>
              <w:rPr>
                <w:rFonts w:ascii="Arial" w:cs="Arial" w:eastAsia="Arial" w:hAnsi="Arial"/>
                <w:sz w:val="18"/>
                <w:szCs w:val="18"/>
                <w:color w:val="0000EE"/>
                <w:w w:val="97"/>
              </w:rPr>
              <w:t>Magnachip Semiconductor Corporation Consolidated Statements of Operations for the Years Ended December 31, 2022, 2021 and 2020</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0" w:type="dxa"/>
            <w:vAlign w:val="bottom"/>
            <w:gridSpan w:val="2"/>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40" w:type="dxa"/>
            <w:vAlign w:val="bottom"/>
            <w:gridSpan w:val="11"/>
          </w:tcPr>
          <w:p>
            <w:pPr>
              <w:spacing w:after="0" w:line="196" w:lineRule="exact"/>
              <w:rPr>
                <w:sz w:val="20"/>
                <w:szCs w:val="20"/>
                <w:color w:val="auto"/>
              </w:rPr>
            </w:pPr>
            <w:r>
              <w:rPr>
                <w:rFonts w:ascii="Arial" w:cs="Arial" w:eastAsia="Arial" w:hAnsi="Arial"/>
                <w:sz w:val="18"/>
                <w:szCs w:val="18"/>
                <w:color w:val="0000EE"/>
                <w:w w:val="91"/>
              </w:rPr>
              <w:t>Magnachip Semiconductor Corporation Consolidated Statements of Comprehensive Income (Loss) for the Years Ended December 31, 2022, 2021</w:t>
            </w:r>
          </w:p>
        </w:tc>
        <w:tc>
          <w:tcPr>
            <w:tcW w:w="3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34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and 2020</w:t>
            </w:r>
          </w:p>
        </w:tc>
        <w:tc>
          <w:tcPr>
            <w:tcW w:w="1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Magnachip Semiconductor Corporation Consolidated Statements of Changes in Stockholders’ Equity for the Years Ended December 31, 2022,</w:t>
            </w:r>
          </w:p>
        </w:tc>
        <w:tc>
          <w:tcPr>
            <w:tcW w:w="3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60" w:type="dxa"/>
            <w:vAlign w:val="bottom"/>
            <w:gridSpan w:val="10"/>
          </w:tcPr>
          <w:p>
            <w:pPr>
              <w:spacing w:after="0" w:line="196" w:lineRule="exact"/>
              <w:rPr>
                <w:sz w:val="20"/>
                <w:szCs w:val="20"/>
                <w:color w:val="auto"/>
              </w:rPr>
            </w:pPr>
            <w:r>
              <w:rPr>
                <w:rFonts w:ascii="Arial" w:cs="Arial" w:eastAsia="Arial" w:hAnsi="Arial"/>
                <w:sz w:val="18"/>
                <w:szCs w:val="18"/>
                <w:color w:val="0000EE"/>
              </w:rPr>
              <w:t>2021 and 2020</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Magnachip Semiconductor Corporation Consolidated Statements of Cash Flows for the Years Ended December 31, 2022, 2021 and 2020</w:t>
            </w:r>
          </w:p>
        </w:tc>
        <w:tc>
          <w:tcPr>
            <w:tcW w:w="7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20" w:type="dxa"/>
            <w:vAlign w:val="bottom"/>
          </w:tcPr>
          <w:p>
            <w:pPr>
              <w:spacing w:after="0"/>
              <w:rPr>
                <w:sz w:val="17"/>
                <w:szCs w:val="17"/>
                <w:color w:val="auto"/>
              </w:rPr>
            </w:pPr>
          </w:p>
        </w:tc>
        <w:tc>
          <w:tcPr>
            <w:tcW w:w="10640" w:type="dxa"/>
            <w:vAlign w:val="bottom"/>
            <w:gridSpan w:val="11"/>
          </w:tcPr>
          <w:p>
            <w:pPr>
              <w:spacing w:after="0" w:line="196" w:lineRule="exact"/>
              <w:rPr>
                <w:sz w:val="20"/>
                <w:szCs w:val="20"/>
                <w:color w:val="auto"/>
              </w:rPr>
            </w:pPr>
            <w:r>
              <w:rPr>
                <w:rFonts w:ascii="Arial" w:cs="Arial" w:eastAsia="Arial" w:hAnsi="Arial"/>
                <w:sz w:val="18"/>
                <w:szCs w:val="18"/>
                <w:color w:val="0000EE"/>
              </w:rPr>
              <w:t>Magnachip Semiconductor Corporation Notes to Consolidated Financial Statements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385"/>
        </w:trPr>
        <w:tc>
          <w:tcPr>
            <w:tcW w:w="120" w:type="dxa"/>
            <w:vAlign w:val="bottom"/>
          </w:tcPr>
          <w:p>
            <w:pPr>
              <w:spacing w:after="0"/>
              <w:rPr>
                <w:sz w:val="24"/>
                <w:szCs w:val="24"/>
                <w:color w:val="auto"/>
              </w:rPr>
            </w:pPr>
          </w:p>
        </w:tc>
        <w:tc>
          <w:tcPr>
            <w:tcW w:w="5620" w:type="dxa"/>
            <w:vAlign w:val="bottom"/>
            <w:tcBorders>
              <w:top w:val="single" w:sz="8" w:color="0000EE"/>
            </w:tcBorders>
            <w:gridSpan w:val="4"/>
          </w:tcPr>
          <w:p>
            <w:pPr>
              <w:ind w:left="5420"/>
              <w:spacing w:after="0"/>
              <w:rPr>
                <w:sz w:val="20"/>
                <w:szCs w:val="20"/>
                <w:color w:val="auto"/>
              </w:rPr>
            </w:pPr>
            <w:r>
              <w:rPr>
                <w:rFonts w:ascii="Arial" w:cs="Arial" w:eastAsia="Arial" w:hAnsi="Arial"/>
                <w:sz w:val="18"/>
                <w:szCs w:val="18"/>
                <w:color w:val="auto"/>
                <w:w w:val="89"/>
              </w:rPr>
              <w:t>65</w:t>
            </w:r>
          </w:p>
        </w:tc>
        <w:tc>
          <w:tcPr>
            <w:tcW w:w="42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Magnachip Semiconductor Corporation</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Magnachip Semiconductor Corporation and its subsidiaries (the “Company”) as of December 31, 2022 and 2021, and the related consolidated statements of operations, comprehensive income (loss), changes in stockholders’ equity and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issued by the COSO.</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86"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Realizability of Deferred Tax Assets</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As described in Notes 1 and 16 to the consolidated financial statements, the Company has net deferred tax assets of $38.3 million, including a valuation allowance of $84.6 million, as of December 31, 2022. Management determines deferred tax assets and liabilities based upon the difference between the financial statement carrying amounts and the tax basis of assets and liabilities using enacted tax rates in effect in the years in which the differences are expected to reverse. Valuation allowances are established when it is necessary to reduce deferred tax assets to the amount expected to be realized. The evaluation of the recoverability of the deferred tax asset and the need for a valuation allowance requires management to weigh all positive and negative evidence to reach a conclusion that it is more likely than not that all or some portion of the deferred tax asset will not be realized. Realization of the future tax benefits related to the deferred tax assets is dependent on many factors, including historical operating results, expected timing of the reversals of existing temporary differences, the Company’s ability to generate future taxable income, and tax planning strategies.</w:t>
      </w:r>
    </w:p>
    <w:p>
      <w:pPr>
        <w:spacing w:after="0" w:line="16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principal considerations for our determination that performing procedures relating to the realizability of deferred tax assets is a critical audit matter are (i) the significant judgment by management when assessing the available positive and negative evidence surrounding the realizability of deferred tax assets, including the application of tax law to the projected tax calculation and a high degree of estimation uncertainty relative to the estimates of future taxable income, (ii) a high degree of auditor judgment, subjectivity and effort in performing procedures and evaluating audit evidence related to management’s estimates of future taxable income, (iii) auditor judgment in assessing management’s application of tax law to the projected tax calculation, and (iv) the audit effort involved the use of professionals with specialized skill and knowledge.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86"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realizability of deferred tax assets. These procedures also included, among others, (i) evaluating the appropriateness of management’s calculation used, (ii) testing the completeness, accuracy and relevance of the underlying data used in the calculation, and (iii) evaluating the reasonableness of significant assumptions used in the calculation of future taxable income. Evaluating management’s assumptions related to estimates of future taxable income involved evaluating whether the assumptions used were reasonable considering (i) current and past profitability, (ii) the consistency with external market and industry data, and</w:t>
      </w:r>
    </w:p>
    <w:p>
      <w:pPr>
        <w:spacing w:after="0" w:line="4" w:lineRule="exact"/>
        <w:rPr>
          <w:sz w:val="20"/>
          <w:szCs w:val="20"/>
          <w:color w:val="auto"/>
        </w:rPr>
      </w:pPr>
    </w:p>
    <w:p>
      <w:pPr>
        <w:ind w:left="120" w:right="80" w:hanging="4"/>
        <w:spacing w:after="0" w:line="255" w:lineRule="auto"/>
        <w:tabs>
          <w:tab w:leader="none" w:pos="4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these assumptions were consistent with evidence obtained in other areas of the audit. Professionals with specialized skill and knowledge were used to assist in evaluating management’s assumptions and calculation for assessing the realizability of deferred tax assets, including the mechanics and application of tax law to the projected tax calculation.</w:t>
      </w: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Samil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946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Seoul, Korea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2004.</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40"/>
          </w:cols>
          <w:pgMar w:left="320" w:top="486" w:right="6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5"/>
          </w:tcPr>
          <w:p>
            <w:pPr>
              <w:jc w:val="center"/>
              <w:ind w:right="19"/>
              <w:spacing w:after="0" w:line="119" w:lineRule="exact"/>
              <w:rPr>
                <w:sz w:val="20"/>
                <w:szCs w:val="20"/>
                <w:color w:val="auto"/>
              </w:rPr>
            </w:pPr>
            <w:r>
              <w:rPr>
                <w:rFonts w:ascii="Arial" w:cs="Arial" w:eastAsia="Arial" w:hAnsi="Arial"/>
                <w:sz w:val="13"/>
                <w:szCs w:val="13"/>
                <w:b w:val="1"/>
                <w:bCs w:val="1"/>
                <w:color w:val="auto"/>
                <w:w w:val="98"/>
              </w:rPr>
              <w:t>(In thousands of U.S. dollars,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8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except share data)</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Arial" w:cs="Arial" w:eastAsia="Arial" w:hAnsi="Arial"/>
                <w:sz w:val="16"/>
                <w:szCs w:val="16"/>
                <w:color w:val="auto"/>
              </w:rPr>
              <w:t>Current assets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225,477</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Accounts receivable, net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35,380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50,954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Inventories, net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39,883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Other receivables (Note 18)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7,847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25,895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Hedge collateral (Note 10)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assets (Note 1)</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40" w:type="dxa"/>
            <w:vAlign w:val="bottom"/>
          </w:tcPr>
          <w:p>
            <w:pPr>
              <w:ind w:left="640"/>
              <w:spacing w:after="0"/>
              <w:rPr>
                <w:sz w:val="20"/>
                <w:szCs w:val="20"/>
                <w:color w:val="auto"/>
              </w:rPr>
            </w:pPr>
            <w:r>
              <w:rPr>
                <w:rFonts w:ascii="Arial" w:cs="Arial" w:eastAsia="Arial" w:hAnsi="Arial"/>
                <w:sz w:val="16"/>
                <w:szCs w:val="16"/>
                <w:color w:val="auto"/>
              </w:rPr>
              <w:t>Total current assets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337,853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409,120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110,747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5,265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Arial" w:cs="Arial" w:eastAsia="Arial" w:hAnsi="Arial"/>
                <w:sz w:val="16"/>
                <w:szCs w:val="16"/>
                <w:color w:val="auto"/>
              </w:rPr>
              <w:t>Long-term prepaid expenses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10,939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 (Note 16)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4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516,645</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17,998</w:t>
            </w:r>
          </w:p>
        </w:tc>
        <w:tc>
          <w:tcPr>
            <w:tcW w:w="18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accounts payable</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Accrued expenses (Note 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9,688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income taxes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11,823</w:t>
            </w: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Operating lease liabilities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1,397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liabilities</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40" w:type="dxa"/>
            <w:vAlign w:val="bottom"/>
          </w:tcPr>
          <w:p>
            <w:pPr>
              <w:ind w:left="640"/>
              <w:spacing w:after="0"/>
              <w:rPr>
                <w:sz w:val="20"/>
                <w:szCs w:val="20"/>
                <w:color w:val="auto"/>
              </w:rPr>
            </w:pPr>
            <w:r>
              <w:rPr>
                <w:rFonts w:ascii="Arial" w:cs="Arial" w:eastAsia="Arial" w:hAnsi="Arial"/>
                <w:sz w:val="16"/>
                <w:szCs w:val="16"/>
                <w:color w:val="auto"/>
              </w:rPr>
              <w:t>Total current liabilities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47,245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85,481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Accrued severance benefits, net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4,091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14,035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640"/>
              <w:spacing w:after="0"/>
              <w:rPr>
                <w:sz w:val="20"/>
                <w:szCs w:val="20"/>
                <w:color w:val="auto"/>
              </w:rPr>
            </w:pPr>
            <w:r>
              <w:rPr>
                <w:rFonts w:ascii="Arial" w:cs="Arial" w:eastAsia="Arial" w:hAnsi="Arial"/>
                <w:sz w:val="16"/>
                <w:szCs w:val="16"/>
                <w:color w:val="auto"/>
              </w:rPr>
              <w:t>Total liabilities</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Common stock, $0.01 par value, 150,000,000 shares authorized, 56,432,449 shares issued and 43,824,575 outstanding at</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December 31, 2022 and 55,905,320 shares issued and 45,659,304 outstanding at December 31, 2021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266,058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241,197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Retained earnings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335,506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w w:val="98"/>
              </w:rPr>
              <w:t>Treasury stock, 12,607,874 shares at December 31, 2022 and 10,246,016 shares at December 31, 2021, respectively</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(161,422)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(130,306)</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(12,553)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217"/>
        </w:trPr>
        <w:tc>
          <w:tcPr>
            <w:tcW w:w="8540" w:type="dxa"/>
            <w:vAlign w:val="bottom"/>
          </w:tcPr>
          <w:p>
            <w:pPr>
              <w:ind w:left="640"/>
              <w:spacing w:after="0"/>
              <w:rPr>
                <w:sz w:val="20"/>
                <w:szCs w:val="20"/>
                <w:color w:val="auto"/>
              </w:rPr>
            </w:pPr>
            <w:r>
              <w:rPr>
                <w:rFonts w:ascii="Arial" w:cs="Arial" w:eastAsia="Arial" w:hAnsi="Arial"/>
                <w:sz w:val="16"/>
                <w:szCs w:val="16"/>
                <w:color w:val="auto"/>
              </w:rPr>
              <w:t>Total stockholders’ equity</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428,153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452,762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 and stockholders’ equity</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516,645</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86" w:right="4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2021</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gridSpan w:val="9"/>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of U.S. dollars,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Net sales—standard products business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301,896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433,099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465,519</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41,131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41,540</w:t>
            </w:r>
          </w:p>
        </w:tc>
        <w:tc>
          <w:tcPr>
            <w:tcW w:w="0" w:type="dxa"/>
            <w:vAlign w:val="bottom"/>
          </w:tcPr>
          <w:p>
            <w:pPr>
              <w:spacing w:after="0"/>
              <w:rPr>
                <w:sz w:val="1"/>
                <w:szCs w:val="1"/>
                <w:color w:val="auto"/>
              </w:rPr>
            </w:pPr>
          </w:p>
        </w:tc>
      </w:tr>
      <w:tr>
        <w:trPr>
          <w:trHeight w:val="223"/>
        </w:trPr>
        <w:tc>
          <w:tcPr>
            <w:tcW w:w="630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337,658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474,230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507,059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Cost of sales—standard products business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202,347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283,503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338,420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sales—transitional Fab 3 foundry services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40,322</w:t>
            </w:r>
          </w:p>
        </w:tc>
        <w:tc>
          <w:tcPr>
            <w:tcW w:w="0" w:type="dxa"/>
            <w:vAlign w:val="bottom"/>
          </w:tcPr>
          <w:p>
            <w:pPr>
              <w:spacing w:after="0"/>
              <w:rPr>
                <w:sz w:val="1"/>
                <w:szCs w:val="1"/>
                <w:color w:val="auto"/>
              </w:rPr>
            </w:pPr>
          </w:p>
        </w:tc>
      </w:tr>
      <w:tr>
        <w:trPr>
          <w:trHeight w:val="230"/>
        </w:trPr>
        <w:tc>
          <w:tcPr>
            <w:tcW w:w="630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6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236,394</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320,687</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378,742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153,543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128,317</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52,440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49,974</w:t>
            </w: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52,338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51,212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45,698</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 (income), net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(35,527)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Early termination and other charges, net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101,301</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83,407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16"/>
        </w:trPr>
        <w:tc>
          <w:tcPr>
            <w:tcW w:w="63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(18,147)</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net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Loss on early extinguishment of borrowings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 expense (benefit)</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73,969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17,261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(46,228)</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56,708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287,906</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Net income (loss)</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720"/>
              <w:spacing w:after="0"/>
              <w:rPr>
                <w:sz w:val="20"/>
                <w:szCs w:val="20"/>
                <w:color w:val="auto"/>
              </w:rPr>
            </w:pPr>
            <w:r>
              <w:rPr>
                <w:rFonts w:ascii="Arial" w:cs="Arial" w:eastAsia="Arial" w:hAnsi="Arial"/>
                <w:sz w:val="18"/>
                <w:szCs w:val="18"/>
                <w:color w:val="auto"/>
              </w:rPr>
              <w:t>Total</w:t>
            </w:r>
          </w:p>
        </w:tc>
        <w:tc>
          <w:tcPr>
            <w:tcW w:w="6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4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720"/>
              <w:spacing w:after="0"/>
              <w:rPr>
                <w:sz w:val="20"/>
                <w:szCs w:val="20"/>
                <w:color w:val="auto"/>
              </w:rPr>
            </w:pPr>
            <w:r>
              <w:rPr>
                <w:rFonts w:ascii="Arial" w:cs="Arial" w:eastAsia="Arial" w:hAnsi="Arial"/>
                <w:sz w:val="18"/>
                <w:szCs w:val="18"/>
                <w:color w:val="auto"/>
              </w:rPr>
              <w:t>Total</w:t>
            </w:r>
          </w:p>
        </w:tc>
        <w:tc>
          <w:tcPr>
            <w:tcW w:w="6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4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Basic</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44,850,791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44,879,412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35,213,525</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44,850,791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47,709,373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46,503,586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86" w:right="4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8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54"/>
              <w:spacing w:after="0" w:line="142"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8"/>
          </w:tcPr>
          <w:p>
            <w:pPr>
              <w:jc w:val="center"/>
              <w:ind w:right="30"/>
              <w:spacing w:after="0" w:line="142" w:lineRule="exact"/>
              <w:rPr>
                <w:sz w:val="20"/>
                <w:szCs w:val="20"/>
                <w:color w:val="auto"/>
              </w:rPr>
            </w:pPr>
            <w:r>
              <w:rPr>
                <w:rFonts w:ascii="Arial" w:cs="Arial" w:eastAsia="Arial" w:hAnsi="Arial"/>
                <w:sz w:val="14"/>
                <w:szCs w:val="14"/>
                <w:b w:val="1"/>
                <w:bCs w:val="1"/>
                <w:color w:val="auto"/>
                <w:w w:val="92"/>
              </w:rPr>
              <w:t>(In thousands of U.S. dollars)</w:t>
            </w:r>
          </w:p>
        </w:tc>
        <w:tc>
          <w:tcPr>
            <w:tcW w:w="12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(8,036)</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56,708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344,965</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(10,558)</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(2,839)</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6,274</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Derivative adjustments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valuation of derivatives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(8,279)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(3,913)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1,452</w:t>
            </w:r>
          </w:p>
        </w:tc>
      </w:tr>
      <w:tr>
        <w:trPr>
          <w:trHeight w:val="216"/>
        </w:trPr>
        <w:tc>
          <w:tcPr>
            <w:tcW w:w="8320" w:type="dxa"/>
            <w:vAlign w:val="bottom"/>
          </w:tcPr>
          <w:p>
            <w:pPr>
              <w:ind w:left="720"/>
              <w:spacing w:after="0"/>
              <w:rPr>
                <w:sz w:val="20"/>
                <w:szCs w:val="20"/>
                <w:color w:val="auto"/>
              </w:rPr>
            </w:pPr>
            <w:r>
              <w:rPr>
                <w:rFonts w:ascii="Arial" w:cs="Arial" w:eastAsia="Arial" w:hAnsi="Arial"/>
                <w:sz w:val="18"/>
                <w:szCs w:val="18"/>
                <w:color w:val="auto"/>
              </w:rPr>
              <w:t>Reclassification adjustment for loss (gain) on derivatives included in net income (loss)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(1,363)</w:t>
            </w:r>
          </w:p>
        </w:tc>
      </w:tr>
      <w:tr>
        <w:trPr>
          <w:trHeight w:val="27"/>
        </w:trPr>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(10,323)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(5,933)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6,363</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(18,359</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50,775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351,328</w:t>
            </w:r>
          </w:p>
        </w:tc>
        <w:tc>
          <w:tcPr>
            <w:tcW w:w="12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86" w:right="4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89"/>
              </w:rPr>
              <w:t>Common Stock</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780" w:type="dxa"/>
            <w:vAlign w:val="bottom"/>
            <w:gridSpan w:val="2"/>
            <w:vMerge w:val="restart"/>
          </w:tcPr>
          <w:p>
            <w:pPr>
              <w:jc w:val="center"/>
              <w:ind w:right="159"/>
              <w:spacing w:after="0"/>
              <w:rPr>
                <w:sz w:val="20"/>
                <w:szCs w:val="20"/>
                <w:color w:val="auto"/>
              </w:rPr>
            </w:pPr>
            <w:r>
              <w:rPr>
                <w:rFonts w:ascii="Arial" w:cs="Arial" w:eastAsia="Arial" w:hAnsi="Arial"/>
                <w:sz w:val="14"/>
                <w:szCs w:val="14"/>
                <w:b w:val="1"/>
                <w:bCs w:val="1"/>
                <w:color w:val="auto"/>
                <w:w w:val="91"/>
              </w:rPr>
              <w:t>Retained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Accumulated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Other</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of U.S. dollars, except share data)</w:t>
            </w:r>
          </w:p>
        </w:tc>
        <w:tc>
          <w:tcPr>
            <w:tcW w:w="2260" w:type="dxa"/>
            <w:vAlign w:val="bottom"/>
          </w:tcPr>
          <w:p>
            <w:pPr>
              <w:spacing w:after="0"/>
              <w:rPr>
                <w:sz w:val="10"/>
                <w:szCs w:val="10"/>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0"/>
                <w:szCs w:val="10"/>
                <w:color w:val="auto"/>
              </w:rPr>
            </w:pPr>
          </w:p>
        </w:tc>
        <w:tc>
          <w:tcPr>
            <w:tcW w:w="780" w:type="dxa"/>
            <w:vAlign w:val="bottom"/>
            <w:gridSpan w:val="2"/>
          </w:tcPr>
          <w:p>
            <w:pPr>
              <w:jc w:val="center"/>
              <w:ind w:right="179"/>
              <w:spacing w:after="0" w:line="119" w:lineRule="exact"/>
              <w:rPr>
                <w:sz w:val="20"/>
                <w:szCs w:val="20"/>
                <w:color w:val="auto"/>
              </w:rPr>
            </w:pPr>
            <w:r>
              <w:rPr>
                <w:rFonts w:ascii="Arial" w:cs="Arial" w:eastAsia="Arial" w:hAnsi="Arial"/>
                <w:sz w:val="13"/>
                <w:szCs w:val="13"/>
                <w:b w:val="1"/>
                <w:bCs w:val="1"/>
                <w:color w:val="auto"/>
              </w:rPr>
              <w:t>Earnings</w:t>
            </w:r>
          </w:p>
        </w:tc>
        <w:tc>
          <w:tcPr>
            <w:tcW w:w="800" w:type="dxa"/>
            <w:vAlign w:val="bottom"/>
            <w:gridSpan w:val="2"/>
          </w:tcPr>
          <w:p>
            <w:pPr>
              <w:jc w:val="right"/>
              <w:ind w:right="179"/>
              <w:spacing w:after="0" w:line="119" w:lineRule="exact"/>
              <w:rPr>
                <w:sz w:val="20"/>
                <w:szCs w:val="20"/>
                <w:color w:val="auto"/>
              </w:rPr>
            </w:pPr>
            <w:r>
              <w:rPr>
                <w:rFonts w:ascii="Arial" w:cs="Arial" w:eastAsia="Arial" w:hAnsi="Arial"/>
                <w:sz w:val="13"/>
                <w:szCs w:val="13"/>
                <w:b w:val="1"/>
                <w:bCs w:val="1"/>
                <w:color w:val="auto"/>
              </w:rPr>
              <w:t>Treasury</w:t>
            </w: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66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940" w:type="dxa"/>
            <w:vAlign w:val="bottom"/>
            <w:tcBorders>
              <w:bottom w:val="single" w:sz="8" w:color="auto"/>
            </w:tcBorders>
            <w:vMerge w:val="continue"/>
          </w:tcPr>
          <w:p>
            <w:pPr>
              <w:spacing w:after="0"/>
              <w:rPr>
                <w:sz w:val="15"/>
                <w:szCs w:val="15"/>
                <w:color w:val="auto"/>
              </w:rPr>
            </w:pPr>
          </w:p>
        </w:tc>
        <w:tc>
          <w:tcPr>
            <w:tcW w:w="22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5"/>
                <w:szCs w:val="15"/>
                <w:color w:val="auto"/>
              </w:rPr>
            </w:pPr>
          </w:p>
        </w:tc>
        <w:tc>
          <w:tcPr>
            <w:tcW w:w="780" w:type="dxa"/>
            <w:vAlign w:val="bottom"/>
            <w:gridSpan w:val="2"/>
          </w:tcPr>
          <w:p>
            <w:pPr>
              <w:jc w:val="center"/>
              <w:ind w:right="159"/>
              <w:spacing w:after="0" w:line="158" w:lineRule="exact"/>
              <w:rPr>
                <w:sz w:val="20"/>
                <w:szCs w:val="20"/>
                <w:color w:val="auto"/>
              </w:rPr>
            </w:pPr>
            <w:r>
              <w:rPr>
                <w:rFonts w:ascii="Arial" w:cs="Arial" w:eastAsia="Arial" w:hAnsi="Arial"/>
                <w:sz w:val="14"/>
                <w:szCs w:val="14"/>
                <w:b w:val="1"/>
                <w:bCs w:val="1"/>
                <w:color w:val="auto"/>
                <w:w w:val="95"/>
              </w:rPr>
              <w:t>(Deficit)</w:t>
            </w:r>
          </w:p>
        </w:tc>
        <w:tc>
          <w:tcPr>
            <w:tcW w:w="800" w:type="dxa"/>
            <w:vAlign w:val="bottom"/>
            <w:gridSpan w:val="2"/>
          </w:tcPr>
          <w:p>
            <w:pPr>
              <w:jc w:val="right"/>
              <w:ind w:right="299"/>
              <w:spacing w:after="0" w:line="158" w:lineRule="exact"/>
              <w:rPr>
                <w:sz w:val="20"/>
                <w:szCs w:val="20"/>
                <w:color w:val="auto"/>
              </w:rPr>
            </w:pPr>
            <w:r>
              <w:rPr>
                <w:rFonts w:ascii="Arial" w:cs="Arial" w:eastAsia="Arial" w:hAnsi="Arial"/>
                <w:sz w:val="14"/>
                <w:szCs w:val="14"/>
                <w:b w:val="1"/>
                <w:bCs w:val="1"/>
                <w:color w:val="auto"/>
              </w:rPr>
              <w:t>Stock</w:t>
            </w:r>
          </w:p>
        </w:tc>
        <w:tc>
          <w:tcPr>
            <w:tcW w:w="116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Income (Loss)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9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Balance at December 31, 2019</w:t>
            </w:r>
          </w:p>
        </w:tc>
        <w:tc>
          <w:tcPr>
            <w:tcW w:w="22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34,800,312</w:t>
            </w:r>
          </w:p>
        </w:tc>
        <w:tc>
          <w:tcPr>
            <w:tcW w:w="2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4"/>
                <w:szCs w:val="14"/>
                <w:color w:val="auto"/>
                <w:w w:val="85"/>
              </w:rPr>
              <w:t>439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152,404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4"/>
              </w:rPr>
              <w:t>$ (58,131</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6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86"/>
              </w:rPr>
              <w:t>$ (107,033</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(2,660)</w:t>
            </w: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1"/>
              </w:rPr>
              <w:t>$ (14,981</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80"/>
              <w:spacing w:after="0"/>
              <w:rPr>
                <w:sz w:val="20"/>
                <w:szCs w:val="20"/>
                <w:color w:val="auto"/>
              </w:rPr>
            </w:pPr>
            <w:r>
              <w:rPr>
                <w:rFonts w:ascii="Arial" w:cs="Arial" w:eastAsia="Arial" w:hAnsi="Arial"/>
                <w:sz w:val="14"/>
                <w:szCs w:val="14"/>
                <w:color w:val="auto"/>
              </w:rPr>
              <w:t>Stock-based compensation</w:t>
            </w:r>
          </w:p>
        </w:tc>
        <w:tc>
          <w:tcPr>
            <w:tcW w:w="2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vMerge w:val="continue"/>
          </w:tcPr>
          <w:p>
            <w:pPr>
              <w:spacing w:after="0"/>
              <w:rPr>
                <w:sz w:val="12"/>
                <w:szCs w:val="12"/>
                <w:color w:val="auto"/>
              </w:rPr>
            </w:pPr>
          </w:p>
        </w:tc>
        <w:tc>
          <w:tcPr>
            <w:tcW w:w="2260" w:type="dxa"/>
            <w:vAlign w:val="bottom"/>
          </w:tcPr>
          <w:p>
            <w:pPr>
              <w:spacing w:after="0"/>
              <w:rPr>
                <w:sz w:val="12"/>
                <w:szCs w:val="12"/>
                <w:color w:val="auto"/>
              </w:rPr>
            </w:pPr>
          </w:p>
        </w:tc>
        <w:tc>
          <w:tcPr>
            <w:tcW w:w="70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6,699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6,699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3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510,648</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3,913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3,918</w:t>
            </w:r>
          </w:p>
        </w:tc>
        <w:tc>
          <w:tcPr>
            <w:tcW w:w="0" w:type="dxa"/>
            <w:vAlign w:val="bottom"/>
          </w:tcPr>
          <w:p>
            <w:pPr>
              <w:spacing w:after="0"/>
              <w:rPr>
                <w:sz w:val="1"/>
                <w:szCs w:val="1"/>
                <w:color w:val="auto"/>
              </w:rPr>
            </w:pPr>
          </w:p>
        </w:tc>
      </w:tr>
      <w:tr>
        <w:trPr>
          <w:trHeight w:val="148"/>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Settlement of restricted stock units</w:t>
            </w:r>
          </w:p>
        </w:tc>
        <w:tc>
          <w:tcPr>
            <w:tcW w:w="3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581,215</w:t>
            </w:r>
          </w:p>
        </w:tc>
        <w:tc>
          <w:tcPr>
            <w:tcW w:w="280" w:type="dxa"/>
            <w:vAlign w:val="bottom"/>
          </w:tcPr>
          <w:p>
            <w:pPr>
              <w:spacing w:after="0"/>
              <w:rPr>
                <w:sz w:val="12"/>
                <w:szCs w:val="12"/>
                <w:color w:val="auto"/>
              </w:rPr>
            </w:pP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31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(108,828)</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(1,364)</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149"/>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income, net</w:t>
            </w:r>
          </w:p>
        </w:tc>
        <w:tc>
          <w:tcPr>
            <w:tcW w:w="226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6,363</w:t>
            </w:r>
          </w:p>
        </w:tc>
        <w:tc>
          <w:tcPr>
            <w:tcW w:w="6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6,363</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w:t>
            </w:r>
          </w:p>
        </w:tc>
        <w:tc>
          <w:tcPr>
            <w:tcW w:w="2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344,965</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344,965</w:t>
            </w:r>
          </w:p>
        </w:tc>
        <w:tc>
          <w:tcPr>
            <w:tcW w:w="0" w:type="dxa"/>
            <w:vAlign w:val="bottom"/>
          </w:tcPr>
          <w:p>
            <w:pPr>
              <w:spacing w:after="0"/>
              <w:rPr>
                <w:sz w:val="1"/>
                <w:szCs w:val="1"/>
                <w:color w:val="auto"/>
              </w:rPr>
            </w:pPr>
          </w:p>
        </w:tc>
      </w:tr>
      <w:tr>
        <w:trPr>
          <w:trHeight w:val="155"/>
        </w:trPr>
        <w:tc>
          <w:tcPr>
            <w:tcW w:w="29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2020</w:t>
            </w:r>
          </w:p>
        </w:tc>
        <w:tc>
          <w:tcPr>
            <w:tcW w:w="22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35,783,347</w:t>
            </w:r>
          </w:p>
        </w:tc>
        <w:tc>
          <w:tcPr>
            <w:tcW w:w="2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5"/>
              </w:rPr>
              <w:t>450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163,010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$ 286,834</w:t>
            </w: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 (108,397</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3,703</w:t>
            </w: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345,600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Stock-based compensation</w:t>
            </w:r>
          </w:p>
        </w:tc>
        <w:tc>
          <w:tcPr>
            <w:tcW w:w="2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7,704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9"/>
              <w:spacing w:after="0" w:line="143" w:lineRule="exact"/>
              <w:rPr>
                <w:sz w:val="20"/>
                <w:szCs w:val="20"/>
                <w:color w:val="auto"/>
              </w:rPr>
            </w:pPr>
            <w:r>
              <w:rPr>
                <w:rFonts w:ascii="Arial" w:cs="Arial" w:eastAsia="Arial" w:hAnsi="Arial"/>
                <w:sz w:val="14"/>
                <w:szCs w:val="14"/>
                <w:color w:val="auto"/>
              </w:rPr>
              <w:t>7,704</w:t>
            </w:r>
          </w:p>
        </w:tc>
        <w:tc>
          <w:tcPr>
            <w:tcW w:w="0" w:type="dxa"/>
            <w:vAlign w:val="bottom"/>
          </w:tcPr>
          <w:p>
            <w:pPr>
              <w:spacing w:after="0"/>
              <w:rPr>
                <w:sz w:val="1"/>
                <w:szCs w:val="1"/>
                <w:color w:val="auto"/>
              </w:rPr>
            </w:pPr>
          </w:p>
        </w:tc>
      </w:tr>
      <w:tr>
        <w:trPr>
          <w:trHeight w:val="149"/>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Exchange of exchangeable senior note</w:t>
            </w:r>
          </w:p>
        </w:tc>
        <w:tc>
          <w:tcPr>
            <w:tcW w:w="3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10,144,131</w:t>
            </w:r>
          </w:p>
        </w:tc>
        <w:tc>
          <w:tcPr>
            <w:tcW w:w="28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83,639</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83,740</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3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336,870</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4,276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4,279</w:t>
            </w:r>
          </w:p>
        </w:tc>
        <w:tc>
          <w:tcPr>
            <w:tcW w:w="0" w:type="dxa"/>
            <w:vAlign w:val="bottom"/>
          </w:tcPr>
          <w:p>
            <w:pPr>
              <w:spacing w:after="0"/>
              <w:rPr>
                <w:sz w:val="1"/>
                <w:szCs w:val="1"/>
                <w:color w:val="auto"/>
              </w:rPr>
            </w:pPr>
          </w:p>
        </w:tc>
      </w:tr>
      <w:tr>
        <w:trPr>
          <w:trHeight w:val="148"/>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Settlement of restricted stock units</w:t>
            </w:r>
          </w:p>
        </w:tc>
        <w:tc>
          <w:tcPr>
            <w:tcW w:w="3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480,465</w:t>
            </w:r>
          </w:p>
        </w:tc>
        <w:tc>
          <w:tcPr>
            <w:tcW w:w="280" w:type="dxa"/>
            <w:vAlign w:val="bottom"/>
          </w:tcPr>
          <w:p>
            <w:pPr>
              <w:spacing w:after="0"/>
              <w:rPr>
                <w:sz w:val="12"/>
                <w:szCs w:val="12"/>
                <w:color w:val="auto"/>
              </w:rPr>
            </w:pP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Accelerated stock repurchase</w:t>
            </w:r>
          </w:p>
        </w:tc>
        <w:tc>
          <w:tcPr>
            <w:tcW w:w="31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(994,695)</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(17,427)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(20,073)</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(37,500)</w:t>
            </w:r>
          </w:p>
        </w:tc>
        <w:tc>
          <w:tcPr>
            <w:tcW w:w="0" w:type="dxa"/>
            <w:vAlign w:val="bottom"/>
          </w:tcPr>
          <w:p>
            <w:pPr>
              <w:spacing w:after="0"/>
              <w:rPr>
                <w:sz w:val="1"/>
                <w:szCs w:val="1"/>
                <w:color w:val="auto"/>
              </w:rPr>
            </w:pPr>
          </w:p>
        </w:tc>
      </w:tr>
      <w:tr>
        <w:trPr>
          <w:trHeight w:val="148"/>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31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(90,814)</w:t>
            </w:r>
          </w:p>
        </w:tc>
        <w:tc>
          <w:tcPr>
            <w:tcW w:w="28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(1,836)</w:t>
            </w:r>
          </w:p>
        </w:tc>
        <w:tc>
          <w:tcPr>
            <w:tcW w:w="8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loss, net</w:t>
            </w:r>
          </w:p>
        </w:tc>
        <w:tc>
          <w:tcPr>
            <w:tcW w:w="2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(5,933)</w:t>
            </w:r>
          </w:p>
        </w:tc>
        <w:tc>
          <w:tcPr>
            <w:tcW w:w="6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(5,933)</w:t>
            </w:r>
          </w:p>
        </w:tc>
        <w:tc>
          <w:tcPr>
            <w:tcW w:w="0" w:type="dxa"/>
            <w:vAlign w:val="bottom"/>
          </w:tcPr>
          <w:p>
            <w:pPr>
              <w:spacing w:after="0"/>
              <w:rPr>
                <w:sz w:val="1"/>
                <w:szCs w:val="1"/>
                <w:color w:val="auto"/>
              </w:rPr>
            </w:pPr>
          </w:p>
        </w:tc>
      </w:tr>
      <w:tr>
        <w:trPr>
          <w:trHeight w:val="156"/>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2260" w:type="dxa"/>
            <w:vAlign w:val="bottom"/>
          </w:tcPr>
          <w:p>
            <w:pPr>
              <w:spacing w:after="0"/>
              <w:rPr>
                <w:sz w:val="13"/>
                <w:szCs w:val="13"/>
                <w:color w:val="auto"/>
              </w:rPr>
            </w:pPr>
          </w:p>
        </w:tc>
        <w:tc>
          <w:tcPr>
            <w:tcW w:w="7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56,708</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56,708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2021</w:t>
            </w:r>
          </w:p>
        </w:tc>
        <w:tc>
          <w:tcPr>
            <w:tcW w:w="2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45,659,304</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559</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241,197</w:t>
            </w:r>
          </w:p>
        </w:tc>
        <w:tc>
          <w:tcPr>
            <w:tcW w:w="860" w:type="dxa"/>
            <w:vAlign w:val="bottom"/>
            <w:gridSpan w:val="3"/>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$ 343,542</w:t>
            </w: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w w:val="86"/>
              </w:rPr>
              <w:t>$ (130,306)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(2,230)</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452,762</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80"/>
              <w:spacing w:after="0"/>
              <w:rPr>
                <w:sz w:val="20"/>
                <w:szCs w:val="20"/>
                <w:color w:val="auto"/>
              </w:rPr>
            </w:pPr>
            <w:r>
              <w:rPr>
                <w:rFonts w:ascii="Arial" w:cs="Arial" w:eastAsia="Arial" w:hAnsi="Arial"/>
                <w:sz w:val="14"/>
                <w:szCs w:val="14"/>
                <w:color w:val="auto"/>
              </w:rPr>
              <w:t>Stock-based compensation</w:t>
            </w:r>
          </w:p>
        </w:tc>
        <w:tc>
          <w:tcPr>
            <w:tcW w:w="2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vMerge w:val="continue"/>
          </w:tcPr>
          <w:p>
            <w:pPr>
              <w:spacing w:after="0"/>
              <w:rPr>
                <w:sz w:val="12"/>
                <w:szCs w:val="12"/>
                <w:color w:val="auto"/>
              </w:rPr>
            </w:pPr>
          </w:p>
        </w:tc>
        <w:tc>
          <w:tcPr>
            <w:tcW w:w="2260" w:type="dxa"/>
            <w:vAlign w:val="bottom"/>
          </w:tcPr>
          <w:p>
            <w:pPr>
              <w:spacing w:after="0"/>
              <w:rPr>
                <w:sz w:val="12"/>
                <w:szCs w:val="12"/>
                <w:color w:val="auto"/>
              </w:rPr>
            </w:pPr>
          </w:p>
        </w:tc>
        <w:tc>
          <w:tcPr>
            <w:tcW w:w="70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6,037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6,037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3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152,326</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1,786</w:t>
            </w:r>
          </w:p>
        </w:tc>
        <w:tc>
          <w:tcPr>
            <w:tcW w:w="0" w:type="dxa"/>
            <w:vAlign w:val="bottom"/>
          </w:tcPr>
          <w:p>
            <w:pPr>
              <w:spacing w:after="0"/>
              <w:rPr>
                <w:sz w:val="1"/>
                <w:szCs w:val="1"/>
                <w:color w:val="auto"/>
              </w:rPr>
            </w:pPr>
          </w:p>
        </w:tc>
      </w:tr>
      <w:tr>
        <w:trPr>
          <w:trHeight w:val="149"/>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Settlement of restricted stock units</w:t>
            </w:r>
          </w:p>
        </w:tc>
        <w:tc>
          <w:tcPr>
            <w:tcW w:w="3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374,803</w:t>
            </w:r>
          </w:p>
        </w:tc>
        <w:tc>
          <w:tcPr>
            <w:tcW w:w="280" w:type="dxa"/>
            <w:vAlign w:val="bottom"/>
          </w:tcPr>
          <w:p>
            <w:pPr>
              <w:spacing w:after="0"/>
              <w:rPr>
                <w:sz w:val="12"/>
                <w:szCs w:val="12"/>
                <w:color w:val="auto"/>
              </w:rPr>
            </w:pP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Accelerated stock repurchase</w:t>
            </w:r>
          </w:p>
        </w:tc>
        <w:tc>
          <w:tcPr>
            <w:tcW w:w="31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(1,031,576)</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17,217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(17,217)</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31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(1,330,282)</w:t>
            </w:r>
          </w:p>
        </w:tc>
        <w:tc>
          <w:tcPr>
            <w:tcW w:w="28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(13,899)</w:t>
            </w:r>
          </w:p>
        </w:tc>
        <w:tc>
          <w:tcPr>
            <w:tcW w:w="8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(13,899)</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loss, net</w:t>
            </w:r>
          </w:p>
        </w:tc>
        <w:tc>
          <w:tcPr>
            <w:tcW w:w="2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(10,323)</w:t>
            </w:r>
          </w:p>
        </w:tc>
        <w:tc>
          <w:tcPr>
            <w:tcW w:w="6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(10,323)</w:t>
            </w:r>
          </w:p>
        </w:tc>
        <w:tc>
          <w:tcPr>
            <w:tcW w:w="0" w:type="dxa"/>
            <w:vAlign w:val="bottom"/>
          </w:tcPr>
          <w:p>
            <w:pPr>
              <w:spacing w:after="0"/>
              <w:rPr>
                <w:sz w:val="1"/>
                <w:szCs w:val="1"/>
                <w:color w:val="auto"/>
              </w:rPr>
            </w:pPr>
          </w:p>
        </w:tc>
      </w:tr>
      <w:tr>
        <w:trPr>
          <w:trHeight w:val="148"/>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226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(8,036)</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(8,036)</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2022</w:t>
            </w:r>
          </w:p>
        </w:tc>
        <w:tc>
          <w:tcPr>
            <w:tcW w:w="2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43,824,575</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564</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266,058</w:t>
            </w:r>
          </w:p>
        </w:tc>
        <w:tc>
          <w:tcPr>
            <w:tcW w:w="860" w:type="dxa"/>
            <w:vAlign w:val="bottom"/>
            <w:gridSpan w:val="3"/>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$ 335,506</w:t>
            </w: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w w:val="86"/>
              </w:rPr>
              <w:t>$ (161,422)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(12,553)</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428,153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86"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8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7"/>
          </w:tcPr>
          <w:p>
            <w:pPr>
              <w:jc w:val="right"/>
              <w:ind w:right="208"/>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100" w:type="dxa"/>
            <w:vAlign w:val="bottom"/>
          </w:tcPr>
          <w:p>
            <w:pPr>
              <w:spacing w:after="0"/>
              <w:rPr>
                <w:sz w:val="12"/>
                <w:szCs w:val="12"/>
                <w:color w:val="auto"/>
              </w:rPr>
            </w:pPr>
          </w:p>
        </w:tc>
      </w:tr>
      <w:tr>
        <w:trPr>
          <w:trHeight w:val="148"/>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5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(8,036)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56,708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344,965</w:t>
            </w:r>
          </w:p>
        </w:tc>
      </w:tr>
      <w:tr>
        <w:trPr>
          <w:trHeight w:val="148"/>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15,000</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14,239</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16,481</w:t>
            </w:r>
          </w:p>
        </w:tc>
      </w:tr>
      <w:tr>
        <w:trPr>
          <w:trHeight w:val="149"/>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6,289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8,282</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16,743</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Amortization of debt issuance costs and original issue discount</w:t>
            </w:r>
          </w:p>
        </w:tc>
        <w:tc>
          <w:tcPr>
            <w:tcW w:w="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261</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2,220</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(gain) on foreign currency, net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19,729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32,432</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(23,233)</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Provision for inventory reserves</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9,574</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2,244</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3,695</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6,037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7,704</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6,699</w:t>
            </w: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Loss on early extinguishment of borrowings</w:t>
            </w:r>
          </w:p>
        </w:tc>
        <w:tc>
          <w:tcPr>
            <w:tcW w:w="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766</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Gain on sale of discontinued operations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(287,117)</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 assets</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278</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918</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(44,441)</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w:t>
            </w:r>
          </w:p>
        </w:tc>
      </w:tr>
      <w:tr>
        <w:trPr>
          <w:trHeight w:val="148"/>
        </w:trPr>
        <w:tc>
          <w:tcPr>
            <w:tcW w:w="858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10,276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7,505</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(19,268)</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Unbilled accounts receivable, net</w:t>
            </w:r>
          </w:p>
        </w:tc>
        <w:tc>
          <w:tcPr>
            <w:tcW w:w="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14,260</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(12,626)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(5,939)</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(816)</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18,146</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(21,538)</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6,954</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(4,150)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12,397</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13,561</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(16,325)</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(11,437)</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4,907</w:t>
            </w:r>
          </w:p>
        </w:tc>
      </w:tr>
      <w:tr>
        <w:trPr>
          <w:trHeight w:val="149"/>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(9,410)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(7,798)</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(12,000)</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(7,228)</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4,637</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(26,201)</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income taxes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10,825</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(1,261)</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(131)</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2,174</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(645)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1,445</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279</w:t>
            </w: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749</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(1,398)</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3,521</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Contributions to severance insurance deposit accounts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(7,899)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(5,688)</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(11,921)</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(6,012)</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(6,679)</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(12,076)</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(3,724)</w:t>
            </w:r>
          </w:p>
        </w:tc>
      </w:tr>
      <w:tr>
        <w:trPr>
          <w:trHeight w:val="155"/>
        </w:trPr>
        <w:tc>
          <w:tcPr>
            <w:tcW w:w="8580" w:type="dxa"/>
            <w:vAlign w:val="bottom"/>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5,165</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87,743</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7,470</w:t>
            </w:r>
          </w:p>
        </w:tc>
        <w:tc>
          <w:tcPr>
            <w:tcW w:w="100" w:type="dxa"/>
            <w:vAlign w:val="bottom"/>
          </w:tcPr>
          <w:p>
            <w:pPr>
              <w:spacing w:after="0"/>
              <w:rPr>
                <w:sz w:val="13"/>
                <w:szCs w:val="13"/>
                <w:color w:val="auto"/>
              </w:rPr>
            </w:pPr>
          </w:p>
        </w:tc>
      </w:tr>
      <w:tr>
        <w:trPr>
          <w:trHeight w:val="149"/>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settlement of hedge collateral</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15,232</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5,214</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13,762</w:t>
            </w:r>
          </w:p>
        </w:tc>
      </w:tr>
      <w:tr>
        <w:trPr>
          <w:trHeight w:val="149"/>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of hedge collateral</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(15,282)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(3,349)</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(8,839)</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disposal of property, plant and equipment</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550</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1,446</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 of property, plant and equipment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(23,394)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(32,212)</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(36,100)</w:t>
            </w: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(390)</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(614)</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(741)</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Collection of guarantee deposits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3,192</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1,024</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Payment of guarantee deposits</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(2,381)</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(5,001)</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(1,236)</w:t>
            </w:r>
          </w:p>
        </w:tc>
      </w:tr>
      <w:tr>
        <w:trPr>
          <w:trHeight w:val="149"/>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sale of discontinued operations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350,553</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737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r>
      <w:tr>
        <w:trPr>
          <w:trHeight w:val="27"/>
        </w:trPr>
        <w:tc>
          <w:tcPr>
            <w:tcW w:w="8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(24,928)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(31,438)</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318,482</w:t>
            </w:r>
          </w:p>
        </w:tc>
      </w:tr>
      <w:tr>
        <w:trPr>
          <w:trHeight w:val="149"/>
        </w:trPr>
        <w:tc>
          <w:tcPr>
            <w:tcW w:w="858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Repayment of borrowings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(224,250)</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exercise of stock options</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1,786</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4,279</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3,918</w:t>
            </w:r>
          </w:p>
        </w:tc>
      </w:tr>
      <w:tr>
        <w:trPr>
          <w:trHeight w:val="149"/>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(13,960)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(1,653)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(1,125)</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Acquisition of stock under accelerated stock repurchase agreement</w:t>
            </w:r>
          </w:p>
        </w:tc>
        <w:tc>
          <w:tcPr>
            <w:tcW w:w="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(20,073)</w:t>
            </w:r>
          </w:p>
        </w:tc>
        <w:tc>
          <w:tcPr>
            <w:tcW w:w="10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under accelerated stock repurchase agreement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(17,427)</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Repayment of financing related to water treatment facility arrangement</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(563)</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(546)</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(278)</w:t>
            </w:r>
          </w:p>
        </w:tc>
      </w:tr>
      <w:tr>
        <w:trPr>
          <w:trHeight w:val="155"/>
        </w:trPr>
        <w:tc>
          <w:tcPr>
            <w:tcW w:w="8580" w:type="dxa"/>
            <w:vAlign w:val="bottom"/>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(12,744)</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(35,544)</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(222,281)</w:t>
            </w:r>
          </w:p>
        </w:tc>
        <w:tc>
          <w:tcPr>
            <w:tcW w:w="100" w:type="dxa"/>
            <w:vAlign w:val="bottom"/>
          </w:tcPr>
          <w:p>
            <w:pPr>
              <w:spacing w:after="0"/>
              <w:rPr>
                <w:sz w:val="13"/>
                <w:szCs w:val="13"/>
                <w:color w:val="auto"/>
              </w:rPr>
            </w:pPr>
          </w:p>
        </w:tc>
      </w:tr>
      <w:tr>
        <w:trPr>
          <w:trHeight w:val="149"/>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(21,563)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(21,154)</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24,612</w:t>
            </w:r>
          </w:p>
        </w:tc>
      </w:tr>
      <w:tr>
        <w:trPr>
          <w:trHeight w:val="155"/>
        </w:trPr>
        <w:tc>
          <w:tcPr>
            <w:tcW w:w="8580" w:type="dxa"/>
            <w:vAlign w:val="bottom"/>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(54,070)</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(393)</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128,283</w:t>
            </w:r>
          </w:p>
        </w:tc>
        <w:tc>
          <w:tcPr>
            <w:tcW w:w="100" w:type="dxa"/>
            <w:vAlign w:val="bottom"/>
          </w:tcPr>
          <w:p>
            <w:pPr>
              <w:spacing w:after="0"/>
              <w:rPr>
                <w:sz w:val="13"/>
                <w:szCs w:val="13"/>
                <w:color w:val="auto"/>
              </w:rPr>
            </w:pPr>
          </w:p>
        </w:tc>
      </w:tr>
      <w:tr>
        <w:trPr>
          <w:trHeight w:val="148"/>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0"/>
              </w:rPr>
              <w:t>279,547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0"/>
              </w:rPr>
              <w:t>279,940</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151,657</w:t>
            </w:r>
          </w:p>
        </w:tc>
      </w:tr>
      <w:tr>
        <w:trPr>
          <w:trHeight w:val="156"/>
        </w:trPr>
        <w:tc>
          <w:tcPr>
            <w:tcW w:w="858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225,477</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279,547</w:t>
            </w: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279,940</w:t>
            </w:r>
          </w:p>
        </w:tc>
        <w:tc>
          <w:tcPr>
            <w:tcW w:w="100" w:type="dxa"/>
            <w:vAlign w:val="bottom"/>
          </w:tcPr>
          <w:p>
            <w:pPr>
              <w:spacing w:after="0"/>
              <w:rPr>
                <w:sz w:val="13"/>
                <w:szCs w:val="13"/>
                <w:color w:val="auto"/>
              </w:rPr>
            </w:pPr>
          </w:p>
        </w:tc>
      </w:tr>
      <w:tr>
        <w:trPr>
          <w:trHeight w:val="20"/>
        </w:trPr>
        <w:tc>
          <w:tcPr>
            <w:tcW w:w="8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5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58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2,094</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22,221</w:t>
            </w:r>
          </w:p>
        </w:tc>
      </w:tr>
      <w:tr>
        <w:trPr>
          <w:trHeight w:val="148"/>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income taxes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18,988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12,672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23,056</w:t>
            </w:r>
          </w:p>
        </w:tc>
      </w:tr>
      <w:tr>
        <w:trPr>
          <w:trHeight w:val="149"/>
        </w:trPr>
        <w:tc>
          <w:tcPr>
            <w:tcW w:w="8580" w:type="dxa"/>
            <w:vAlign w:val="bottom"/>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 additions in other accounts payable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858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 to satisfy the tax withholding obligations in connection with equity-based compensation</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387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826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643</w:t>
            </w:r>
          </w:p>
        </w:tc>
      </w:tr>
      <w:tr>
        <w:trPr>
          <w:trHeight w:val="149"/>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Unsettled common stock repurchases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378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82"/>
        </w:trPr>
        <w:tc>
          <w:tcPr>
            <w:tcW w:w="8580" w:type="dxa"/>
            <w:vAlign w:val="bottom"/>
          </w:tcPr>
          <w:p>
            <w:pPr>
              <w:spacing w:after="0"/>
              <w:rPr>
                <w:sz w:val="20"/>
                <w:szCs w:val="20"/>
                <w:color w:val="auto"/>
              </w:rPr>
            </w:pPr>
            <w:r>
              <w:rPr>
                <w:rFonts w:ascii="Arial" w:cs="Arial" w:eastAsia="Arial" w:hAnsi="Arial"/>
                <w:sz w:val="14"/>
                <w:szCs w:val="14"/>
                <w:color w:val="auto"/>
              </w:rPr>
              <w:t>Exchange of exchangeable senior notes into common stock</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83,740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bl>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86" w:right="4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Magnachip Semiconductor Corporation (together with its subsidiaries, the “Company”) is a designer and manufacturer of analog and mixed-signal semiconductor platform solutions for communications, Internet of Things (“IoT”) applications, consumer, computing, industrial and automotive applications.</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September 1, 2020 (the “Closing Date”), the Company completed the sale of the Company’s Foundry Services Group business and its fabrication facility located in Cheongju, Korea, known as “Fab 4” to Key Foundry Co., Ltd. (the “Buyer”), a Korean corporation, in exchange for a purchase price equal to approximately $350.6 million in cash, pursuant to the terms of a business transfer agreement (the “Business Transfer Agreement”) dated March 31, 2020 by and among the Company and Magnus Semiconductor, LLC, a Korean limited liability company (“Magnus”). The purchase price was paid in a combination of U.S. Dollars in the amount of $46.5 million and Korean Won in the amount of approximately KRW</w:t>
      </w:r>
    </w:p>
    <w:p>
      <w:pPr>
        <w:spacing w:after="0" w:line="2"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360.6 billion. In addition to the purchase price, the Buyer assumed all severance liabilities relating to the transferred employees, which had a value of approximately $100 million. The Buyer is a wholly owned subsidiary of Magnus, which was established by Alchemist Capital Partners Korea Co., Ltd. and Credian Partners, Inc. On April 20, 2020, Magnus assigned, and the Buyer assumed, all rights and obligations of Magnus under the Business Transfer Agreement. This divestiture of the Foundry Services Group business and Fab 4 was made in connection with the Company’s strategic shift of its operational focus to its standard products business. The Foundry Services Group was historically a reportable segment. The Foundry Services Group business was classified as discontinued operations in the Company’s consolidated statements of operations and excluded from both continuing operations and segment results for the 2020 fiscal year. Accordingly, the Company has one reportable segment, its standard products business, together with transitional foundry services associated with its fabrication facility located in Gumi, Korea, known as “Fab 3,” that it expects to perform for the Buyer for a period of up to three years from the Closing Date (the “Transitional Fab 3 Foundry Services”).</w:t>
      </w:r>
    </w:p>
    <w:p>
      <w:pPr>
        <w:spacing w:after="0" w:line="17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Company’s standard products business includes its Display Solutions and Power Solutions business lines. The Company’s Display Solutions products provide panel display solutions to major suppliers of large and small rigid and flexible panel displays, and a wide range of applications including smartphones, TVs, automotive and IT applications such as monitors, notebook PCs, tablet PCs as well as AR/VRs. The Company’s Power Solutions products include discrete and integrated circuit solutions for power management in communications, consumer, computing, servers, automotive, and industrial applications.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consolidated financial statements are presented in accordance with U.S. GAAP.</w:t>
      </w:r>
    </w:p>
    <w:p>
      <w:pPr>
        <w:spacing w:after="0" w:line="225"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Significant accounting policies followed by the Company in the preparation of the accompanying consolidated financial statements are summarized below.</w:t>
      </w:r>
    </w:p>
    <w:p>
      <w:pPr>
        <w:spacing w:after="0" w:line="170"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consolidated statement of cash flows for the 2020 fiscal year has not been adjusted to separately disclose cash flows related to discontinued operations, but the material items in the operating and investing activities of the cash flow relating to discontinued operations for the same period are disclosed in Note 2. Unless otherwise stated, information in these notes to consolidated financial statements relates to the Company’s continuing operations and excludes the discontinued operations. See Note 2 “Discontinued Operations” for additional information.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86"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including its wholly-owned subsidiaries. All intercompany transactions and balances are eliminated in consolidation.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200" w:firstLine="440"/>
        <w:spacing w:after="0" w:line="288"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stock-based compensation, property, plant and equipment, leases, other long-lived assets, long-term employee benefits, contingencies liabilities, estimated future cash flows and other assumptions used in long-lived asset impairment tests, and calculation of current and deferred income taxes and deferred tax valuation allowances, among others. Although these estimates and assumptions are based on management’s best knowledge of current events and actions that the Company may undertake in the future, actual results may be significantly different from the estimates. The Company assessed the impact of COVID-19 on the estimates and assumptions to the extent applicable, and determined that there was no material impact on the Company’s consolidated financial statements as of and for the years ended December 31, 2022, 2021 and 2020. However, the Company is not able to predict with certainty the future impact of COVID-19 on its estimates and assumptions due to the rapidly changing nature of the COVID-19 pandemic.</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Company reports the results of operations of a business as discontinued operations if a disposal represents a strategic shift that has or will have a major effect on the Company’s operations and financial results when the business is sold and classified as held for sale, in accordance with the criteria of Accounting Standards Codification (“ASC”) 205, “Presentation of Financial Statements” (“ASC 205”) and ASC 360, “Property, Plant and Equipment” (“ASC 360”). The results of discontinued operations are reported in “Income from discontinued operations, net of tax” in the accompanying consolidated statements of operations for the year ended December 31, 2020 commencing in the period in which the business meets the criteria.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Company has assessed in accordance with ASC 830, “Foreign Currency Matters” (“ASC 830”), the functional currency of each of its subsidiaries in Luxembourg and the Netherlands and has designated the U.S. dollar to be their respective functional currencies. The Korean Won is the functional currency for the Company’s Korean subsidiary, which is the primary operating subsidiary of the Company. The Company and its other subsidiaries are utilizing their local currencies as their functional currencies. The financial statements of the subsidiaries in functional currencies other than the U.S. dollar are translated into the U.S. dollar in accordance with ASC 830.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 the respective periods. Foreign currency translation adjustments arising from differences in exchange rates from period to period are included in the foreign currency translation adjustment account in accumulated other comprehensive income or loss of stockholders’ equity. Foreign currency translation gains or losses on transactions by the Company or its subsidiaries in a currency other than its or its subsidiaries’ functional currency are included in foreign currency loss, net in its statements of operations.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86"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 when purchased.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Company makes estimates of expected credit losses for the allowance for credit losses based upon its assessment of various factors, including historical collection experience, the age of the accounts receivable balances, current economic conditions, reasonable and supportable forecasts of future economic conditions, and other factors that may affect its ability to collect from customers. The Company also records an estimate for sales returns, included within accounts receivable, net, based on the historical experience of the amount of goods that will be returned and refunded or replaced.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Accounts Receivable</w:t>
      </w:r>
    </w:p>
    <w:p>
      <w:pPr>
        <w:spacing w:after="0" w:line="117"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The Company accounts for transfers of financial assets under ASC 860, “Transfers and Servicing,” as either sales or financings. Transfers of financial assets that result in sales accounting are those in which (1) the transfer 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accounted for as a financing. Financial assets that are treated as sales are removed from the Company’s accounts with any realized gain or loss reflected in earning during the period of sale.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The Company evaluates the sufficiency of inventory reserves and takes into consideration historical usage, expected demand, anticipated sales price, new product development schedules, the effect new products might have on the sale of existing products, product age and other factors. Reserves are also established for excess inventory based on the Company’s current inventory levels and projected demand and its ability to sell those specific products. Situations that could cause these inventory reserves include a decline in business and economic conditions, decline in consumer confidence caused by changes in market conditions, sudden and significant decline in demand for the Company’s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72"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addition, as prescribed in ASC 330, “Inventory,” once a reserve is established for a particular item based on the Company’s assessment as described above, it is maintained until the related item is sold or scrapped as a new cost basis has been established that cannot subsequently be marked up. In addition, the cost of inventories is determined based on the normal capacity of the Company’s fabrication facility. In case the capacity utilization is lower than a certain level that management believes to be normal, the fixed overhead costs per production unit which exceeds those under normal capacity are charged to cost of sales rather than capitalized as inventories.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86" w:right="4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Company, from time to time, may make advances in form of prepayments or deposits to suppliers, including external foundries, to meet its planned production. The Company recorded advances of $6,605 thousand and $1,708 thousand as other current assets as of December 31, 2022 and 2021,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- 40 years</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Building related structures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c>
          <w:tcPr>
            <w:tcW w:w="800" w:type="dxa"/>
            <w:vAlign w:val="bottom"/>
          </w:tcPr>
          <w:p>
            <w:pPr>
              <w:ind w:left="20"/>
              <w:spacing w:after="0"/>
              <w:rPr>
                <w:sz w:val="20"/>
                <w:szCs w:val="20"/>
                <w:color w:val="auto"/>
              </w:rPr>
            </w:pPr>
            <w:r>
              <w:rPr>
                <w:rFonts w:ascii="Arial" w:cs="Arial" w:eastAsia="Arial" w:hAnsi="Arial"/>
                <w:sz w:val="18"/>
                <w:szCs w:val="18"/>
                <w:color w:val="auto"/>
                <w:w w:val="94"/>
              </w:rPr>
              <w:t>- 20 years</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- 12 years</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Others</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ind w:left="20"/>
              <w:spacing w:after="0"/>
              <w:rPr>
                <w:sz w:val="20"/>
                <w:szCs w:val="20"/>
                <w:color w:val="auto"/>
              </w:rPr>
            </w:pPr>
            <w:r>
              <w:rPr>
                <w:rFonts w:ascii="Arial" w:cs="Arial" w:eastAsia="Arial" w:hAnsi="Arial"/>
                <w:sz w:val="18"/>
                <w:szCs w:val="18"/>
                <w:color w:val="auto"/>
                <w:w w:val="94"/>
              </w:rPr>
              <w:t>- 10 years</w:t>
            </w:r>
          </w:p>
        </w:tc>
      </w:tr>
    </w:tbl>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Company reviews property, plant and equipment and other long-lived assets for impairment whenever events or changes in circumstances indicate that the carrying amount may not be recoverable in accordance with ASC 360, “Property, Plant and Equipment.” Recoverability is measured by comparing its carrying amount with the future net undiscounted cash flows the assets are expected to generate. If such assets are considered to be impaired, the impairment is measured as the difference between the carrying amount of the assets and the fair value of assets using the present value of the future net cash flows generated by the respective long-lived assets.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Company determines if an arrangement is a lease at inception of a contract considering whether the arrangement conveys the right to control the use of an identified asset over the period of use. Control of an underlying asset is conveyed if the Company has the right to direct the use of, and to obtain substantially all of the economic benefits from the use of, the identified asset. The Company accounts for lease transactions as either an operating or a finance lease, depending on the terms of the underlying lease arrangement. Assets related to operating leases are recorded on the balance sheet as operating lease right-of-use assets; the related liabilities are recorded as operating lease liabilities for the current portion and non-current operating lease liabilities for the non-current portion. Finance lease right-of-use assets are included in property, plant and equipment, net and the related lease liabilities are included in other current liabilities and other non-current liabilities on the consolidated balance sheets.</w:t>
      </w:r>
    </w:p>
    <w:p>
      <w:pPr>
        <w:spacing w:after="0" w:line="16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Right-of-use assets represent the Company’s right to use an underlying asset during the lease term and lease liabilities represent the Company’s obligation to make lease payments arising from the lease. Right-of-use assets and liabilities are recognized based on the present value of the future minimum lease payments over the lease term. As most of the Company’s leases do not provide a readily determinable implicit rate, the Company estimates its incremental borrowing rates in determining the present value of future payments based on the lease term of each lease and market information available at commencement date. Finance lease right-of-use assets are amortized on a straight-line basis over the respective lease term with the interest expense on the lease liability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86" w:right="4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recorded using the interest method. The amortization and interest expense are recorded separately in the consolidated statements of operations. Amortization of operating lease right-of-use assets and interest expense on operating lease liabilities are recognized on a straight-line basis over the respective lease term.</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An extension or contraction of a lease term is considered if the related option to extend or early terminate the lease is reasonably certain to be exercised by the Company. Operating lease right-of-use assets may also include any advance lease payments made and exclude lease incentives and initial direct costs incurred. The Company has lease agreements with lease and non-lease components, which are generally accounted for separately. For certain equipment leases, lease and non-lease components are accounted for as a single lease component.</w:t>
      </w:r>
    </w:p>
    <w:p>
      <w:pPr>
        <w:spacing w:after="0" w:line="171"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Variable lease payment amounts that cannot be determined at the commencement of the lease such as increases in lease payments based on changes in index rates are not included in the right-of-use assets or liabilities. These variable lease payments are expensed as incurred.</w:t>
      </w:r>
    </w:p>
    <w:p>
      <w:pPr>
        <w:spacing w:after="0" w:line="124"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Company does not recognize operating lease right-of-use assets and operating lease liabilities that arise from short-term leases but rather recognizes fixed lease payments in the statements of operations on a straight-line basis and variable payments in the period in which the related obligations incur.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Intellectual property assets acquired represent rights under patents, trademarks and property use rights and are amortized over their respective periods of benefit, ranging up to ten years, on a straight-line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Disclosures of Financial Instruments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follows ASC 820, “Fair Value Measurements and Disclosures” (“ASC 820”)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that prioritizes the inputs to valuation techniques used to measure fair value into three broad levels. The fair value hierarchy gives the highest priority to quoted prices (unadjusted) in active markets for identical assets or liabilities and the lowest priority to unobservable inputs. The three levels of fair value hierarchy defined by ASC 820 are:</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 at the measurement date.</w:t>
      </w:r>
    </w:p>
    <w:p>
      <w:pPr>
        <w:spacing w:after="0" w:line="117" w:lineRule="exact"/>
        <w:rPr>
          <w:sz w:val="20"/>
          <w:szCs w:val="20"/>
          <w:color w:val="auto"/>
        </w:rPr>
      </w:pPr>
    </w:p>
    <w:p>
      <w:pPr>
        <w:ind w:left="560" w:right="300" w:firstLine="423"/>
        <w:spacing w:after="0" w:line="308" w:lineRule="auto"/>
        <w:rPr>
          <w:sz w:val="20"/>
          <w:szCs w:val="20"/>
          <w:color w:val="auto"/>
        </w:rPr>
      </w:pPr>
      <w:r>
        <w:rPr>
          <w:rFonts w:ascii="Arial" w:cs="Arial" w:eastAsia="Arial" w:hAnsi="Arial"/>
          <w:sz w:val="17"/>
          <w:szCs w:val="17"/>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38" w:lineRule="exact"/>
        <w:rPr>
          <w:sz w:val="20"/>
          <w:szCs w:val="20"/>
          <w:color w:val="auto"/>
        </w:rPr>
      </w:pPr>
    </w:p>
    <w:p>
      <w:pPr>
        <w:ind w:left="560" w:right="60" w:firstLine="423"/>
        <w:spacing w:after="0" w:line="259" w:lineRule="auto"/>
        <w:rPr>
          <w:sz w:val="20"/>
          <w:szCs w:val="20"/>
          <w:color w:val="auto"/>
        </w:rPr>
      </w:pPr>
      <w:r>
        <w:rPr>
          <w:rFonts w:ascii="Arial" w:cs="Arial" w:eastAsia="Arial" w:hAnsi="Arial"/>
          <w:sz w:val="18"/>
          <w:szCs w:val="18"/>
          <w:color w:val="auto"/>
        </w:rPr>
        <w:t>Level 3—Inputs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defined by ASC 820, the fair value of a financial instrument is the amount at which the instrument could be exchanged in a current transaction between willing parties, other than in a forced or liquidation sale, which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86"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was further clarified as the price that would be received to sell an asset or paid to transfer a liability (“an exit price”) in an orderly transaction between market participants at the measurement date. The carrying amounts of the Company’s financial assets and liabilities, such as cash equivalents, accounts receivable, other receivables, accounts payable and other accounts payable approximate their fair values because of the short maturity of these instruments.</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Severance Benefits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Magnachip Semiconductor, Ltd. Pursuant to Employee Retirement Benefit Security Act of Korea, eligible employees and executive officers with one or more years of service are entitled to severance benefits upon the termination of their employment based on their length of service and rate of pay. As of December 31, 2022, 97% of all employees of the Company were eligible for severance benefits.</w:t>
      </w:r>
    </w:p>
    <w:p>
      <w:pPr>
        <w:spacing w:after="0" w:line="18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Beginning in July 2018, the Company began contributing to certain severance insurance deposit accounts a percentage of severance benefits, which may be adjusted from time to time, accrued for eligible employees for their services beginning January 1, 2018 pursuant to Employee Retirement Benefit Security Act of Korea. These accounts consist of time deposits and other guaranteed principal and interest accounts, and are maintained at insurance companies, banks or security companies for the benefit of the Company’s employees.</w:t>
      </w:r>
    </w:p>
    <w:p>
      <w:pPr>
        <w:spacing w:after="0" w:line="17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Accrued severance benefits were partly funded through a group severance insurance plan. The amounts funded under this insurance plan were classified as a reduction of the accrued severance benefits.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was deposited with the National Pension Fund and deducted from the accrued severance benefits. The contributed amount is paid to employees from the National Pension Fund upon their retirement.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Company recognizes revenue when it satisfies the performance obligation of transferring control over a product or service to a customer. Revenue is measured based on the consideration specified in a contract with a customer, which consideration is paid in exchange for a product or service.</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Company sells products manufactured based on the Company’s design. The Company’s products are either standardized with an alternative use or the Company does not have an enforceable right to payment for the related manufacturing services completed to date. Therefore, revenue for the products is recognized when a customer obtains control of the product, which is generally upon product shipment, delivery at the customer’s location or upon customer acceptance, depending on the terms of the arrangement.</w:t>
      </w:r>
    </w:p>
    <w:p>
      <w:pPr>
        <w:spacing w:after="0" w:line="18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accordance with revenue recognition guidance, any tax assessed by a governmental authority that is both imposed on and concurrent with a specific revenue-producing transaction, and that is collected by the Company from a customer, is excluded from revenue and related revenue is presented in the statements of operations on a net basis.</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Company provides warranties under which customers can return defective products. The Company estimates the costs related to warranty claims and repair or replacements, and records them as components of cost of sales.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86" w:right="49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addition, the Company offers sales returns (other than those that relate to defective products under warranty), cash discounts for early payments and sales incentives, and certain allowances to the Company’s customers, including the Company’s distributors. The Company records reserves for those returns, discounts, incentives and allowances as a deduction from sales, based on historical experience and other quantitative and qualitative factors.</w:t>
      </w:r>
    </w:p>
    <w:p>
      <w:pPr>
        <w:spacing w:after="0" w:line="176"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Substantially all of the Company’s contracts are one year or less in duration. The standard payment terms with customers are generally thirty to sixty days from the time of shipment, product delivery to the customer’s location or customer acceptance, depending on the terms of the related arrangement.</w:t>
      </w:r>
    </w:p>
    <w:p>
      <w:pPr>
        <w:spacing w:after="0" w:line="18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All amounts billed to a customer related to shipping and handling are classified as sales while all costs incurred by the Company for shipping and handling are classified as selling, general and administrative expenses. The amounts charged to selling, general and administrative expenses were $1,060 thousand, $1,271 thousand and $993 thousand for the years ended December 31, 2022, 2021 and 2020, respectively.</w:t>
      </w:r>
    </w:p>
    <w:p>
      <w:pPr>
        <w:spacing w:after="0" w:line="165"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Of the recorded deferred revenue of $2,383 thousand as of December 31, 2021 and $2,680 thousand as of December 31, 2020, $2,383 thousand and $2,680 thousand were recognized as revenue during the years ended December 31, 2022 and 2021, respectively.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expenses advertising costs as incurred. Advertising expenses were $46 thousand, $71 thousand and $87 thousand for the years ended December 31, 2022, 2021 and 2020,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Company records, in other current liabilities, warranty liabilities for the estimated costs that may be incurred under its basic limited warranty. The standard limited warranty period is one to two years for the majority of products. This warranty covers defective products, and related liabilities are accrued when product revenues are recognized. Factors that affect the Company’s warranty liabilities include historical and anticipated rates of warranty claims and repair or replacement costs per claim to satisfy the Company’s warranty obligation. The Company periodically assesses the adequacy of those recorded warranty liabilities and adjusts its estimates when necessary.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Company applies the provisions of ASC 815, “Derivatives and Hedging” (“ASC 815”). This statement requires the recognition of all derivative instruments as either assets or liabilities measured at fair value.</w:t>
      </w:r>
    </w:p>
    <w:p>
      <w:pPr>
        <w:spacing w:after="0" w:line="170"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Under the provisions of ASC 815,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86" w:right="4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 The Company does not offset derivative assets and liabilities within the consolidated balance sheets.</w:t>
      </w:r>
    </w:p>
    <w:p>
      <w:pPr>
        <w:spacing w:after="0" w:line="16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In accordance with ASC 815, changes in the fair value of derivative instruments that are cash flow hedges are recognized in accumulated other comprehensive income or loss and reclassified into earnings in the period in which the hedged item affects earnings. Derivative instruments that do not qualify, or cease to qualify, as hedges must be adjusted to fair value and the adjustments are recorded through net income or loss.</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cash flows from derivative instruments receiving hedge accounting treatment are classified in the same categories as the hedged items in the consolidated statements of cash flows.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Research and development expenses are expensed as incurred and include wafers, masks, employee expenses, contractor fees, building costs, utilities and administrative expenses.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Licensed Patents and Technologies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Company has entered into a number of royalty agreements to license patents and technology used in the design of its products. The Company carries two types of royalties: lump-sum and running basis. Lump-sum royalties, which require initial payments, usually paid in installments, represent a non-refundable commitment, such that the total present value of these payments is recorded as a prepaid expense and a liability upon execution of the agreements and the costs are amortized over the contract period using the straight-line method and charged to research and development expenses in the consolidated statements of operations.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Running royalties are paid based on the revenue of related products sold by the Company.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Company follows the provisions of ASC 718, “Compensation-Stock Compensation” (“ASC 718”). Under ASC 718, stock-based compensation cost is measured at the grant date, based on the fair value of the award, and is recognized as expense, net of the estimated forfeiture rate, over the requisite service period. As permitted under ASC 718, the Company elected to recognize compensation expense for all options with graded vesting based on the graded attribution method.</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uses the Black-Scholes option-pricing model to measure the grant-date-fair-value of options. The Black-Scholes model requires certain assumptions to determine an option’s fair value, including expected term, risk free interest rate and expected volatility. The expected term of each option grant was based on employees’ expected exercises and post-vesting employment termination behavior and the risk free interest rate was based on the U.S. Treasury yield curve for the period corresponding with the expected term at the time of grant. No dividends were assumed for this calculation of option value.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accordance with ASC 260, “Earnings Per Share”, the Company computes basic earnings per share by dividing net income or loss available to common stockholders by the weighted average number of common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86" w:right="4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shares outstanding during the period. Diluted earnings per share reflect the dilution of potential common stock outstanding during the period including stock options and restricted stock units, using the treasury stock method (by using the average stock price for the period to determine the number of shares assumed to be purchased from the exercise of stock options and restricted stock units), and convertibles, using the if-converted method. In determining the hypothetical shares repurchased, the Company uses the average share price for the period. In the case that earnings are negative, any potential common stock equivalents would have the effect of being anti-dilutive in the computation of net loss per share.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Company accounts for income taxes in accordance with ASC 740, “Income Taxes”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basis of assets and liabilities using enacted tax rates in effect in the years in which the differences are expected to reverse. Income tax expense is the tax payable for the period and the change during the period in deferred tax assets and liabilities. Valuation allowances are established when it is necessary to reduce deferred tax assets to the amount expected to be realized. The evaluation of the recoverability of the deferred tax assets and the need for a valuation allowance requires management to weigh all positive and negative evidence to reach a conclusion that it is more likely than not that all or some portion of the deferred tax assets will not be realized. Realization of the future tax benefits related to the deferred tax assets is dependent on many factors, including historical operating results, expected timing of the reversals of existing temporary differences, the Company’s ability to generate future taxable income, and tax planning strategies.</w:t>
      </w:r>
    </w:p>
    <w:p>
      <w:pPr>
        <w:spacing w:after="0" w:line="185"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Company recognizes and measures uncertain tax positions taken or expected to be taken in a tax return utilizing a two-step process. In the first step, recognition, the Company determines whether it is more likely than not that a tax position will be sustained upon examination, including resolution of any related appeals or litigation processes, based on the technical merits of the position. The second step addresses measurement of a tax position that meets the more likely than not criteria. The tax position is measured at the largest amount of benefit that has a likelihood of greater than 50 percent of being realized upon ultimate settlement.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 performs periodic credit evaluations of its customers’ financial condition and generally does not require collateral for customers on accounts receivable. The Company maintains reserves for potential credit losses, which are periodically reviewed.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No. 2020-06, “Debt—Debt with Conversion and Other Options (Subtopic 470-20) and Derivatives and Hedging—Contracts in Entity’s Own Equity (Subtopic 815-40)” (“ASU 2020-06”), which updates various codification topics to simplify the accounting guidance for certain financial instruments with characteristics of liabilities and equity, with a specific focus on convertible instruments and the derivative scope exception for contracts in an entity’s own equity and amends the diluted EPS computation for these instruments. The Company adopted ASU 2020-06 as of January 1, 2022, and the adoption of ASU 2020-06 did not have an impact on the Company’s consolidated financial statements.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86" w:right="47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May 2021, the FASB issued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(“ASU 2021-04”), ASU 2021-04 clarifies the accounting for modifications or exchanges of freestanding equity-classified written call options so that the transaction should be treated as an exchange of the original instrument for a new instrument. The Company adopted ASU 2021-04 as of January 1, 2022, and the adoption of ASU 2021-04 did not have an impact on the Company’s consolidated financial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Discontinued Operations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On September 1, 2020, the Company completed the sale of its Foundry Services Group business and Fab 4. As a result of the sale of the Foundry Services Group business and Fab 4, the Company recorded a gain of $287,117 thousand and all operations from the Foundry Services Group business and Fab 4 were classified as discontinued operations for all periods presented. Following the consummation of the sale, and for up to three years, the Company is expected to provide the Transitional Fab 3 Foundry Services at an agreed upon cost plus mark-up. For the periods prior to the Closing Date, revenue from providing the Transitional Fab 3 Foundry Services to the Foundry Services Group is recorded at cost on both of the continuing and discontinued businesses for comparative purposes. Cash inflows to the Company from the Buyer related to providing the Transitional Fab 3 Foundry Services were $41,115 thousand, $46,611 thousand and $7,643 thousand for the years ended December 31, 2022, 2021 and 2020, respectively.</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86" w:right="4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results from discontinued operations, net of tax, for the year ended December 31, 2020.</w:t>
      </w:r>
    </w:p>
    <w:p>
      <w:pPr>
        <w:sectPr>
          <w:pgSz w:w="11900" w:h="16838" w:orient="portrait"/>
          <w:cols w:equalWidth="0" w:num="1">
            <w:col w:w="11100"/>
          </w:cols>
          <w:pgMar w:left="320" w:top="48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Net sales—Foundry Services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Net sales—transitional Fab 3 foundry services</w:t>
      </w:r>
    </w:p>
    <w:p>
      <w:pPr>
        <w:spacing w:after="0" w:line="2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Cost of sales:</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Cost of sales—Foundry Services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Cost of sales—transitional Fab 3 foundry services</w:t>
      </w:r>
    </w:p>
    <w:p>
      <w:pPr>
        <w:spacing w:after="0" w:line="2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Total cost of sales</w:t>
      </w:r>
    </w:p>
    <w:p>
      <w:pPr>
        <w:spacing w:after="0" w:line="3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Selling, general and administrative expenses</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Restructuring and other charges</w:t>
      </w:r>
    </w:p>
    <w:p>
      <w:pPr>
        <w:spacing w:after="0" w:line="2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Operating income from discontinued operations</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Foreign currency gain,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Others, net</w:t>
      </w:r>
    </w:p>
    <w:p>
      <w:pPr>
        <w:spacing w:after="0" w:line="22" w:lineRule="exact"/>
        <w:rPr>
          <w:sz w:val="20"/>
          <w:szCs w:val="20"/>
          <w:color w:val="auto"/>
        </w:rPr>
      </w:pPr>
    </w:p>
    <w:p>
      <w:pPr>
        <w:ind w:left="1440" w:right="1072"/>
        <w:spacing w:after="0" w:line="258" w:lineRule="auto"/>
        <w:rPr>
          <w:sz w:val="20"/>
          <w:szCs w:val="20"/>
          <w:color w:val="auto"/>
        </w:rPr>
      </w:pPr>
      <w:r>
        <w:rPr>
          <w:rFonts w:ascii="Arial" w:cs="Arial" w:eastAsia="Arial" w:hAnsi="Arial"/>
          <w:sz w:val="18"/>
          <w:szCs w:val="18"/>
          <w:color w:val="auto"/>
        </w:rPr>
        <w:t>Income from discontinued operations before income tax expense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-135890</wp:posOffset>
            </wp:positionV>
            <wp:extent cx="531495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Gain on sale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Transaction costs</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Income from discontinued operations, net of tax</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528"/>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328"/>
        <w:spacing w:after="0"/>
        <w:rPr>
          <w:sz w:val="20"/>
          <w:szCs w:val="20"/>
          <w:color w:val="auto"/>
        </w:rPr>
      </w:pPr>
      <w:r>
        <w:rPr>
          <w:rFonts w:ascii="Arial" w:cs="Arial" w:eastAsia="Arial" w:hAnsi="Arial"/>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1487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ind w:left="8"/>
        <w:spacing w:after="0"/>
        <w:rPr>
          <w:sz w:val="20"/>
          <w:szCs w:val="20"/>
          <w:color w:val="auto"/>
        </w:rPr>
      </w:pPr>
      <w:r>
        <w:rPr>
          <w:rFonts w:ascii="Arial" w:cs="Arial" w:eastAsia="Arial" w:hAnsi="Arial"/>
          <w:sz w:val="13"/>
          <w:szCs w:val="13"/>
          <w:b w:val="1"/>
          <w:bCs w:val="1"/>
          <w:color w:val="auto"/>
        </w:rPr>
        <w:t>(In thousands of U.S. dollars)</w:t>
      </w:r>
    </w:p>
    <w:p>
      <w:pPr>
        <w:spacing w:after="0" w:line="207" w:lineRule="exact"/>
        <w:rPr>
          <w:sz w:val="20"/>
          <w:szCs w:val="20"/>
          <w:color w:val="auto"/>
        </w:rPr>
      </w:pPr>
    </w:p>
    <w:p>
      <w:pPr>
        <w:ind w:left="1228" w:hanging="1228"/>
        <w:spacing w:after="0"/>
        <w:tabs>
          <w:tab w:leader="none" w:pos="12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254,732</w:t>
      </w:r>
    </w:p>
    <w:p>
      <w:pPr>
        <w:spacing w:after="0" w:line="34" w:lineRule="exact"/>
        <w:rPr>
          <w:rFonts w:ascii="Arial" w:cs="Arial" w:eastAsia="Arial" w:hAnsi="Arial"/>
          <w:sz w:val="17"/>
          <w:szCs w:val="17"/>
          <w:color w:val="auto"/>
        </w:rPr>
      </w:pPr>
    </w:p>
    <w:p>
      <w:pPr>
        <w:ind w:left="1248"/>
        <w:spacing w:after="0"/>
        <w:rPr>
          <w:rFonts w:ascii="Arial" w:cs="Arial" w:eastAsia="Arial" w:hAnsi="Arial"/>
          <w:sz w:val="17"/>
          <w:szCs w:val="17"/>
          <w:color w:val="auto"/>
        </w:rPr>
      </w:pPr>
      <w:r>
        <w:rPr>
          <w:rFonts w:ascii="Arial" w:cs="Arial" w:eastAsia="Arial" w:hAnsi="Arial"/>
          <w:sz w:val="16"/>
          <w:szCs w:val="16"/>
          <w:color w:val="auto"/>
        </w:rPr>
        <w:t>(25,887)</w:t>
      </w:r>
    </w:p>
    <w:p>
      <w:pPr>
        <w:spacing w:after="0" w:line="44" w:lineRule="exact"/>
        <w:rPr>
          <w:rFonts w:ascii="Arial" w:cs="Arial" w:eastAsia="Arial" w:hAnsi="Arial"/>
          <w:sz w:val="17"/>
          <w:szCs w:val="17"/>
          <w:color w:val="auto"/>
        </w:rPr>
      </w:pPr>
    </w:p>
    <w:p>
      <w:pPr>
        <w:ind w:left="1228"/>
        <w:spacing w:after="0"/>
        <w:rPr>
          <w:rFonts w:ascii="Arial" w:cs="Arial" w:eastAsia="Arial" w:hAnsi="Arial"/>
          <w:sz w:val="17"/>
          <w:szCs w:val="17"/>
          <w:color w:val="auto"/>
        </w:rPr>
      </w:pPr>
      <w:r>
        <w:rPr>
          <w:rFonts w:ascii="Arial" w:cs="Arial" w:eastAsia="Arial" w:hAnsi="Arial"/>
          <w:sz w:val="17"/>
          <w:szCs w:val="17"/>
          <w:color w:val="auto"/>
        </w:rPr>
        <w:t>228,845</w:t>
      </w:r>
    </w:p>
    <w:p>
      <w:pPr>
        <w:spacing w:after="0" w:line="236" w:lineRule="exact"/>
        <w:rPr>
          <w:rFonts w:ascii="Arial" w:cs="Arial" w:eastAsia="Arial" w:hAnsi="Arial"/>
          <w:sz w:val="17"/>
          <w:szCs w:val="17"/>
          <w:color w:val="auto"/>
        </w:rPr>
      </w:pPr>
    </w:p>
    <w:p>
      <w:pPr>
        <w:ind w:left="1228"/>
        <w:spacing w:after="0"/>
        <w:rPr>
          <w:rFonts w:ascii="Arial" w:cs="Arial" w:eastAsia="Arial" w:hAnsi="Arial"/>
          <w:sz w:val="17"/>
          <w:szCs w:val="17"/>
          <w:color w:val="auto"/>
        </w:rPr>
      </w:pPr>
      <w:r>
        <w:rPr>
          <w:rFonts w:ascii="Arial" w:cs="Arial" w:eastAsia="Arial" w:hAnsi="Arial"/>
          <w:sz w:val="17"/>
          <w:szCs w:val="17"/>
          <w:color w:val="auto"/>
        </w:rPr>
        <w:t>182,872</w:t>
      </w:r>
    </w:p>
    <w:p>
      <w:pPr>
        <w:spacing w:after="0" w:line="34" w:lineRule="exact"/>
        <w:rPr>
          <w:rFonts w:ascii="Arial" w:cs="Arial" w:eastAsia="Arial" w:hAnsi="Arial"/>
          <w:sz w:val="17"/>
          <w:szCs w:val="17"/>
          <w:color w:val="auto"/>
        </w:rPr>
      </w:pPr>
    </w:p>
    <w:p>
      <w:pPr>
        <w:ind w:left="1248"/>
        <w:spacing w:after="0"/>
        <w:rPr>
          <w:rFonts w:ascii="Arial" w:cs="Arial" w:eastAsia="Arial" w:hAnsi="Arial"/>
          <w:sz w:val="17"/>
          <w:szCs w:val="17"/>
          <w:color w:val="auto"/>
        </w:rPr>
      </w:pPr>
      <w:r>
        <w:rPr>
          <w:rFonts w:ascii="Arial" w:cs="Arial" w:eastAsia="Arial" w:hAnsi="Arial"/>
          <w:sz w:val="16"/>
          <w:szCs w:val="16"/>
          <w:color w:val="auto"/>
        </w:rPr>
        <w:t>(25,887)</w:t>
      </w:r>
    </w:p>
    <w:p>
      <w:pPr>
        <w:spacing w:after="0" w:line="44" w:lineRule="exact"/>
        <w:rPr>
          <w:rFonts w:ascii="Arial" w:cs="Arial" w:eastAsia="Arial" w:hAnsi="Arial"/>
          <w:sz w:val="17"/>
          <w:szCs w:val="17"/>
          <w:color w:val="auto"/>
        </w:rPr>
      </w:pPr>
    </w:p>
    <w:p>
      <w:pPr>
        <w:ind w:left="1228"/>
        <w:spacing w:after="0"/>
        <w:rPr>
          <w:rFonts w:ascii="Arial" w:cs="Arial" w:eastAsia="Arial" w:hAnsi="Arial"/>
          <w:sz w:val="17"/>
          <w:szCs w:val="17"/>
          <w:color w:val="auto"/>
        </w:rPr>
      </w:pPr>
      <w:r>
        <w:rPr>
          <w:rFonts w:ascii="Arial" w:cs="Arial" w:eastAsia="Arial" w:hAnsi="Arial"/>
          <w:sz w:val="17"/>
          <w:szCs w:val="17"/>
          <w:color w:val="auto"/>
        </w:rPr>
        <w:t>156,985</w:t>
      </w:r>
    </w:p>
    <w:p>
      <w:pPr>
        <w:spacing w:after="0" w:line="47" w:lineRule="exact"/>
        <w:rPr>
          <w:rFonts w:ascii="Arial" w:cs="Arial" w:eastAsia="Arial" w:hAnsi="Arial"/>
          <w:sz w:val="17"/>
          <w:szCs w:val="17"/>
          <w:color w:val="auto"/>
        </w:rPr>
      </w:pPr>
    </w:p>
    <w:p>
      <w:pPr>
        <w:ind w:left="1308"/>
        <w:spacing w:after="0"/>
        <w:rPr>
          <w:rFonts w:ascii="Arial" w:cs="Arial" w:eastAsia="Arial" w:hAnsi="Arial"/>
          <w:sz w:val="17"/>
          <w:szCs w:val="17"/>
          <w:color w:val="auto"/>
        </w:rPr>
      </w:pPr>
      <w:r>
        <w:rPr>
          <w:rFonts w:ascii="Arial" w:cs="Arial" w:eastAsia="Arial" w:hAnsi="Arial"/>
          <w:sz w:val="18"/>
          <w:szCs w:val="18"/>
          <w:color w:val="auto"/>
        </w:rPr>
        <w:t>71,860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-859155</wp:posOffset>
            </wp:positionV>
            <wp:extent cx="11487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487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-293370</wp:posOffset>
            </wp:positionV>
            <wp:extent cx="11487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11487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05" w:lineRule="exact"/>
        <w:rPr>
          <w:sz w:val="20"/>
          <w:szCs w:val="20"/>
          <w:color w:val="auto"/>
        </w:rPr>
      </w:pPr>
    </w:p>
    <w:p>
      <w:pPr>
        <w:ind w:left="1308"/>
        <w:spacing w:after="0"/>
        <w:rPr>
          <w:sz w:val="20"/>
          <w:szCs w:val="20"/>
          <w:color w:val="auto"/>
        </w:rPr>
      </w:pPr>
      <w:r>
        <w:rPr>
          <w:rFonts w:ascii="Arial" w:cs="Arial" w:eastAsia="Arial" w:hAnsi="Arial"/>
          <w:sz w:val="18"/>
          <w:szCs w:val="18"/>
          <w:color w:val="auto"/>
        </w:rPr>
        <w:t>14,797</w:t>
      </w:r>
    </w:p>
    <w:p>
      <w:pPr>
        <w:spacing w:after="0" w:line="23" w:lineRule="exact"/>
        <w:rPr>
          <w:sz w:val="20"/>
          <w:szCs w:val="20"/>
          <w:color w:val="auto"/>
        </w:rPr>
      </w:pPr>
    </w:p>
    <w:p>
      <w:pPr>
        <w:ind w:left="1308"/>
        <w:spacing w:after="0"/>
        <w:rPr>
          <w:sz w:val="20"/>
          <w:szCs w:val="20"/>
          <w:color w:val="auto"/>
        </w:rPr>
      </w:pPr>
      <w:r>
        <w:rPr>
          <w:rFonts w:ascii="Arial" w:cs="Arial" w:eastAsia="Arial" w:hAnsi="Arial"/>
          <w:sz w:val="18"/>
          <w:szCs w:val="18"/>
          <w:color w:val="auto"/>
        </w:rPr>
        <w:t>19,484</w:t>
      </w:r>
    </w:p>
    <w:p>
      <w:pPr>
        <w:spacing w:after="0" w:line="9" w:lineRule="exact"/>
        <w:rPr>
          <w:sz w:val="20"/>
          <w:szCs w:val="20"/>
          <w:color w:val="auto"/>
        </w:rPr>
      </w:pPr>
    </w:p>
    <w:p>
      <w:pPr>
        <w:ind w:left="1308"/>
        <w:spacing w:after="0"/>
        <w:rPr>
          <w:sz w:val="20"/>
          <w:szCs w:val="20"/>
          <w:color w:val="auto"/>
        </w:rPr>
      </w:pPr>
      <w:r>
        <w:rPr>
          <w:rFonts w:ascii="Arial" w:cs="Arial" w:eastAsia="Arial" w:hAnsi="Arial"/>
          <w:sz w:val="18"/>
          <w:szCs w:val="18"/>
          <w:color w:val="auto"/>
        </w:rPr>
        <w:t>15,873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1487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 w:lineRule="exact"/>
        <w:rPr>
          <w:sz w:val="20"/>
          <w:szCs w:val="20"/>
          <w:color w:val="auto"/>
        </w:rPr>
      </w:pPr>
    </w:p>
    <w:p>
      <w:pPr>
        <w:ind w:left="1308"/>
        <w:spacing w:after="0"/>
        <w:rPr>
          <w:sz w:val="20"/>
          <w:szCs w:val="20"/>
          <w:color w:val="auto"/>
        </w:rPr>
      </w:pPr>
      <w:r>
        <w:rPr>
          <w:rFonts w:ascii="Arial" w:cs="Arial" w:eastAsia="Arial" w:hAnsi="Arial"/>
          <w:sz w:val="18"/>
          <w:szCs w:val="18"/>
          <w:color w:val="auto"/>
        </w:rPr>
        <w:t>50,154</w:t>
      </w:r>
    </w:p>
    <w:p>
      <w:pPr>
        <w:spacing w:after="0" w:line="23" w:lineRule="exact"/>
        <w:rPr>
          <w:sz w:val="20"/>
          <w:szCs w:val="20"/>
          <w:color w:val="auto"/>
        </w:rPr>
      </w:pPr>
    </w:p>
    <w:p>
      <w:pPr>
        <w:ind w:left="1308"/>
        <w:spacing w:after="0"/>
        <w:rPr>
          <w:sz w:val="20"/>
          <w:szCs w:val="20"/>
          <w:color w:val="auto"/>
        </w:rPr>
      </w:pPr>
      <w:r>
        <w:rPr>
          <w:rFonts w:ascii="Arial" w:cs="Arial" w:eastAsia="Arial" w:hAnsi="Arial"/>
          <w:sz w:val="18"/>
          <w:szCs w:val="18"/>
          <w:color w:val="auto"/>
        </w:rPr>
        <w:t>21,706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1487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1,277</w:t>
      </w:r>
    </w:p>
    <w:p>
      <w:pPr>
        <w:spacing w:after="0" w:line="23"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1487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23,055</w:t>
      </w:r>
    </w:p>
    <w:p>
      <w:pPr>
        <w:spacing w:after="0" w:line="23"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11,452</w:t>
      </w:r>
    </w:p>
    <w:p>
      <w:pPr>
        <w:spacing w:after="0" w:line="9"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287,117</w:t>
      </w:r>
    </w:p>
    <w:p>
      <w:pPr>
        <w:spacing w:after="0" w:line="9"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(10,814)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1487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 w:lineRule="exact"/>
        <w:rPr>
          <w:sz w:val="20"/>
          <w:szCs w:val="20"/>
          <w:color w:val="auto"/>
        </w:rPr>
      </w:pPr>
    </w:p>
    <w:p>
      <w:pPr>
        <w:ind w:left="1228"/>
        <w:spacing w:after="0"/>
        <w:rPr>
          <w:sz w:val="20"/>
          <w:szCs w:val="20"/>
          <w:color w:val="auto"/>
        </w:rPr>
      </w:pPr>
      <w:r>
        <w:rPr>
          <w:rFonts w:ascii="Arial" w:cs="Arial" w:eastAsia="Arial" w:hAnsi="Arial"/>
          <w:sz w:val="17"/>
          <w:szCs w:val="17"/>
          <w:color w:val="auto"/>
        </w:rPr>
        <w:t>287,906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1487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487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11487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172" w:space="720"/>
            <w:col w:w="3208"/>
          </w:cols>
          <w:pgMar w:left="320" w:top="486" w:right="479" w:bottom="1440" w:gutter="0" w:footer="0" w:header="0"/>
          <w:type w:val="continuous"/>
        </w:sectPr>
      </w:pPr>
    </w:p>
    <w:p>
      <w:pPr>
        <w:spacing w:after="0" w:line="106"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For the year ended December 31, 2020, the Company recorded $15,873 thousand, in professional fees and transaction related expenses incurred in connection with the sale of the Foundry Services Group business and Fab 4, and recorded such costs as restructuring and other charges.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supplemental cash flows information related to discontinued operations: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December 31, 2020</w:t>
            </w:r>
          </w:p>
        </w:tc>
      </w:tr>
      <w:tr>
        <w:trPr>
          <w:trHeight w:val="142"/>
        </w:trPr>
        <w:tc>
          <w:tcPr>
            <w:tcW w:w="35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 of U.S. dollars)</w:t>
            </w:r>
          </w:p>
        </w:tc>
        <w:tc>
          <w:tcPr>
            <w:tcW w:w="10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Significant non-cash operating activities:</w:t>
            </w: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14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5,365</w:t>
            </w: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8,209</w:t>
            </w: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5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314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(5,838)</w:t>
            </w:r>
          </w:p>
        </w:tc>
      </w:tr>
      <w:tr>
        <w:trPr>
          <w:trHeight w:val="445"/>
        </w:trPr>
        <w:tc>
          <w:tcPr>
            <w:tcW w:w="3520" w:type="dxa"/>
            <w:vAlign w:val="bottom"/>
          </w:tcPr>
          <w:p>
            <w:pPr>
              <w:spacing w:after="0"/>
              <w:rPr>
                <w:sz w:val="24"/>
                <w:szCs w:val="24"/>
                <w:color w:val="auto"/>
              </w:rPr>
            </w:pPr>
          </w:p>
        </w:tc>
        <w:tc>
          <w:tcPr>
            <w:tcW w:w="2940" w:type="dxa"/>
            <w:vAlign w:val="bottom"/>
          </w:tcPr>
          <w:p>
            <w:pPr>
              <w:jc w:val="right"/>
              <w:ind w:right="209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ASC 820 defines fair value, establishes a consistent framework for measuring fair value and expands disclosure requirements about fair value measurements. ASC 820 requires, among other things, the Company’s valuation techniques used to measure fair value to maximize the use of observable inputs and minimize the use of unobservable inputs.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As of December 31, 2022, the following table represents the Company’s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1"/>
              </w:rPr>
              <w:t>Quoted Prices in</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5"/>
              </w:rPr>
              <w:t>Fair Value</w:t>
            </w:r>
          </w:p>
        </w:tc>
        <w:tc>
          <w:tcPr>
            <w:tcW w:w="1700" w:type="dxa"/>
            <w:vAlign w:val="bottom"/>
            <w:gridSpan w:val="2"/>
            <w:vMerge w:val="continue"/>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5"/>
              </w:rPr>
              <w:t>Carrying Value</w:t>
            </w: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7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Measurement</w:t>
            </w:r>
          </w:p>
        </w:tc>
        <w:tc>
          <w:tcPr>
            <w:tcW w:w="17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17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December 31, 2022</w:t>
            </w:r>
          </w:p>
        </w:tc>
        <w:tc>
          <w:tcPr>
            <w:tcW w:w="17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Liability (Level 1)</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tcPr>
          <w:p>
            <w:pPr>
              <w:ind w:left="360"/>
              <w:spacing w:after="0" w:line="201" w:lineRule="exact"/>
              <w:rPr>
                <w:sz w:val="20"/>
                <w:szCs w:val="20"/>
                <w:color w:val="auto"/>
              </w:rPr>
            </w:pPr>
            <w:r>
              <w:rPr>
                <w:rFonts w:ascii="Arial" w:cs="Arial" w:eastAsia="Arial" w:hAnsi="Arial"/>
                <w:sz w:val="18"/>
                <w:szCs w:val="18"/>
                <w:color w:val="auto"/>
              </w:rPr>
              <w:t>Derivative liabilities (other current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54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2,015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2,015</w:t>
            </w:r>
          </w:p>
        </w:tc>
        <w:tc>
          <w:tcPr>
            <w:tcW w:w="17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right="580"/>
              <w:spacing w:after="0"/>
              <w:rPr>
                <w:sz w:val="20"/>
                <w:szCs w:val="20"/>
                <w:color w:val="auto"/>
              </w:rPr>
            </w:pPr>
            <w:r>
              <w:rPr>
                <w:rFonts w:ascii="Arial" w:cs="Arial" w:eastAsia="Arial" w:hAnsi="Arial"/>
                <w:sz w:val="18"/>
                <w:szCs w:val="18"/>
                <w:color w:val="auto"/>
              </w:rPr>
              <w:t>$   2,015</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of December 31, 2021, the following table represents the Company’s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1"/>
              </w:rPr>
              <w:t>Quoted Prices in</w:t>
            </w: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5"/>
              </w:rPr>
              <w:t>Fair Value</w:t>
            </w:r>
          </w:p>
        </w:tc>
        <w:tc>
          <w:tcPr>
            <w:tcW w:w="1760" w:type="dxa"/>
            <w:vAlign w:val="bottom"/>
            <w:gridSpan w:val="2"/>
            <w:vMerge w:val="continue"/>
          </w:tcPr>
          <w:p>
            <w:pPr>
              <w:spacing w:after="0"/>
              <w:rPr>
                <w:sz w:val="12"/>
                <w:szCs w:val="12"/>
                <w:color w:val="auto"/>
              </w:rPr>
            </w:pP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Measurement</w:t>
            </w:r>
          </w:p>
        </w:tc>
        <w:tc>
          <w:tcPr>
            <w:tcW w:w="17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18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1"/>
              </w:rPr>
              <w:t>December 31, 2021</w:t>
            </w:r>
          </w:p>
        </w:tc>
        <w:tc>
          <w:tcPr>
            <w:tcW w:w="17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Liability (Level 1)</w:t>
            </w: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tcPr>
          <w:p>
            <w:pPr>
              <w:ind w:left="360"/>
              <w:spacing w:after="0" w:line="201" w:lineRule="exact"/>
              <w:rPr>
                <w:sz w:val="20"/>
                <w:szCs w:val="20"/>
                <w:color w:val="auto"/>
              </w:rPr>
            </w:pPr>
            <w:r>
              <w:rPr>
                <w:rFonts w:ascii="Arial" w:cs="Arial" w:eastAsia="Arial" w:hAnsi="Arial"/>
                <w:sz w:val="18"/>
                <w:szCs w:val="18"/>
                <w:color w:val="auto"/>
              </w:rPr>
              <w:t>Derivative liabilities (other</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54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2,020</w:t>
            </w:r>
          </w:p>
        </w:tc>
        <w:tc>
          <w:tcPr>
            <w:tcW w:w="17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640"/>
              <w:spacing w:after="0"/>
              <w:rPr>
                <w:sz w:val="20"/>
                <w:szCs w:val="20"/>
                <w:color w:val="auto"/>
              </w:rPr>
            </w:pPr>
            <w:r>
              <w:rPr>
                <w:rFonts w:ascii="Arial" w:cs="Arial" w:eastAsia="Arial" w:hAnsi="Arial"/>
                <w:sz w:val="18"/>
                <w:szCs w:val="18"/>
                <w:color w:val="auto"/>
              </w:rPr>
              <w:t>$   2,020</w:t>
            </w: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December 31, 2022 and 2021, the Company did not have any assets or liabilities measured at fair value on a non-recurring basis.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86"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Accounts Receivable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Accounts receivable as of December 31, 2022 and 2021 consisted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$35,610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$50,363</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Notes receivable</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1,242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Allowance for credit losses</w:t>
            </w: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(79)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(466)</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return reserves</w:t>
            </w:r>
          </w:p>
        </w:tc>
        <w:tc>
          <w:tcPr>
            <w:tcW w:w="11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(183)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35,380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50,954</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allowance for credit losses for the years ended December 31, 2022, 2021 and 2020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2"/>
                <w:szCs w:val="12"/>
                <w:color w:val="auto"/>
              </w:rPr>
            </w:pPr>
          </w:p>
        </w:tc>
        <w:tc>
          <w:tcPr>
            <w:tcW w:w="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(466)</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$(188)</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Provision</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Write off</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sales return reserves for the years ended December 31, 2022, 2021 and 2020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$(185)</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$(173)</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$(387)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Reversal (provision)</w:t>
            </w:r>
          </w:p>
        </w:tc>
        <w:tc>
          <w:tcPr>
            <w:tcW w:w="286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1720" w:type="dxa"/>
            <w:vAlign w:val="bottom"/>
            <w:gridSpan w:val="3"/>
          </w:tcPr>
          <w:p>
            <w:pPr>
              <w:jc w:val="right"/>
              <w:ind w:right="600"/>
              <w:spacing w:after="0"/>
              <w:rPr>
                <w:sz w:val="20"/>
                <w:szCs w:val="20"/>
                <w:color w:val="auto"/>
              </w:rPr>
            </w:pPr>
            <w:r>
              <w:rPr>
                <w:rFonts w:ascii="Arial" w:cs="Arial" w:eastAsia="Arial" w:hAnsi="Arial"/>
                <w:sz w:val="18"/>
                <w:szCs w:val="18"/>
                <w:color w:val="auto"/>
              </w:rPr>
              <w:t>(27)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2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$(185)</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Commencing in March 2012, the Company has been a party to an agreement to sell selected trade accounts receivable to a financial institution from time to time. After a sale, the Company does not retain any interest in the receivables and the applicable financial institution collects these accounts receivable directly from the customer. There were no sale of accounts receivable for the years ended December 31, 2022, 2021 and 2020. Net proceeds of this accounts receivable sale program are recognized in the consolidated statements of cash flows as part of operating cash flows.</w:t>
      </w: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86" w:right="4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as of December 31, 2022 and 2021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40,265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25,968</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9,443</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Materials in-transit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9"/>
              </w:rPr>
              <w:t>(14,677)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(5,730)</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Inventories,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39,883</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39,370</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inventory reserve for the years ended December 31, 2022, 2021 and 2020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2"/>
                <w:szCs w:val="12"/>
                <w:color w:val="auto"/>
              </w:rPr>
            </w:pPr>
          </w:p>
        </w:tc>
        <w:tc>
          <w:tcPr>
            <w:tcW w:w="78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2"/>
                <w:szCs w:val="12"/>
                <w:color w:val="auto"/>
              </w:rPr>
            </w:pPr>
          </w:p>
        </w:tc>
        <w:tc>
          <w:tcPr>
            <w:tcW w:w="5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(5,730)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$(5,901)</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$(5,947)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Change in reserve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reserve charged to costs of sales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(13,310)</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(7,626)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(7,268)</w:t>
            </w: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Sale of previously reserved inventory</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(9,679)</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(2,277)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(2,919)</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Write off</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582</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1,875</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Reclassified to assets held for sale</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(14,677)</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(5,901)</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720"/>
          </w:cols>
          <w:pgMar w:left="320" w:top="486" w:right="8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Property, Plant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plant and equipment as of December 31, 2022 and 2021 are comprised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4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24,273</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137,666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105,300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33,890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32,396</w:t>
            </w:r>
          </w:p>
        </w:tc>
      </w:tr>
      <w:tr>
        <w:trPr>
          <w:trHeight w:val="27"/>
        </w:trPr>
        <w:tc>
          <w:tcPr>
            <w:tcW w:w="4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196,725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162,285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(101,502)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(94,119)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13,898</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2,490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25,818</w:t>
            </w:r>
          </w:p>
        </w:tc>
      </w:tr>
      <w:tr>
        <w:trPr>
          <w:trHeight w:val="27"/>
        </w:trPr>
        <w:tc>
          <w:tcPr>
            <w:tcW w:w="4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110,747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107,882</w:t>
            </w:r>
          </w:p>
        </w:tc>
      </w:tr>
      <w:tr>
        <w:trPr>
          <w:trHeight w:val="20"/>
        </w:trPr>
        <w:tc>
          <w:tcPr>
            <w:tcW w:w="4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Aggregate depreciation expenses totaled $14,317 thousand, $13,495 thousand and $10,448 thousand for the years ended December 31, 2022, 2021 and 2020,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as of December 31, 2022 and 2021 are comprised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December 31, 2022</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5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Gross</w:t>
            </w:r>
          </w:p>
        </w:tc>
        <w:tc>
          <w:tcPr>
            <w:tcW w:w="380" w:type="dxa"/>
            <w:vAlign w:val="bottom"/>
          </w:tcPr>
          <w:p>
            <w:pPr>
              <w:spacing w:after="0"/>
              <w:rPr>
                <w:sz w:val="10"/>
                <w:szCs w:val="10"/>
                <w:color w:val="auto"/>
              </w:rPr>
            </w:pPr>
          </w:p>
        </w:tc>
        <w:tc>
          <w:tcPr>
            <w:tcW w:w="14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40" w:type="dxa"/>
            <w:vAlign w:val="bottom"/>
          </w:tcPr>
          <w:p>
            <w:pPr>
              <w:spacing w:after="0"/>
              <w:rPr>
                <w:sz w:val="10"/>
                <w:szCs w:val="10"/>
                <w:color w:val="auto"/>
              </w:rPr>
            </w:pPr>
          </w:p>
        </w:tc>
      </w:t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9,111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660" w:type="dxa"/>
            <w:vAlign w:val="bottom"/>
            <w:tcBorders>
              <w:top w:val="single" w:sz="8" w:color="CCEEFF"/>
            </w:tcBorders>
            <w:shd w:val="clear" w:color="auto" w:fill="CCEEFF"/>
          </w:tcPr>
          <w:p>
            <w:pPr>
              <w:jc w:val="right"/>
              <w:ind w:right="52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1,930</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9,111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w:t>
            </w:r>
          </w:p>
        </w:tc>
        <w:tc>
          <w:tcPr>
            <w:tcW w:w="660" w:type="dxa"/>
            <w:vAlign w:val="bottom"/>
          </w:tcPr>
          <w:p>
            <w:pPr>
              <w:jc w:val="right"/>
              <w:ind w:right="521"/>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1,930</w:t>
            </w:r>
          </w:p>
        </w:tc>
        <w:tc>
          <w:tcPr>
            <w:tcW w:w="4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December 31, 2021</w:t>
            </w: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9"/>
        </w:trPr>
        <w:tc>
          <w:tcPr>
            <w:tcW w:w="5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Gross</w:t>
            </w:r>
          </w:p>
        </w:tc>
        <w:tc>
          <w:tcPr>
            <w:tcW w:w="380" w:type="dxa"/>
            <w:vAlign w:val="bottom"/>
          </w:tcPr>
          <w:p>
            <w:pPr>
              <w:spacing w:after="0"/>
              <w:rPr>
                <w:sz w:val="10"/>
                <w:szCs w:val="10"/>
                <w:color w:val="auto"/>
              </w:rPr>
            </w:pPr>
          </w:p>
        </w:tc>
        <w:tc>
          <w:tcPr>
            <w:tcW w:w="14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40" w:type="dxa"/>
            <w:vAlign w:val="bottom"/>
          </w:tcPr>
          <w:p>
            <w:pPr>
              <w:spacing w:after="0"/>
              <w:rPr>
                <w:sz w:val="10"/>
                <w:szCs w:val="10"/>
                <w:color w:val="auto"/>
              </w:rPr>
            </w:pPr>
          </w:p>
        </w:tc>
      </w:t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amount</w:t>
            </w:r>
          </w:p>
        </w:tc>
        <w:tc>
          <w:tcPr>
            <w:tcW w:w="3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9,312</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660" w:type="dxa"/>
            <w:vAlign w:val="bottom"/>
            <w:tcBorders>
              <w:top w:val="single" w:sz="8" w:color="CCEEFF"/>
            </w:tcBorders>
            <w:shd w:val="clear" w:color="auto" w:fill="CCEEFF"/>
          </w:tcPr>
          <w:p>
            <w:pPr>
              <w:jc w:val="right"/>
              <w:ind w:right="52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2,377</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9,312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(6,935</w:t>
            </w:r>
          </w:p>
        </w:tc>
        <w:tc>
          <w:tcPr>
            <w:tcW w:w="660" w:type="dxa"/>
            <w:vAlign w:val="bottom"/>
          </w:tcPr>
          <w:p>
            <w:pPr>
              <w:jc w:val="right"/>
              <w:ind w:right="521"/>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2,377</w:t>
            </w:r>
          </w:p>
        </w:tc>
        <w:tc>
          <w:tcPr>
            <w:tcW w:w="4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Aggregate amortization expense for intangible assets totaled $683 thousand, $744 thousand and $668 thousand for the years ended December 31, 2022, 2021 and 2020, respectively.</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aggregate amortization expense of intangible assets for the next five years are estimated to be $595 thousand, $456 thousand, $339 thousand, $235 thousand and $148 thousand for the years ended December 31, 2023, 2024, 2025, 2026 and 2027,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has operating and finance leases for buildings and other assets such as vehicles and office equipment. The Company’s leases have remaining lease terms ranging from 1 year to 5 years.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86" w:right="4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tables below present financial information related to the Company’s leases.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Supplemental balance sheets information related to leases as of December 31, 2022 and 2021 are as follows (in thousands):</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0" w:type="dxa"/>
            <w:vAlign w:val="bottom"/>
            <w:vMerge w:val="restart"/>
          </w:tcPr>
          <w:p>
            <w:pPr>
              <w:spacing w:after="0"/>
              <w:rPr>
                <w:sz w:val="14"/>
                <w:szCs w:val="14"/>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84"/>
              </w:rPr>
              <w:t>Leases</w:t>
            </w:r>
          </w:p>
        </w:tc>
        <w:tc>
          <w:tcPr>
            <w:tcW w:w="1960" w:type="dxa"/>
            <w:vAlign w:val="bottom"/>
            <w:gridSpan w:val="2"/>
            <w:vMerge w:val="restart"/>
          </w:tcPr>
          <w:p>
            <w:pPr>
              <w:spacing w:after="0"/>
              <w:rPr>
                <w:sz w:val="14"/>
                <w:szCs w:val="14"/>
                <w:color w:val="auto"/>
              </w:rPr>
            </w:pPr>
          </w:p>
        </w:tc>
        <w:tc>
          <w:tcPr>
            <w:tcW w:w="380" w:type="dxa"/>
            <w:vAlign w:val="bottom"/>
          </w:tcPr>
          <w:p>
            <w:pPr>
              <w:spacing w:after="0"/>
              <w:rPr>
                <w:sz w:val="14"/>
                <w:szCs w:val="14"/>
                <w:color w:val="auto"/>
              </w:rPr>
            </w:pPr>
          </w:p>
        </w:tc>
        <w:tc>
          <w:tcPr>
            <w:tcW w:w="4800" w:type="dxa"/>
            <w:vAlign w:val="bottom"/>
            <w:gridSpan w:val="3"/>
            <w:vMerge w:val="restart"/>
          </w:tcPr>
          <w:p>
            <w:pPr>
              <w:ind w:left="1980"/>
              <w:spacing w:after="0"/>
              <w:rPr>
                <w:sz w:val="20"/>
                <w:szCs w:val="20"/>
                <w:color w:val="auto"/>
              </w:rPr>
            </w:pPr>
            <w:r>
              <w:rPr>
                <w:rFonts w:ascii="Arial" w:cs="Arial" w:eastAsia="Arial" w:hAnsi="Arial"/>
                <w:sz w:val="14"/>
                <w:szCs w:val="14"/>
                <w:b w:val="1"/>
                <w:bCs w:val="1"/>
                <w:color w:val="auto"/>
              </w:rPr>
              <w:t>Classification</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7"/>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440" w:type="dxa"/>
            <w:vAlign w:val="bottom"/>
            <w:vMerge w:val="continue"/>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48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3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CCEEFF"/>
            </w:tcBorders>
            <w:shd w:val="clear" w:color="auto" w:fill="CCEEFF"/>
          </w:tcPr>
          <w:p>
            <w:pPr>
              <w:spacing w:after="0"/>
              <w:rPr>
                <w:sz w:val="17"/>
                <w:szCs w:val="17"/>
                <w:color w:val="auto"/>
              </w:rPr>
            </w:pPr>
          </w:p>
        </w:tc>
        <w:tc>
          <w:tcPr>
            <w:tcW w:w="39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80" w:type="dxa"/>
            <w:vAlign w:val="bottom"/>
            <w:gridSpan w:val="3"/>
          </w:tcPr>
          <w:p>
            <w:pPr>
              <w:ind w:left="360"/>
              <w:spacing w:after="0"/>
              <w:rPr>
                <w:sz w:val="20"/>
                <w:szCs w:val="20"/>
                <w:color w:val="auto"/>
              </w:rPr>
            </w:pPr>
            <w:r>
              <w:rPr>
                <w:rFonts w:ascii="Arial" w:cs="Arial" w:eastAsia="Arial" w:hAnsi="Arial"/>
                <w:sz w:val="18"/>
                <w:szCs w:val="18"/>
                <w:color w:val="auto"/>
              </w:rPr>
              <w:t>Operating lease</w:t>
            </w:r>
          </w:p>
        </w:tc>
        <w:tc>
          <w:tcPr>
            <w:tcW w:w="5180" w:type="dxa"/>
            <w:vAlign w:val="bottom"/>
            <w:gridSpan w:val="4"/>
          </w:tcPr>
          <w:p>
            <w:pPr>
              <w:ind w:left="380"/>
              <w:spacing w:after="0"/>
              <w:rPr>
                <w:sz w:val="20"/>
                <w:szCs w:val="20"/>
                <w:color w:val="auto"/>
              </w:rPr>
            </w:pPr>
            <w:r>
              <w:rPr>
                <w:rFonts w:ascii="Arial" w:cs="Arial" w:eastAsia="Arial" w:hAnsi="Arial"/>
                <w:sz w:val="18"/>
                <w:szCs w:val="18"/>
                <w:color w:val="auto"/>
              </w:rPr>
              <w:t>Operating lease right-of-use assets</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$ 5,265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$ 4,275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Finance lease</w:t>
            </w:r>
          </w:p>
        </w:tc>
        <w:tc>
          <w:tcPr>
            <w:tcW w:w="51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20" w:type="dxa"/>
            <w:vAlign w:val="bottom"/>
            <w:gridSpan w:val="4"/>
          </w:tcPr>
          <w:p>
            <w:pPr>
              <w:ind w:left="440"/>
              <w:spacing w:after="0"/>
              <w:rPr>
                <w:sz w:val="20"/>
                <w:szCs w:val="20"/>
                <w:color w:val="auto"/>
              </w:rPr>
            </w:pPr>
            <w:r>
              <w:rPr>
                <w:rFonts w:ascii="Arial" w:cs="Arial" w:eastAsia="Arial" w:hAnsi="Arial"/>
                <w:sz w:val="18"/>
                <w:szCs w:val="18"/>
                <w:b w:val="1"/>
                <w:bCs w:val="1"/>
                <w:color w:val="auto"/>
              </w:rPr>
              <w:t>Total lease assets</w:t>
            </w:r>
          </w:p>
        </w:tc>
        <w:tc>
          <w:tcPr>
            <w:tcW w:w="3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5,408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4,401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3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51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$ 1,397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$ 2,323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80" w:type="dxa"/>
            <w:vAlign w:val="bottom"/>
            <w:gridSpan w:val="3"/>
          </w:tcPr>
          <w:p>
            <w:pPr>
              <w:ind w:left="360"/>
              <w:spacing w:after="0"/>
              <w:rPr>
                <w:sz w:val="20"/>
                <w:szCs w:val="20"/>
                <w:color w:val="auto"/>
              </w:rPr>
            </w:pPr>
            <w:r>
              <w:rPr>
                <w:rFonts w:ascii="Arial" w:cs="Arial" w:eastAsia="Arial" w:hAnsi="Arial"/>
                <w:sz w:val="18"/>
                <w:szCs w:val="18"/>
                <w:color w:val="auto"/>
              </w:rPr>
              <w:t>Finance</w:t>
            </w:r>
          </w:p>
        </w:tc>
        <w:tc>
          <w:tcPr>
            <w:tcW w:w="5180" w:type="dxa"/>
            <w:vAlign w:val="bottom"/>
            <w:gridSpan w:val="4"/>
          </w:tcPr>
          <w:p>
            <w:pPr>
              <w:ind w:left="380"/>
              <w:spacing w:after="0"/>
              <w:rPr>
                <w:sz w:val="20"/>
                <w:szCs w:val="20"/>
                <w:color w:val="auto"/>
              </w:rPr>
            </w:pPr>
            <w:r>
              <w:rPr>
                <w:rFonts w:ascii="Arial" w:cs="Arial" w:eastAsia="Arial" w:hAnsi="Arial"/>
                <w:sz w:val="18"/>
                <w:szCs w:val="18"/>
                <w:color w:val="auto"/>
              </w:rPr>
              <w:t>Other current liabilities</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w:t>
            </w:r>
          </w:p>
        </w:tc>
        <w:tc>
          <w:tcPr>
            <w:tcW w:w="3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80" w:type="dxa"/>
            <w:vAlign w:val="bottom"/>
            <w:gridSpan w:val="3"/>
          </w:tcPr>
          <w:p>
            <w:pPr>
              <w:ind w:left="360"/>
              <w:spacing w:after="0"/>
              <w:rPr>
                <w:sz w:val="20"/>
                <w:szCs w:val="20"/>
                <w:color w:val="auto"/>
              </w:rPr>
            </w:pPr>
            <w:r>
              <w:rPr>
                <w:rFonts w:ascii="Arial" w:cs="Arial" w:eastAsia="Arial" w:hAnsi="Arial"/>
                <w:sz w:val="18"/>
                <w:szCs w:val="18"/>
                <w:color w:val="auto"/>
              </w:rPr>
              <w:t>Operating</w:t>
            </w:r>
          </w:p>
        </w:tc>
        <w:tc>
          <w:tcPr>
            <w:tcW w:w="5180" w:type="dxa"/>
            <w:vAlign w:val="bottom"/>
            <w:gridSpan w:val="4"/>
          </w:tcPr>
          <w:p>
            <w:pPr>
              <w:ind w:left="380"/>
              <w:spacing w:after="0"/>
              <w:rPr>
                <w:sz w:val="20"/>
                <w:szCs w:val="20"/>
                <w:color w:val="auto"/>
              </w:rPr>
            </w:pPr>
            <w:r>
              <w:rPr>
                <w:rFonts w:ascii="Arial" w:cs="Arial" w:eastAsia="Arial" w:hAnsi="Arial"/>
                <w:sz w:val="18"/>
                <w:szCs w:val="18"/>
                <w:color w:val="auto"/>
              </w:rPr>
              <w:t>Non-current operating lease liabilities</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4,091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Finance</w:t>
            </w:r>
          </w:p>
        </w:tc>
        <w:tc>
          <w:tcPr>
            <w:tcW w:w="51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20" w:type="dxa"/>
            <w:vAlign w:val="bottom"/>
            <w:gridSpan w:val="4"/>
          </w:tcPr>
          <w:p>
            <w:pPr>
              <w:ind w:left="440"/>
              <w:spacing w:after="0"/>
              <w:rPr>
                <w:sz w:val="20"/>
                <w:szCs w:val="20"/>
                <w:color w:val="auto"/>
              </w:rPr>
            </w:pPr>
            <w:r>
              <w:rPr>
                <w:rFonts w:ascii="Arial" w:cs="Arial" w:eastAsia="Arial" w:hAnsi="Arial"/>
                <w:sz w:val="18"/>
                <w:szCs w:val="18"/>
                <w:b w:val="1"/>
                <w:bCs w:val="1"/>
                <w:color w:val="auto"/>
              </w:rPr>
              <w:t>Total lease liabilities</w:t>
            </w:r>
          </w:p>
        </w:tc>
        <w:tc>
          <w:tcPr>
            <w:tcW w:w="3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5,641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4,416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gridSpan w:val="8"/>
            <w:vMerge w:val="restart"/>
          </w:tcPr>
          <w:p>
            <w:pPr>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00" w:type="dxa"/>
            <w:vAlign w:val="bottom"/>
            <w:gridSpan w:val="8"/>
            <w:vMerge w:val="continue"/>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980" w:type="dxa"/>
            <w:vAlign w:val="bottom"/>
            <w:gridSpan w:val="7"/>
          </w:tcPr>
          <w:p>
            <w:pPr>
              <w:ind w:left="5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280" w:type="dxa"/>
            <w:vAlign w:val="bottom"/>
            <w:gridSpan w:val="2"/>
          </w:tcPr>
          <w:p>
            <w:pPr>
              <w:spacing w:after="0"/>
              <w:rPr>
                <w:sz w:val="12"/>
                <w:szCs w:val="12"/>
                <w:color w:val="auto"/>
              </w:rPr>
            </w:pPr>
          </w:p>
        </w:tc>
        <w:tc>
          <w:tcPr>
            <w:tcW w:w="72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ind w:left="54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3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3.7 years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ind w:left="60"/>
              <w:spacing w:after="0"/>
              <w:rPr>
                <w:sz w:val="20"/>
                <w:szCs w:val="20"/>
                <w:color w:val="auto"/>
              </w:rPr>
            </w:pPr>
            <w:r>
              <w:rPr>
                <w:rFonts w:ascii="Arial" w:cs="Arial" w:eastAsia="Arial" w:hAnsi="Arial"/>
                <w:sz w:val="18"/>
                <w:szCs w:val="18"/>
                <w:color w:val="auto"/>
                <w:w w:val="89"/>
              </w:rPr>
              <w:t>2.4 years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3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 years</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9"/>
              </w:rPr>
              <w:t>2.0 years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20" w:type="dxa"/>
            <w:vAlign w:val="bottom"/>
            <w:gridSpan w:val="5"/>
          </w:tcPr>
          <w:p>
            <w:pPr>
              <w:spacing w:after="0"/>
              <w:rPr>
                <w:sz w:val="20"/>
                <w:szCs w:val="20"/>
                <w:color w:val="auto"/>
              </w:rPr>
            </w:pPr>
            <w:r>
              <w:rPr>
                <w:rFonts w:ascii="Arial" w:cs="Arial" w:eastAsia="Arial" w:hAnsi="Arial"/>
                <w:sz w:val="18"/>
                <w:szCs w:val="18"/>
                <w:b w:val="1"/>
                <w:bCs w:val="1"/>
                <w:color w:val="auto"/>
              </w:rPr>
              <w:t>Weighted average discount rate</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5180" w:type="dxa"/>
            <w:vAlign w:val="bottom"/>
            <w:gridSpan w:val="4"/>
            <w:shd w:val="clear" w:color="auto" w:fill="CCEEFF"/>
          </w:tcPr>
          <w:p>
            <w:pPr>
              <w:ind w:left="4780"/>
              <w:spacing w:after="0"/>
              <w:rPr>
                <w:sz w:val="20"/>
                <w:szCs w:val="20"/>
                <w:color w:val="auto"/>
              </w:rPr>
            </w:pPr>
            <w:r>
              <w:rPr>
                <w:rFonts w:ascii="Arial" w:cs="Arial" w:eastAsia="Arial" w:hAnsi="Arial"/>
                <w:sz w:val="18"/>
                <w:szCs w:val="18"/>
                <w:color w:val="auto"/>
                <w:w w:val="92"/>
              </w:rPr>
              <w:t>6.6%</w:t>
            </w:r>
          </w:p>
        </w:tc>
        <w:tc>
          <w:tcPr>
            <w:tcW w:w="12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5180" w:type="dxa"/>
            <w:vAlign w:val="bottom"/>
            <w:gridSpan w:val="4"/>
          </w:tcPr>
          <w:p>
            <w:pPr>
              <w:ind w:left="4780"/>
              <w:spacing w:after="0"/>
              <w:rPr>
                <w:sz w:val="20"/>
                <w:szCs w:val="20"/>
                <w:color w:val="auto"/>
              </w:rPr>
            </w:pPr>
            <w:r>
              <w:rPr>
                <w:rFonts w:ascii="Arial" w:cs="Arial" w:eastAsia="Arial" w:hAnsi="Arial"/>
                <w:sz w:val="18"/>
                <w:szCs w:val="18"/>
                <w:color w:val="auto"/>
                <w:w w:val="92"/>
              </w:rPr>
              <w:t>7.6%</w:t>
            </w:r>
          </w:p>
        </w:tc>
        <w:tc>
          <w:tcPr>
            <w:tcW w:w="1240" w:type="dxa"/>
            <w:vAlign w:val="bottom"/>
            <w:gridSpan w:val="7"/>
          </w:tcPr>
          <w:p>
            <w:pPr>
              <w:jc w:val="right"/>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components of lease cost included in the Company’s consolidated statements of operations, are as follows (in thousands):</w:t>
      </w:r>
    </w:p>
    <w:p>
      <w:pPr>
        <w:spacing w:after="0" w:line="25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2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2022</w:t>
            </w: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9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$2,261</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$2,777</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$ 1,885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Finance lease cost</w:t>
            </w:r>
          </w:p>
        </w:tc>
        <w:tc>
          <w:tcPr>
            <w:tcW w:w="1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right-of-use assets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Interest on lease liabilities</w:t>
            </w:r>
          </w:p>
        </w:tc>
        <w:tc>
          <w:tcPr>
            <w:tcW w:w="19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1,966</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above table does not include an immaterial cost of short-term leases for the years ended December 31, 2022, 2021 and 2020.</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260"/>
          </w:cols>
          <w:pgMar w:left="320" w:top="486" w:right="131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lease information is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2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2022</w:t>
            </w:r>
          </w:p>
        </w:tc>
        <w:tc>
          <w:tcPr>
            <w:tcW w:w="9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7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$2,276</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$ 1,885</w:t>
            </w:r>
          </w:p>
        </w:tc>
        <w:tc>
          <w:tcPr>
            <w:tcW w:w="80" w:type="dxa"/>
            <w:vAlign w:val="bottom"/>
          </w:tcPr>
          <w:p>
            <w:pPr>
              <w:spacing w:after="0"/>
              <w:rPr>
                <w:sz w:val="18"/>
                <w:szCs w:val="18"/>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ind w:left="120" w:right="460" w:firstLine="440"/>
        <w:spacing w:after="0" w:line="277" w:lineRule="auto"/>
        <w:rPr>
          <w:sz w:val="20"/>
          <w:szCs w:val="20"/>
          <w:color w:val="auto"/>
        </w:rPr>
      </w:pPr>
      <w:r>
        <w:rPr>
          <w:rFonts w:ascii="Arial" w:cs="Arial" w:eastAsia="Arial" w:hAnsi="Arial"/>
          <w:sz w:val="18"/>
          <w:szCs w:val="18"/>
          <w:color w:val="auto"/>
        </w:rPr>
        <w:t>Non-cash transaction amounts of lease liabilities arising from obtaining right-of-use assets were $4,601 thousand, $2,768 thousand and $4,702 thousand for the years ended December 31, 2022, 2021 and 2020,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future lease payments for operating and finance leases as of December 31, 2022 are as follows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Operating</w:t>
            </w:r>
          </w:p>
        </w:tc>
        <w:tc>
          <w:tcPr>
            <w:tcW w:w="40" w:type="dxa"/>
            <w:vAlign w:val="bottom"/>
          </w:tcPr>
          <w:p>
            <w:pPr>
              <w:spacing w:after="0"/>
              <w:rPr>
                <w:sz w:val="14"/>
                <w:szCs w:val="14"/>
                <w:color w:val="auto"/>
              </w:rPr>
            </w:pPr>
          </w:p>
        </w:tc>
        <w:tc>
          <w:tcPr>
            <w:tcW w:w="600" w:type="dxa"/>
            <w:vAlign w:val="bottom"/>
            <w:gridSpan w:val="5"/>
          </w:tcPr>
          <w:p>
            <w:pPr>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84"/>
              </w:rPr>
              <w:t>Leases</w:t>
            </w:r>
          </w:p>
        </w:tc>
        <w:tc>
          <w:tcPr>
            <w:tcW w:w="40" w:type="dxa"/>
            <w:vAlign w:val="bottom"/>
          </w:tcPr>
          <w:p>
            <w:pPr>
              <w:spacing w:after="0"/>
              <w:rPr>
                <w:sz w:val="14"/>
                <w:szCs w:val="14"/>
                <w:color w:val="auto"/>
              </w:rPr>
            </w:pPr>
          </w:p>
        </w:tc>
        <w:tc>
          <w:tcPr>
            <w:tcW w:w="600" w:type="dxa"/>
            <w:vAlign w:val="bottom"/>
            <w:gridSpan w:val="5"/>
          </w:tcPr>
          <w:p>
            <w:pPr>
              <w:ind w:left="4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8"/>
              <w:spacing w:after="0"/>
              <w:rPr>
                <w:sz w:val="20"/>
                <w:szCs w:val="20"/>
                <w:color w:val="auto"/>
              </w:rPr>
            </w:pPr>
            <w:r>
              <w:rPr>
                <w:rFonts w:ascii="Arial" w:cs="Arial" w:eastAsia="Arial" w:hAnsi="Arial"/>
                <w:sz w:val="18"/>
                <w:szCs w:val="18"/>
                <w:color w:val="auto"/>
              </w:rPr>
              <w:t>1,594</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1,386</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8"/>
              <w:spacing w:after="0"/>
              <w:rPr>
                <w:sz w:val="20"/>
                <w:szCs w:val="20"/>
                <w:color w:val="auto"/>
              </w:rPr>
            </w:pPr>
            <w:r>
              <w:rPr>
                <w:rFonts w:ascii="Arial" w:cs="Arial" w:eastAsia="Arial" w:hAnsi="Arial"/>
                <w:sz w:val="18"/>
                <w:szCs w:val="18"/>
                <w:color w:val="auto"/>
              </w:rPr>
              <w:t>958</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663</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rPr>
              <w:t>Total future lease payments</w:t>
            </w: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6,308</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(820)</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rPr>
              <w:t>Present value of future payments</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5,488</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Accrued Expenses</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7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gridSpan w:val="2"/>
          </w:tcPr>
          <w:p>
            <w:pPr>
              <w:ind w:left="440"/>
              <w:spacing w:after="0"/>
              <w:rPr>
                <w:sz w:val="20"/>
                <w:szCs w:val="20"/>
                <w:color w:val="auto"/>
              </w:rPr>
            </w:pPr>
            <w:r>
              <w:rPr>
                <w:rFonts w:ascii="Arial" w:cs="Arial" w:eastAsia="Arial" w:hAnsi="Arial"/>
                <w:sz w:val="18"/>
                <w:szCs w:val="18"/>
                <w:color w:val="auto"/>
                <w:w w:val="90"/>
              </w:rPr>
              <w:t>Accrued expenses as of December 31, 2022 and 2021 are comprised of the following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8"/>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$7,620</w:t>
            </w:r>
          </w:p>
        </w:tc>
        <w:tc>
          <w:tcPr>
            <w:tcW w:w="4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9,548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48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Outside service fees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1,642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1,088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Merger-related costs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7,035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383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Accrued expenses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9,688</w:t>
            </w: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20,071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Derivative Financial Instruments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contracts to hedge the risk of changes in the functional-currency-equivalent cash flows attributable to currency rate changes on U.S. dollar denominated revenues.</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740"/>
          </w:cols>
          <w:pgMar w:left="320" w:top="486" w:right="8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derivative contracts as of December 31, 2022 are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Date of transaction</w:t>
            </w:r>
          </w:p>
        </w:tc>
        <w:tc>
          <w:tcPr>
            <w:tcW w:w="354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Type of derivative</w:t>
            </w:r>
          </w:p>
        </w:tc>
        <w:tc>
          <w:tcPr>
            <w:tcW w:w="240" w:type="dxa"/>
            <w:vAlign w:val="bottom"/>
          </w:tcPr>
          <w:p>
            <w:pPr>
              <w:spacing w:after="0"/>
              <w:rPr>
                <w:sz w:val="16"/>
                <w:szCs w:val="16"/>
                <w:color w:val="auto"/>
              </w:rPr>
            </w:pPr>
          </w:p>
        </w:tc>
        <w:tc>
          <w:tcPr>
            <w:tcW w:w="19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5"/>
              </w:rPr>
              <w:t>Total notional amount</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1"/>
              </w:rPr>
              <w:t>Month of settlement</w:t>
            </w: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04, 2022</w:t>
            </w:r>
          </w:p>
        </w:tc>
        <w:tc>
          <w:tcPr>
            <w:tcW w:w="128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9"/>
              </w:rPr>
              <w:t>Zero cost collar</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59"/>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48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January 2023 to June 2023</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March 07, 2022</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Zero cost collar</w:t>
            </w:r>
          </w:p>
        </w:tc>
        <w:tc>
          <w:tcPr>
            <w:tcW w:w="780" w:type="dxa"/>
            <w:vAlign w:val="bottom"/>
            <w:gridSpan w:val="2"/>
          </w:tcPr>
          <w:p>
            <w:pPr>
              <w:jc w:val="right"/>
              <w:ind w:right="35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24,000</w:t>
            </w: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July 2023 to December 2023</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27, 2022</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Zero cost collar</w:t>
            </w:r>
          </w:p>
        </w:tc>
        <w:tc>
          <w:tcPr>
            <w:tcW w:w="78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42,000</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2023 to December 2023</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derivative contracts as of December 31, 2021 are as follows (in thousands):</w:t>
      </w:r>
    </w:p>
    <w:p>
      <w:pPr>
        <w:sectPr>
          <w:pgSz w:w="11900" w:h="16838" w:orient="portrait"/>
          <w:cols w:equalWidth="0" w:num="1">
            <w:col w:w="11140"/>
          </w:cols>
          <w:pgMar w:left="320" w:top="486" w:right="439" w:bottom="1440" w:gutter="0" w:footer="0" w:header="0"/>
        </w:sect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3"/>
          <w:szCs w:val="13"/>
          <w:b w:val="1"/>
          <w:bCs w:val="1"/>
          <w:u w:val="single" w:color="auto"/>
          <w:color w:val="auto"/>
        </w:rPr>
        <w:t>Date of transaction</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13, 2021</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August 13, 2021</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Type of derivative</w:t>
            </w:r>
          </w:p>
        </w:tc>
        <w:tc>
          <w:tcPr>
            <w:tcW w:w="19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notional amount</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3"/>
              </w:rPr>
              <w:t>Month of settlement</w:t>
            </w:r>
          </w:p>
        </w:tc>
      </w:tr>
      <w:tr>
        <w:trPr>
          <w:trHeight w:val="195"/>
        </w:trPr>
        <w:tc>
          <w:tcPr>
            <w:tcW w:w="12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w w:val="89"/>
              </w:rPr>
              <w:t>Zero cost collar</w:t>
            </w:r>
          </w:p>
        </w:tc>
        <w:tc>
          <w:tcPr>
            <w:tcW w:w="500" w:type="dxa"/>
            <w:vAlign w:val="bottom"/>
          </w:tcPr>
          <w:p>
            <w:pPr>
              <w:spacing w:after="0"/>
              <w:rPr>
                <w:sz w:val="16"/>
                <w:szCs w:val="16"/>
                <w:color w:val="auto"/>
              </w:rPr>
            </w:pPr>
          </w:p>
        </w:tc>
        <w:tc>
          <w:tcPr>
            <w:tcW w:w="520" w:type="dxa"/>
            <w:vAlign w:val="bottom"/>
            <w:tcBorders>
              <w:top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ind w:left="460"/>
              <w:spacing w:after="0" w:line="195" w:lineRule="exact"/>
              <w:rPr>
                <w:sz w:val="20"/>
                <w:szCs w:val="20"/>
                <w:color w:val="auto"/>
              </w:rPr>
            </w:pPr>
            <w:r>
              <w:rPr>
                <w:rFonts w:ascii="Arial" w:cs="Arial" w:eastAsia="Arial" w:hAnsi="Arial"/>
                <w:sz w:val="18"/>
                <w:szCs w:val="18"/>
                <w:color w:val="auto"/>
                <w:w w:val="83"/>
              </w:rPr>
              <w:t>39,000</w:t>
            </w:r>
          </w:p>
        </w:tc>
        <w:tc>
          <w:tcPr>
            <w:tcW w:w="50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January 2022 to September 2022</w:t>
            </w:r>
          </w:p>
        </w:tc>
      </w:tr>
      <w:tr>
        <w:trPr>
          <w:trHeight w:val="230"/>
        </w:trPr>
        <w:tc>
          <w:tcPr>
            <w:tcW w:w="1760" w:type="dxa"/>
            <w:vAlign w:val="bottom"/>
            <w:gridSpan w:val="2"/>
          </w:tcPr>
          <w:p>
            <w:pPr>
              <w:ind w:left="140"/>
              <w:spacing w:after="0"/>
              <w:rPr>
                <w:sz w:val="20"/>
                <w:szCs w:val="20"/>
                <w:color w:val="auto"/>
              </w:rPr>
            </w:pPr>
            <w:r>
              <w:rPr>
                <w:rFonts w:ascii="Arial" w:cs="Arial" w:eastAsia="Arial" w:hAnsi="Arial"/>
                <w:sz w:val="18"/>
                <w:szCs w:val="18"/>
                <w:color w:val="auto"/>
              </w:rPr>
              <w:t>Zero cost collar</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48,000</w:t>
            </w: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January 2022 to December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-282575</wp:posOffset>
            </wp:positionV>
            <wp:extent cx="699516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300"/>
          </w:cols>
          <w:pgMar w:left="320" w:top="486" w:right="439" w:bottom="1440" w:gutter="0" w:footer="0" w:header="0"/>
          <w:type w:val="continuous"/>
        </w:sectPr>
      </w:pPr>
    </w:p>
    <w:p>
      <w:pPr>
        <w:spacing w:after="0" w:line="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fair values of the Company’s outstanding zero cost collar contracts recorded as liabilities as of December 31, 2022 and 2021 are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900" w:type="dxa"/>
            <w:vAlign w:val="bottom"/>
            <w:tcBorders>
              <w:bottom w:val="single" w:sz="8" w:color="auto"/>
            </w:tcBorders>
            <w:vMerge w:val="continue"/>
          </w:tcPr>
          <w:p>
            <w:pPr>
              <w:spacing w:after="0"/>
              <w:rPr>
                <w:sz w:val="12"/>
                <w:szCs w:val="12"/>
                <w:color w:val="auto"/>
              </w:rPr>
            </w:pPr>
          </w:p>
        </w:tc>
        <w:tc>
          <w:tcPr>
            <w:tcW w:w="3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Borders>
              <w:top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9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33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3380" w:type="dxa"/>
            <w:vAlign w:val="bottom"/>
          </w:tcPr>
          <w:p>
            <w:pPr>
              <w:ind w:left="1340"/>
              <w:spacing w:after="0"/>
              <w:rPr>
                <w:sz w:val="20"/>
                <w:szCs w:val="20"/>
                <w:color w:val="auto"/>
              </w:rPr>
            </w:pPr>
            <w:r>
              <w:rPr>
                <w:rFonts w:ascii="Arial" w:cs="Arial" w:eastAsia="Arial" w:hAnsi="Arial"/>
                <w:sz w:val="18"/>
                <w:szCs w:val="18"/>
                <w:color w:val="auto"/>
              </w:rPr>
              <w:t>Other current liabilities</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$ 2,015</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liabilities as of December 31, 2022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Gross amounts of</w:t>
            </w:r>
          </w:p>
        </w:tc>
        <w:tc>
          <w:tcPr>
            <w:tcW w:w="260" w:type="dxa"/>
            <w:vAlign w:val="bottom"/>
          </w:tcPr>
          <w:p>
            <w:pPr>
              <w:spacing w:after="0"/>
              <w:rPr>
                <w:sz w:val="14"/>
                <w:szCs w:val="14"/>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Gross amounts</w:t>
            </w:r>
          </w:p>
        </w:tc>
        <w:tc>
          <w:tcPr>
            <w:tcW w:w="520" w:type="dxa"/>
            <w:vAlign w:val="bottom"/>
          </w:tcPr>
          <w:p>
            <w:pPr>
              <w:spacing w:after="0"/>
              <w:rPr>
                <w:sz w:val="14"/>
                <w:szCs w:val="14"/>
                <w:color w:val="auto"/>
              </w:rPr>
            </w:pPr>
          </w:p>
        </w:tc>
        <w:tc>
          <w:tcPr>
            <w:tcW w:w="15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Net amounts of</w:t>
            </w:r>
          </w:p>
        </w:tc>
        <w:tc>
          <w:tcPr>
            <w:tcW w:w="220" w:type="dxa"/>
            <w:vAlign w:val="bottom"/>
          </w:tcPr>
          <w:p>
            <w:pPr>
              <w:spacing w:after="0"/>
              <w:rPr>
                <w:sz w:val="14"/>
                <w:szCs w:val="14"/>
                <w:color w:val="auto"/>
              </w:rPr>
            </w:pPr>
          </w:p>
        </w:tc>
        <w:tc>
          <w:tcPr>
            <w:tcW w:w="256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90"/>
              </w:rPr>
              <w:t>Gross amounts not offset</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liabilities</w:t>
            </w:r>
          </w:p>
        </w:tc>
        <w:tc>
          <w:tcPr>
            <w:tcW w:w="220" w:type="dxa"/>
            <w:vAlign w:val="bottom"/>
          </w:tcPr>
          <w:p>
            <w:pPr>
              <w:spacing w:after="0"/>
              <w:rPr>
                <w:sz w:val="14"/>
                <w:szCs w:val="14"/>
                <w:color w:val="auto"/>
              </w:rPr>
            </w:pPr>
          </w:p>
        </w:tc>
        <w:tc>
          <w:tcPr>
            <w:tcW w:w="256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88"/>
              </w:rPr>
              <w:t>in the balance sheets</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2022</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recognized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22"/>
              <w:spacing w:after="0" w:line="119" w:lineRule="exact"/>
              <w:rPr>
                <w:sz w:val="20"/>
                <w:szCs w:val="20"/>
                <w:color w:val="auto"/>
              </w:rPr>
            </w:pPr>
            <w:r>
              <w:rPr>
                <w:rFonts w:ascii="Arial" w:cs="Arial" w:eastAsia="Arial" w:hAnsi="Arial"/>
                <w:sz w:val="13"/>
                <w:szCs w:val="13"/>
                <w:b w:val="1"/>
                <w:bCs w:val="1"/>
                <w:color w:val="auto"/>
                <w:w w:val="94"/>
              </w:rPr>
              <w:t>offset in the</w:t>
            </w:r>
          </w:p>
        </w:tc>
        <w:tc>
          <w:tcPr>
            <w:tcW w:w="520" w:type="dxa"/>
            <w:vAlign w:val="bottom"/>
          </w:tcPr>
          <w:p>
            <w:pPr>
              <w:spacing w:after="0"/>
              <w:rPr>
                <w:sz w:val="10"/>
                <w:szCs w:val="10"/>
                <w:color w:val="auto"/>
              </w:rPr>
            </w:pPr>
          </w:p>
        </w:tc>
        <w:tc>
          <w:tcPr>
            <w:tcW w:w="152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1280" w:type="dxa"/>
            <w:vAlign w:val="bottom"/>
            <w:tcBorders>
              <w:top w:val="single" w:sz="8" w:color="auto"/>
            </w:tcBorders>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Financial</w:t>
            </w:r>
          </w:p>
        </w:tc>
        <w:tc>
          <w:tcPr>
            <w:tcW w:w="9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58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58"/>
        </w:trPr>
        <w:tc>
          <w:tcPr>
            <w:tcW w:w="220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3"/>
              </w:rPr>
              <w:t>liabilities</w:t>
            </w:r>
          </w:p>
        </w:tc>
        <w:tc>
          <w:tcPr>
            <w:tcW w:w="260" w:type="dxa"/>
            <w:vAlign w:val="bottom"/>
          </w:tcPr>
          <w:p>
            <w:pPr>
              <w:spacing w:after="0"/>
              <w:rPr>
                <w:sz w:val="13"/>
                <w:szCs w:val="13"/>
                <w:color w:val="auto"/>
              </w:rPr>
            </w:pP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5"/>
              </w:rPr>
              <w:t>balance sheets</w:t>
            </w:r>
          </w:p>
        </w:tc>
        <w:tc>
          <w:tcPr>
            <w:tcW w:w="520" w:type="dxa"/>
            <w:vAlign w:val="bottom"/>
          </w:tcPr>
          <w:p>
            <w:pPr>
              <w:spacing w:after="0"/>
              <w:rPr>
                <w:sz w:val="13"/>
                <w:szCs w:val="13"/>
                <w:color w:val="auto"/>
              </w:rPr>
            </w:pPr>
          </w:p>
        </w:tc>
        <w:tc>
          <w:tcPr>
            <w:tcW w:w="1520" w:type="dxa"/>
            <w:vAlign w:val="bottom"/>
            <w:gridSpan w:val="3"/>
          </w:tcPr>
          <w:p>
            <w:pPr>
              <w:jc w:val="center"/>
              <w:ind w:right="520"/>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12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instruments</w:t>
            </w:r>
          </w:p>
        </w:tc>
        <w:tc>
          <w:tcPr>
            <w:tcW w:w="160" w:type="dxa"/>
            <w:vAlign w:val="bottom"/>
          </w:tcPr>
          <w:p>
            <w:pPr>
              <w:spacing w:after="0"/>
              <w:rPr>
                <w:sz w:val="13"/>
                <w:szCs w:val="13"/>
                <w:color w:val="auto"/>
              </w:rPr>
            </w:pPr>
          </w:p>
        </w:tc>
        <w:tc>
          <w:tcPr>
            <w:tcW w:w="1340" w:type="dxa"/>
            <w:vAlign w:val="bottom"/>
            <w:gridSpan w:val="2"/>
          </w:tcPr>
          <w:p>
            <w:pPr>
              <w:jc w:val="right"/>
              <w:ind w:right="800"/>
              <w:spacing w:after="0" w:line="158" w:lineRule="exact"/>
              <w:rPr>
                <w:sz w:val="20"/>
                <w:szCs w:val="20"/>
                <w:color w:val="auto"/>
              </w:rPr>
            </w:pPr>
            <w:r>
              <w:rPr>
                <w:rFonts w:ascii="Arial" w:cs="Arial" w:eastAsia="Arial" w:hAnsi="Arial"/>
                <w:sz w:val="14"/>
                <w:szCs w:val="14"/>
                <w:b w:val="1"/>
                <w:bCs w:val="1"/>
                <w:color w:val="auto"/>
                <w:w w:val="96"/>
              </w:rPr>
              <w:t>pledged</w:t>
            </w: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(1,940)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liabilities as of December 31, 2021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 amounts of</w:t>
            </w:r>
          </w:p>
        </w:tc>
        <w:tc>
          <w:tcPr>
            <w:tcW w:w="28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Gross amounts</w:t>
            </w:r>
          </w:p>
        </w:tc>
        <w:tc>
          <w:tcPr>
            <w:tcW w:w="520" w:type="dxa"/>
            <w:vAlign w:val="bottom"/>
          </w:tcPr>
          <w:p>
            <w:pPr>
              <w:spacing w:after="0"/>
              <w:rPr>
                <w:sz w:val="14"/>
                <w:szCs w:val="14"/>
                <w:color w:val="auto"/>
              </w:rPr>
            </w:pPr>
          </w:p>
        </w:tc>
        <w:tc>
          <w:tcPr>
            <w:tcW w:w="15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Net amounts of</w:t>
            </w:r>
          </w:p>
        </w:tc>
        <w:tc>
          <w:tcPr>
            <w:tcW w:w="200" w:type="dxa"/>
            <w:vAlign w:val="bottom"/>
          </w:tcPr>
          <w:p>
            <w:pPr>
              <w:spacing w:after="0"/>
              <w:rPr>
                <w:sz w:val="14"/>
                <w:szCs w:val="14"/>
                <w:color w:val="auto"/>
              </w:rPr>
            </w:pPr>
          </w:p>
        </w:tc>
        <w:tc>
          <w:tcPr>
            <w:tcW w:w="258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89"/>
              </w:rPr>
              <w:t>Gross amounts not offset</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liabilities</w:t>
            </w:r>
          </w:p>
        </w:tc>
        <w:tc>
          <w:tcPr>
            <w:tcW w:w="200" w:type="dxa"/>
            <w:vAlign w:val="bottom"/>
          </w:tcPr>
          <w:p>
            <w:pPr>
              <w:spacing w:after="0"/>
              <w:rPr>
                <w:sz w:val="14"/>
                <w:szCs w:val="14"/>
                <w:color w:val="auto"/>
              </w:rPr>
            </w:pPr>
          </w:p>
        </w:tc>
        <w:tc>
          <w:tcPr>
            <w:tcW w:w="258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8"/>
              </w:rPr>
              <w:t>in the balance sheets</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2021</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recognized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offset in the</w:t>
            </w:r>
          </w:p>
        </w:tc>
        <w:tc>
          <w:tcPr>
            <w:tcW w:w="520" w:type="dxa"/>
            <w:vAlign w:val="bottom"/>
          </w:tcPr>
          <w:p>
            <w:pPr>
              <w:spacing w:after="0"/>
              <w:rPr>
                <w:sz w:val="10"/>
                <w:szCs w:val="10"/>
                <w:color w:val="auto"/>
              </w:rPr>
            </w:pPr>
          </w:p>
        </w:tc>
        <w:tc>
          <w:tcPr>
            <w:tcW w:w="154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1260" w:type="dxa"/>
            <w:vAlign w:val="bottom"/>
            <w:tcBorders>
              <w:top w:val="single" w:sz="8" w:color="auto"/>
            </w:tcBorders>
            <w:gridSpan w:val="3"/>
          </w:tcPr>
          <w:p>
            <w:pPr>
              <w:jc w:val="right"/>
              <w:ind w:right="600"/>
              <w:spacing w:after="0" w:line="119" w:lineRule="exact"/>
              <w:rPr>
                <w:sz w:val="20"/>
                <w:szCs w:val="20"/>
                <w:color w:val="auto"/>
              </w:rPr>
            </w:pPr>
            <w:r>
              <w:rPr>
                <w:rFonts w:ascii="Arial" w:cs="Arial" w:eastAsia="Arial" w:hAnsi="Arial"/>
                <w:sz w:val="13"/>
                <w:szCs w:val="13"/>
                <w:b w:val="1"/>
                <w:bCs w:val="1"/>
                <w:color w:val="auto"/>
              </w:rPr>
              <w:t>Financial</w:t>
            </w:r>
          </w:p>
        </w:tc>
        <w:tc>
          <w:tcPr>
            <w:tcW w:w="9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58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58"/>
        </w:trPr>
        <w:tc>
          <w:tcPr>
            <w:tcW w:w="21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liabilities</w:t>
            </w:r>
          </w:p>
        </w:tc>
        <w:tc>
          <w:tcPr>
            <w:tcW w:w="280" w:type="dxa"/>
            <w:vAlign w:val="bottom"/>
          </w:tcPr>
          <w:p>
            <w:pPr>
              <w:spacing w:after="0"/>
              <w:rPr>
                <w:sz w:val="13"/>
                <w:szCs w:val="13"/>
                <w:color w:val="auto"/>
              </w:rPr>
            </w:pPr>
          </w:p>
        </w:tc>
        <w:tc>
          <w:tcPr>
            <w:tcW w:w="9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520" w:type="dxa"/>
            <w:vAlign w:val="bottom"/>
          </w:tcPr>
          <w:p>
            <w:pPr>
              <w:spacing w:after="0"/>
              <w:rPr>
                <w:sz w:val="13"/>
                <w:szCs w:val="13"/>
                <w:color w:val="auto"/>
              </w:rPr>
            </w:pPr>
          </w:p>
        </w:tc>
        <w:tc>
          <w:tcPr>
            <w:tcW w:w="1540" w:type="dxa"/>
            <w:vAlign w:val="bottom"/>
            <w:gridSpan w:val="3"/>
          </w:tcPr>
          <w:p>
            <w:pPr>
              <w:jc w:val="center"/>
              <w:ind w:right="540"/>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instruments</w:t>
            </w:r>
          </w:p>
        </w:tc>
        <w:tc>
          <w:tcPr>
            <w:tcW w:w="160" w:type="dxa"/>
            <w:vAlign w:val="bottom"/>
          </w:tcPr>
          <w:p>
            <w:pPr>
              <w:spacing w:after="0"/>
              <w:rPr>
                <w:sz w:val="13"/>
                <w:szCs w:val="13"/>
                <w:color w:val="auto"/>
              </w:rPr>
            </w:pPr>
          </w:p>
        </w:tc>
        <w:tc>
          <w:tcPr>
            <w:tcW w:w="1360" w:type="dxa"/>
            <w:vAlign w:val="bottom"/>
            <w:gridSpan w:val="2"/>
          </w:tcPr>
          <w:p>
            <w:pPr>
              <w:jc w:val="right"/>
              <w:ind w:right="820"/>
              <w:spacing w:after="0" w:line="158" w:lineRule="exact"/>
              <w:rPr>
                <w:sz w:val="20"/>
                <w:szCs w:val="20"/>
                <w:color w:val="auto"/>
              </w:rPr>
            </w:pPr>
            <w:r>
              <w:rPr>
                <w:rFonts w:ascii="Arial" w:cs="Arial" w:eastAsia="Arial" w:hAnsi="Arial"/>
                <w:sz w:val="14"/>
                <w:szCs w:val="14"/>
                <w:b w:val="1"/>
                <w:bCs w:val="1"/>
                <w:color w:val="auto"/>
                <w:w w:val="96"/>
              </w:rPr>
              <w:t>pledged</w:t>
            </w: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2,020</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(2,060)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86" w:right="4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impact of derivative instruments on the consolidated statements of operations for the years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2022 and 2021.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Derivatives in</w:t>
            </w: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ASC 815</w:t>
            </w:r>
          </w:p>
        </w:tc>
        <w:tc>
          <w:tcPr>
            <w:tcW w:w="1280" w:type="dxa"/>
            <w:vAlign w:val="bottom"/>
          </w:tcPr>
          <w:p>
            <w:pPr>
              <w:spacing w:after="0"/>
              <w:rPr>
                <w:sz w:val="13"/>
                <w:szCs w:val="13"/>
                <w:color w:val="auto"/>
              </w:rPr>
            </w:pPr>
          </w:p>
        </w:tc>
        <w:tc>
          <w:tcPr>
            <w:tcW w:w="1800" w:type="dxa"/>
            <w:vAlign w:val="bottom"/>
            <w:gridSpan w:val="4"/>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Amount of Loss</w:t>
            </w:r>
          </w:p>
        </w:tc>
        <w:tc>
          <w:tcPr>
            <w:tcW w:w="2680" w:type="dxa"/>
            <w:vAlign w:val="bottom"/>
            <w:gridSpan w:val="6"/>
            <w:vMerge w:val="restart"/>
          </w:tcPr>
          <w:p>
            <w:pPr>
              <w:jc w:val="center"/>
              <w:ind w:right="320"/>
              <w:spacing w:after="0"/>
              <w:rPr>
                <w:sz w:val="20"/>
                <w:szCs w:val="20"/>
                <w:color w:val="auto"/>
              </w:rPr>
            </w:pPr>
            <w:r>
              <w:rPr>
                <w:rFonts w:ascii="Arial" w:cs="Arial" w:eastAsia="Arial" w:hAnsi="Arial"/>
                <w:sz w:val="14"/>
                <w:szCs w:val="14"/>
                <w:b w:val="1"/>
                <w:bCs w:val="1"/>
                <w:color w:val="auto"/>
                <w:w w:val="92"/>
              </w:rPr>
              <w:t>Location/Amount of Loss</w:t>
            </w:r>
          </w:p>
        </w:tc>
        <w:tc>
          <w:tcPr>
            <w:tcW w:w="2340" w:type="dxa"/>
            <w:vAlign w:val="bottom"/>
            <w:gridSpan w:val="3"/>
          </w:tcPr>
          <w:p>
            <w:pPr>
              <w:jc w:val="center"/>
              <w:ind w:left="304"/>
              <w:spacing w:after="0" w:line="158" w:lineRule="exact"/>
              <w:rPr>
                <w:sz w:val="20"/>
                <w:szCs w:val="20"/>
                <w:color w:val="auto"/>
              </w:rPr>
            </w:pPr>
            <w:r>
              <w:rPr>
                <w:rFonts w:ascii="Arial" w:cs="Arial" w:eastAsia="Arial" w:hAnsi="Arial"/>
                <w:sz w:val="14"/>
                <w:szCs w:val="14"/>
                <w:b w:val="1"/>
                <w:bCs w:val="1"/>
                <w:color w:val="auto"/>
                <w:w w:val="95"/>
              </w:rPr>
              <w:t>Location/Amount of Gain</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1280" w:type="dxa"/>
            <w:vAlign w:val="bottom"/>
          </w:tcPr>
          <w:p>
            <w:pPr>
              <w:spacing w:after="0"/>
              <w:rPr>
                <w:sz w:val="12"/>
                <w:szCs w:val="12"/>
                <w:color w:val="auto"/>
              </w:rPr>
            </w:pPr>
          </w:p>
        </w:tc>
        <w:tc>
          <w:tcPr>
            <w:tcW w:w="18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680" w:type="dxa"/>
            <w:vAlign w:val="bottom"/>
            <w:gridSpan w:val="6"/>
            <w:vMerge w:val="continue"/>
          </w:tcPr>
          <w:p>
            <w:pPr>
              <w:spacing w:after="0"/>
              <w:rPr>
                <w:sz w:val="12"/>
                <w:szCs w:val="12"/>
                <w:color w:val="auto"/>
              </w:rPr>
            </w:pPr>
          </w:p>
        </w:tc>
        <w:tc>
          <w:tcPr>
            <w:tcW w:w="2340" w:type="dxa"/>
            <w:vAlign w:val="bottom"/>
            <w:gridSpan w:val="3"/>
          </w:tcPr>
          <w:p>
            <w:pPr>
              <w:jc w:val="center"/>
              <w:ind w:left="324"/>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Hedging</w:t>
            </w:r>
          </w:p>
        </w:tc>
        <w:tc>
          <w:tcPr>
            <w:tcW w:w="1280" w:type="dxa"/>
            <w:vAlign w:val="bottom"/>
          </w:tcPr>
          <w:p>
            <w:pPr>
              <w:spacing w:after="0"/>
              <w:rPr>
                <w:sz w:val="12"/>
                <w:szCs w:val="12"/>
                <w:color w:val="auto"/>
              </w:rPr>
            </w:pPr>
          </w:p>
        </w:tc>
        <w:tc>
          <w:tcPr>
            <w:tcW w:w="18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AOCI on</w:t>
            </w:r>
          </w:p>
        </w:tc>
        <w:tc>
          <w:tcPr>
            <w:tcW w:w="268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Reclassified from AOCI Into</w:t>
            </w:r>
          </w:p>
        </w:tc>
        <w:tc>
          <w:tcPr>
            <w:tcW w:w="2340" w:type="dxa"/>
            <w:vAlign w:val="bottom"/>
            <w:gridSpan w:val="3"/>
          </w:tcPr>
          <w:p>
            <w:pPr>
              <w:jc w:val="center"/>
              <w:ind w:left="304"/>
              <w:spacing w:after="0" w:line="149" w:lineRule="exact"/>
              <w:rPr>
                <w:sz w:val="20"/>
                <w:szCs w:val="20"/>
                <w:color w:val="auto"/>
              </w:rPr>
            </w:pPr>
            <w:r>
              <w:rPr>
                <w:rFonts w:ascii="Arial" w:cs="Arial" w:eastAsia="Arial" w:hAnsi="Arial"/>
                <w:sz w:val="14"/>
                <w:szCs w:val="14"/>
                <w:b w:val="1"/>
                <w:bCs w:val="1"/>
                <w:color w:val="auto"/>
                <w:w w:val="91"/>
              </w:rPr>
              <w:t>Statement of Operations 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Relationships</w:t>
            </w:r>
          </w:p>
        </w:tc>
        <w:tc>
          <w:tcPr>
            <w:tcW w:w="128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Derivatives</w:t>
            </w:r>
          </w:p>
        </w:tc>
        <w:tc>
          <w:tcPr>
            <w:tcW w:w="26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Statement of Operations</w:t>
            </w:r>
          </w:p>
        </w:tc>
        <w:tc>
          <w:tcPr>
            <w:tcW w:w="234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90"/>
              </w:rPr>
              <w:t>Derivatives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80" w:type="dxa"/>
            <w:vAlign w:val="bottom"/>
            <w:tcBorders>
              <w:top w:val="single" w:sz="8" w:color="auto"/>
            </w:tcBorders>
          </w:tcPr>
          <w:p>
            <w:pPr>
              <w:jc w:val="right"/>
              <w:ind w:right="85"/>
              <w:spacing w:after="0" w:line="149"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9"/>
              <w:spacing w:after="0" w:line="149"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50"/>
              <w:spacing w:after="0" w:line="149"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1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(8,273)</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(4,665)</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(8,514)</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(819)</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$ 135</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$ 123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As of December 31, 2022, the amount expected to be reclassified from accumulated other comprehensive loss into loss within the next twelve months is $1,225 thousand.</w:t>
      </w:r>
    </w:p>
    <w:p>
      <w:pPr>
        <w:spacing w:after="0" w:line="170"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The Company set aside cash deposits to the counterparties, Nomura Financial Investment (Korea) Co., Ltd. (“NFIK”) and Standard Chartered Bank Korea Limited (“SC”), as required for the zero cost collar contracts. These cash deposits are recorded as hedge collateral on the consolidated balance sheets. Cash deposits as of December 31, 2022 and 2021 are as follows (in thousands):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3"/>
              </w:rPr>
              <w:t>Counterparty</w:t>
            </w: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6020" w:type="dxa"/>
            <w:vAlign w:val="bottom"/>
            <w:gridSpan w:val="2"/>
          </w:tcPr>
          <w:p>
            <w:pPr>
              <w:spacing w:after="0"/>
              <w:rPr>
                <w:sz w:val="12"/>
                <w:szCs w:val="12"/>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2022</w:t>
            </w: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left="368"/>
              <w:spacing w:after="0" w:line="129"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SC</w:t>
            </w:r>
          </w:p>
        </w:tc>
        <w:tc>
          <w:tcPr>
            <w:tcW w:w="6020" w:type="dxa"/>
            <w:vAlign w:val="bottom"/>
            <w:tcBorders>
              <w:top w:val="single" w:sz="8" w:color="CCEEFF"/>
            </w:tcBorders>
            <w:gridSpan w:val="2"/>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1,000</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Total</w:t>
            </w:r>
          </w:p>
        </w:tc>
        <w:tc>
          <w:tcPr>
            <w:tcW w:w="6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The Company is required to deposit additional cash collateral with NFIK and SC for any exposure in excess of $500 thousand. As of December 31, 2022, $1,840 thousand and $100 thousand of additional cash collateral were required by NFIK and SC, respectively, and recorded as hedge collateral on the consolidated balance sheet. As of December 31, 2021, $760 thousand and $1,300 thousand of additional cash collateral were required by NFIK and SC, respectively, and recorded as hedge collateral on the consolidated balance sheet.</w:t>
      </w:r>
    </w:p>
    <w:p>
      <w:pPr>
        <w:spacing w:after="0" w:line="171" w:lineRule="exact"/>
        <w:rPr>
          <w:sz w:val="20"/>
          <w:szCs w:val="20"/>
          <w:color w:val="auto"/>
        </w:rPr>
      </w:pPr>
    </w:p>
    <w:p>
      <w:pPr>
        <w:ind w:left="120" w:right="1000" w:firstLine="440"/>
        <w:spacing w:after="0" w:line="277" w:lineRule="auto"/>
        <w:rPr>
          <w:sz w:val="20"/>
          <w:szCs w:val="20"/>
          <w:color w:val="auto"/>
        </w:rPr>
      </w:pPr>
      <w:r>
        <w:rPr>
          <w:rFonts w:ascii="Arial" w:cs="Arial" w:eastAsia="Arial" w:hAnsi="Arial"/>
          <w:sz w:val="18"/>
          <w:szCs w:val="18"/>
          <w:color w:val="auto"/>
        </w:rPr>
        <w:t>These zero cost collar contracts may be terminated by the counterparties if the Company’s total cash and cash equivalents is less than $30,000 thousand at the end of a fiscal quarter, unless a waiver is obtained.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Borrowings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On January 17, 2017, MagnaChip Semiconductor S.A. closed the Exchangeable Notes Offering of $86,250 thousand aggregate principal amount of 5.0% Exchangeable Notes. Interest on the Exchangeable Notes accrued at a rate of 5.0% per annum, payable semi-annually on March 1 and September 1 of each year, beginning on March 1, 2017. The Exchangeable Notes matured on March 1, 2021, unless they were earlier repurchased or converted. Holders had the right to convert their notes at their option at any time prior to the close of business on the business day immediately preceding the stated maturity date. Interest expense related to the Exchangeable Notes for the years ended December 31, 2021 and 2020 were $958 thousand and $5,708 thousand, respectively.</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the March 1, 2021 maturity of the Exchangeable Notes, holders elected to exchange all outstanding Exchangeable Notes for an aggregate of 10,144,131 shares of the Company’s common stock in satisfaction in full of the outstanding obligations under the Exchangeable Notes. Upon exchange, the Company delivered for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86" w:right="4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each $1,000 principal amount of exchanged Exchangeable Notes a number of shares equal to the exchange rate of 121.1387 shares of common stock per $1,000 principal amount of Exchangeable Notes, which was equivalent to an exchange price of approximately $8.26 per share of common stock. In connection with the exchanges, the fractional shares were paid in cash. Following March 1, 2021, the Company does not have any Exchangeable Notes outstanding.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July 18, 2013, the Company issued a $225,000 thousand aggregate principal amount of the 2021 Notes at a price of 99.5%. Interest on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Notes accrued at a rate of 6.625% per annum, payable semi-annually on January 15 and July 15 of each year, beginning on January 15, 2014.</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expense related to the 2021 Notes for the year ended December 31, 2020 was $11,926 thousand.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completed the full redemption of the remaining outstanding 2021 Notes on October 2, 2020. The Company paid approximately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$227,428 thousand to fully redeem all of the outstanding $224,250 thousand aggregate principal amount of the 2021 Notes at a redemption price equal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the sum of 100% of the principal amount of the 2021 Notes, plus accrued and unpaid interest thereon through, but excluding, the Redemption Date.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connection with the redemption of the 2021 Notes, the Company recorded a $766 thousand as loss on early extinguishment of borrowings related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remaining unamortized debt discount and debt issuance costs.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Accrued Severance Benefits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Employee Retirement Benefit Security Act of Korea, eligible employees and executive officers with one or more years of service are entitled to severance benefits upon the termination of their employment based on their length of service and rate of pay. As of December 31, 2022, 97% of all employees of the Company were eligible for severance benefits.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Provisions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Less: Cumulative contributions to severance insurance deposit accounts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(25,149)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National Pension Fund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Group severance insurance plan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86"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4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5"/>
              </w:rPr>
              <w:t>Severance</w:t>
            </w:r>
          </w:p>
        </w:tc>
      </w:tr>
      <w:tr>
        <w:trPr>
          <w:trHeight w:val="171"/>
        </w:trPr>
        <w:tc>
          <w:tcPr>
            <w:tcW w:w="6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Benefit</w:t>
            </w: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862</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1,782</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1,622</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2028 – 2032</w:t>
            </w: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19,305</w:t>
            </w:r>
          </w:p>
        </w:tc>
      </w:tr>
    </w:tbl>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Korea’s mandatory retirement age is 60 years of age or older under the Employment Promotion for the Aged Act. The Company sets the retirement age of employees at 60.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Stockholders’ Equity and Stock-Based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December 21, 2021, the Board of Directors authorized the Company to repurchase up to $75,000 thousand of the Company’s outstanding common stock and the Company entered into an accelerated stock repurchase agreement (the “ASR Agreement”) with JPMorgan Chase Bank, National Association (“JPM”) to repurchase an aggregate of $37,500 thousand of the Company’s common stock.</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Pursuant to the terms of the ASR Agreement dated December 21, 2021, the Company paid to JPM $37,500 thousand in cash and received an initial delivery of 994,695 shares of its common stock in the open market for an aggregate purchase price of $20,073 thousand and a price per share of $20.18 on December 22, 2021.</w:t>
      </w:r>
    </w:p>
    <w:p>
      <w:pPr>
        <w:spacing w:after="0" w:line="184"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As of December 31, 2021, the Company accounted for the remaining portion of the ASR Agreement as a forward contract indexed to its own common stock and recorded $17,427 thousand in additional paid-in capital in stockholders’ equity in its consolidated balance sheets.</w:t>
      </w:r>
    </w:p>
    <w:p>
      <w:pPr>
        <w:spacing w:after="0" w:line="14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March 2022, the previously announced repurchase of $37,500 thousand of the Company’s common stock was completed pursuant to the ASR Agreement, and as a result, the Company additionally received 1,031,576 shares of its common stock for an aggregate purchase price of</w:t>
      </w:r>
    </w:p>
    <w:p>
      <w:pPr>
        <w:ind w:left="120" w:right="160"/>
        <w:spacing w:after="0" w:line="260" w:lineRule="auto"/>
        <w:rPr>
          <w:sz w:val="20"/>
          <w:szCs w:val="20"/>
          <w:color w:val="auto"/>
        </w:rPr>
      </w:pPr>
      <w:r>
        <w:rPr>
          <w:rFonts w:ascii="Arial" w:cs="Arial" w:eastAsia="Arial" w:hAnsi="Arial"/>
          <w:sz w:val="18"/>
          <w:szCs w:val="18"/>
          <w:color w:val="auto"/>
        </w:rPr>
        <w:t>$17,217 thousand at a price per share of $16.69, which was reclassified as treasury stock from additional paid-in capital in stockholder’s equity in the Company’s consolidated balance sheets.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40"/>
          </w:cols>
          <w:pgMar w:left="320" w:top="486" w:right="5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August 31, 2022, the Board of Directors has authorized an expansion of the Company’s previously announced stock repurchase program from $75,000 thousand to $87,500 thousand of the Company’s common stock. The remaining $50,000 thousand of the expanded $87,500 thousand program was planned to be repurchased in the open market or through privately negotiated transactions. In connection with the repurchase program, the Company has established a stock trading plan with Oppenheimer &amp; Co. Inc. in accordance with Rule 10b5-1 under the Securities Exchange Act of 1934, as amended.</w:t>
      </w:r>
    </w:p>
    <w:p>
      <w:pPr>
        <w:spacing w:after="0" w:line="18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From September 2022 to December 2022, the Company repurchased 1,235,650 shares of its common stock in the open market for an aggregate purchase price of $12,511 thousand and a price per share of $10.13 under the stock repurchase program.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Company adopted its 2009 Common Unit Plan, or the 2009 Plan, effective December 8, 2009, which is administered by the Compensation Committee of the Company’s Board of Directors (the “Compensation Committee”). The 2009 Plan terminated in connection with the Company’s initial public offering in March 2011, and no additional options or other equity awards may be granted under the 2009 Plan. The Company adopted its 2011 Equity Incentive Plan, or the 2011 Plan, in March 2010. The Company amended and restated the 2011 Plan in February 2011, and the Company’s stockholders approved the amendment in March 2011 to reflect that it became effective in 2011 in connection with the Company’s initial public offering in March 2011. The 2011 Plan was amended on October 23, 2017, to revise the clawback policy of the 2011 Plan. The 2011 Plan was amended on April 26, 2018 to amend the tax withholding provisions as they relate to directed sales of shares. At the 2020 Annual Meeting of Stockholders, the Company’s stockholders approved its 2020 Equity and Incentive Compensation Plan, or the 2020 Plan, which is administered by the Compensation Committee. Following the adoption of the 2020 Plan, no further awards may be issued under the 2011 Plan.</w:t>
      </w:r>
    </w:p>
    <w:p>
      <w:pPr>
        <w:spacing w:after="0" w:line="16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Awards may be granted under the 2020 Plan to the Company’s employees, officers, directors, or certain consultants or those of any subsidiary of the Company. While the Company may grant incentive stock options only to employees, the Company may grant non-statutory stock options, stock appreciation rights, restricted stock, restricted stock units, performance shares, performance units, dividend equivalents and cash-based awards or other stock-based awards to any eligible participant, subject to terms and conditions determined by the Compensation Committee. The term of any options granted under the 2020 Plan shall not exceed ten years from the date of grant. As of December 31, 2022 an aggregate maximum of 11,352,919 shares were authorized and 1,351,913 shares were reserved for all future grants.</w:t>
      </w:r>
    </w:p>
    <w:p>
      <w:pPr>
        <w:spacing w:after="0" w:line="178"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Stock options and stock appreciation rights must have exercise prices at least equal to the fair market value of the stock at the time of their grant pursuant to the 2011 Plan and 2020 Plan. Stock options typically vest over one to three years following grant, subject to the participant’s continued service through the applicable vesting dates. As of December 31, 2022, no stock options or stock appreciation rights had been granted under 2020 Plan.</w:t>
      </w:r>
    </w:p>
    <w:p>
      <w:pPr>
        <w:spacing w:after="0" w:line="14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Restricted stock units granted under the 2011 Plan and 2020 Plan represent a right to receive shares of the Company’s common stock when the restricted stock unit vests. No monetary payment (other than applicable tax withholding) shall be required as a condition of receiving shares pursuant to a restricted stock unit, the consideration for which shall be services actually rendered to a participating company or for its benefit. Stock issued pursuant to any restricted stock unit may (but need not) be made subject to vesting conditions based upon the satisfaction of such service requirements, conditions, restrictions or performance criteria as shall be established by the Compensation Committee and set forth in the award agreement evidencing such award.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86"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Restricted stock units typically vest over one to three years following grant, subject to the participant’s continued service through the applicable vesting dates.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Restricted stock constitutes an immediate transfer of the ownership of shares of the Company’s common stock to the participant in consideration of the performance of services, entitling such participant to voting, dividend and other ownership rights, subject to the substantial risk of forfeiture and restrictions on transfer determined by the Compensation Committee for a period of time determined by the Compensation Committee or until certain management objectives specified by the Compensation Committee are achieved. Each grant of restricted stock may be made without additional consideration or in consideration of a payment by the participant that is less than the fair market value per share of common stock on the grant date. Stock issued pursuant to any restricted stock award may (but need not) be made subject to vesting conditions based upon the satisfaction of such service requirements, conditions, restrictions or performance criteria as shall be established by the Compensation Committee and set forth in the award agreement evidencing such award. A grant of restricted stock may require that any and all dividends and distributions paid on restricted stock that remains subject to a substantial risk of forfeiture be automatically deferred and/or reinvested in additional restricted stock, which will be subject to the same restrictions as the underlying restricted stock, but any such dividends or other distributions on restricted stock must be deferred until, and paid contingent upon, the vesting of such restricted stock.</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restricted stock unit activities for the year ended December 31, 2022.</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 of</w:t>
            </w: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4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Stock Units</w:t>
            </w: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Stock Units</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833,961</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726,000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5"/>
              </w:rPr>
              <w:t>(374,803)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w w:val="95"/>
              </w:rPr>
              <w:t>(369,751)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815,407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36</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Total compensation expenses recorded for the restricted stock units were $6,037 thousand, $7,704 thousand and $6,311 thousand for the years ended December 31, 2022, 2021 and 2020, respectively. As of December 31, 2022, there was $4,036 thousand of total unrecognized compensation cost related to unvested restricted stock units, which is expected to be recognized over a weighted average future period of 0.7 year. Total fair value of restricted stock units vested were $6,369 thousand, $5,788 thousand and $3,839 thousand for the years ended December 31, 2022, 2021 and 2020, respectively.</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60"/>
          </w:cols>
          <w:pgMar w:left="320" w:top="486" w:right="51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summarizes stock option activities for the year ended December 31, 2022. At the date of grant, all options had an exercise price not less than the fair value of common stock (aggregate intrinsic value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 of</w:t>
            </w:r>
          </w:p>
        </w:tc>
        <w:tc>
          <w:tcPr>
            <w:tcW w:w="14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of</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Life of</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Options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1,297,877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13,262</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3"/>
              </w:rPr>
              <w:t>3.1 years</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Expired</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(7,993)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(152,326)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1,187</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Outstanding at December 31, 2022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1,137,558</w:t>
            </w:r>
          </w:p>
        </w:tc>
        <w:tc>
          <w:tcPr>
            <w:tcW w:w="18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10.64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1,702</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w w:val="94"/>
              </w:rPr>
              <w:t>2.3 years</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December 31, 2022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1,137,558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1,702</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2.3 years</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compensation expenses recorded for the stock options for the years ended December 31, 2022, 2021 and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Early termination and other charges, net</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year ended December 31, 2022, the Company recorded in its consolidated statement of operations $2,821 thousand of one-time employee incentives, and professional service fees and expenses of $1,014 thousand incurred in connection with certain strategic evaluations. During the same period, the Company also recorded $537 thousand gain on sale of certain legacy equipment of the closed back-end line in the Company’s fabrication facility in Gumi (which was closed during the year ended December 31, 2018).</w:t>
      </w:r>
    </w:p>
    <w:p>
      <w:pPr>
        <w:spacing w:after="0" w:line="18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For the year ended December 31, 2021, the Company recorded in its consolidated statement of operations $3,430 thousand of non-recurring professional service fees and expenses incurred in connection with the regulatory requests, and recorded $1,419 thousand gain on sale of certain legacy equipment of the closed back-end line in the Company’s fabrication facility in Gumi.</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year ended December 31, 2020, the Company recorded in its consolidated statement of operations $4,422 thousand of early termination and other charges, net in connection with the headcount reduction program offered and paid to the employees during the fourth quarter of 2020. During the same period, the Company also recorded $554 thousand of non-recurring professional service fees and expenses incurred in connection with certain treasury and finance initiatives.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Foreign Currency Loss, Net</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the Company’s Korean subsidiary. The loans are denominated in U.S. dollars and are affected by changes in the exchange rate between the Korean won and the U.S. dollar. As of December 31, 2022, 2021 and 2020, the outstanding intercompany loan balances including accrued interest between the Korean subsidiary and the Dutch subsidiary were $310,988 thousand, $344,411 thousand and $378,852 thousand, respectively. The Korean won to U.S. dollar exchange rates were 1,267.3:1, 1,185.5:1 and 1,088.0:1 using the first base rate as of December 31, 2022, 2021 and 2020, respectively, as quoted by the KEB Hana Bank.</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86" w:right="4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Company’s income tax expense (benefit) is composed of domestic and foreign income taxes depending on the relevant tax jurisdictions. Domestic income (loss) from continuing operations before income tax expense (benefit) and income tax expense (benefit) are generated or incurred in the U.S, where the parent company resides.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components of income tax expense (benefit) attributable to income (loss) from continuing operations are as follows (in thousands):</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112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2"/>
                <w:szCs w:val="12"/>
                <w:color w:val="auto"/>
              </w:rPr>
            </w:pPr>
          </w:p>
        </w:tc>
        <w:tc>
          <w:tcPr>
            <w:tcW w:w="6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 expense (benefit)</w:t>
            </w:r>
          </w:p>
        </w:tc>
        <w:tc>
          <w:tcPr>
            <w:tcW w:w="7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Domestic</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$(1,955)</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$41,566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$(12,305)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(924)</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32,403</w:t>
            </w: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23,136</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(2,879)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73,969</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 (benefit)</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Domestic</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639</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6,876</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4,297</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9,415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Uncertain tax position liability (foreign)</w:t>
            </w:r>
          </w:p>
        </w:tc>
        <w:tc>
          <w:tcPr>
            <w:tcW w:w="7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(35)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4,903</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16,256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Deferred income tax expense (benefit)</w:t>
            </w:r>
          </w:p>
        </w:tc>
        <w:tc>
          <w:tcPr>
            <w:tcW w:w="7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Domestic</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(1,264)</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Foreign</w:t>
            </w:r>
          </w:p>
        </w:tc>
        <w:tc>
          <w:tcPr>
            <w:tcW w:w="7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1,518</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(309)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(39,484)</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1,005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(43,945)</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income tax expense (benefit)</w:t>
            </w:r>
          </w:p>
        </w:tc>
        <w:tc>
          <w:tcPr>
            <w:tcW w:w="7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$ 5,157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17,261</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(46,228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980"/>
              <w:spacing w:after="0"/>
              <w:rPr>
                <w:sz w:val="20"/>
                <w:szCs w:val="20"/>
                <w:color w:val="auto"/>
              </w:rPr>
            </w:pPr>
            <w:r>
              <w:rPr>
                <w:rFonts w:ascii="Arial" w:cs="Arial" w:eastAsia="Arial" w:hAnsi="Arial"/>
                <w:sz w:val="18"/>
                <w:szCs w:val="18"/>
                <w:color w:val="auto"/>
              </w:rPr>
              <w:t>98</w:t>
            </w:r>
          </w:p>
        </w:tc>
        <w:tc>
          <w:tcPr>
            <w:tcW w:w="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86" w:right="6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provision for domestic and foreign income taxes (benefit) incurred is different from the amount calculated by applying the statutory tax rates to the income (loss) from continuing operations before income tax expense (benefit). The significant items causing this difference are as follows (in thousands):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1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computed at statutory rates</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$ 15,533</w:t>
            </w: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State income taxes, net of federal effect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tax rates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2,006</w:t>
            </w:r>
          </w:p>
        </w:tc>
        <w:tc>
          <w:tcPr>
            <w:tcW w:w="10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Difference in foreign tax rates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Derivative assets adjustment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TPECs, hybrid and other interest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(2,096)</w:t>
            </w:r>
          </w:p>
        </w:tc>
        <w:tc>
          <w:tcPr>
            <w:tcW w:w="16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Thin capitalization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16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Permanent foreign currency gain (loss)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1,676</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1,888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Penalty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GILTI</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8,187</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6,156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Intercompany debt restructuring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Other permanent differences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(2,031)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State net operating loss write off</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9,844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(4,582)</w:t>
            </w:r>
          </w:p>
        </w:tc>
        <w:tc>
          <w:tcPr>
            <w:tcW w:w="16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(13,803)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(75,452)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Tax credits claimed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(5,658)</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(5,508)</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(12,397)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liability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6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Change in net operating loss carry-forwards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Foreign local taxes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c>
          <w:tcPr>
            <w:tcW w:w="0" w:type="dxa"/>
            <w:vAlign w:val="bottom"/>
          </w:tcPr>
          <w:p>
            <w:pPr>
              <w:spacing w:after="0" w:line="20" w:lineRule="exact"/>
              <w:rPr>
                <w:sz w:val="1"/>
                <w:szCs w:val="1"/>
                <w:color w:val="auto"/>
              </w:rPr>
            </w:pPr>
          </w:p>
        </w:tc>
      </w:tr>
      <w:tr>
        <w:trPr>
          <w:trHeight w:val="223"/>
        </w:trPr>
        <w:tc>
          <w:tcPr>
            <w:tcW w:w="570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$ 17,261</w:t>
            </w:r>
          </w:p>
        </w:tc>
        <w:tc>
          <w:tcPr>
            <w:tcW w:w="5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(46,228</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For the year ended December 31, 2022, a permanent difference of $8,187 thousand was included as Global intangible low-taxed income (“GILTI”) in the U.S., which was primarily attributable to the income earned by certain foreign subsidiaries of the Company, including its Korean subsidiary. The permanent tax expense of $8,061 thousand related to intercompany debt restructuring recorded for the year ended December 31, 2022 was derived from the waiver and release of unpaid interests of the intercompany loans granted to the Korean subsidiary by the Dutch subsidiary. In connection with the waiver of unpaid interests, the related withholding tax was reversed, resulting in the recognition of income tax benefit of $2,031 thousand.</w:t>
      </w:r>
    </w:p>
    <w:p>
      <w:pPr>
        <w:spacing w:after="0" w:line="192"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The income tax benefit of $4,582 thousand was due to the changes in valuation allowances during the year ended December 31, 2022, of which $2,670 thousand related to the release of valuation allowances related to the U.S parent company’s current year earnings, which was mainly driven by GILTI inclusion. The remaining $1,912 thousand represented the release of valuation allowances based on the realizability of the related deferred tax assets in future years.</w:t>
      </w:r>
    </w:p>
    <w:p>
      <w:pPr>
        <w:spacing w:after="0" w:line="214"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Of the income tax benefit of $13,803 thousand attributable to the change in valuation allowances during the year ended December 31, 2021, $9,844 thousand related to the release of the valuation allowance established against the deferred tax assets associated in the U.S. entity due to the dissolution of the Company’s domestic</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0"/>
          </w:cols>
          <w:pgMar w:left="320" w:top="486" w:right="5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subsidiary in 2021 subsequent to the sale of the Foundry Services Group business and Fab 4. The offsetting expense of $9,844 thousand was included in the state net operating loss write-off in 2021, resulting in no income tax effect in the year. The Company’s parent entity in the U.S. is no longer subject to state income taxes in 2022 and thereafter. The remaining $3,959 thousand represented the release of valuation allowances based on the assessment of the realizability of the related deferred tax assets in future tax years.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For the year ended December 31, 2020, a permanent difference of $24,224 thousand was included as GILTI in the U.S., and was primarily attributable to the income earned by certain foreign subsidiaries of the Company, including its Korean subsidiary, from the sale of the Foundry Services Group business and Fab 4.</w:t>
      </w:r>
    </w:p>
    <w:p>
      <w:pPr>
        <w:spacing w:after="0" w:line="184"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income tax benefit of $75,452 thousand was due to the changes in valuation allowances during the year ended December 31, 2020, of which $31,578 thousand related to the release of valuation allowances related to the Company’s current year earnings, which were mainly driven by GILTI inclusion at the U.S. parent company. The remaining $43,874 thousand represented the release of valuation allowances based on the realizability of the related deferred tax assets in future years. The Company’s operating subsidiary in Korea had generated three years of cumulative profits adjusted for permanent differences and anticipated to generate taxable basis for the subsequent years. As a result, $39,413 thousand of valuation allowances, established against the Korean subsidiary’s deferred tax assets, were released as of December 31, 2020.</w:t>
      </w:r>
    </w:p>
    <w:p>
      <w:pPr>
        <w:spacing w:after="0" w:line="178"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Of the permanent tax expense of $11,137 thousand related to intercompany debt restructuring recorded for the year ended December 31, 2020, $11,890 thousand related to the waiver and release of unpaid interests of the intercompany loans granted to the Korean subsidiary by the Dutch subsidiary. This transaction created taxable income for the Korean subsidiary, but did not result in a liability because of the utilization of loss carryforwards, which were used against income from cancellation of intercompany loans.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86" w:right="4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composition of net deferred income tax assets (liabilities) as of December 31, 2022 and 2021 are as follows (in thousands):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Inventory reserves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3,108</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Accumulated severance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Operating lease right-of-use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NOL carry-forwards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78,698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87,636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Tax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long-term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deduction limitation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CCEEFF"/>
          </w:tcPr>
          <w:p>
            <w:pPr>
              <w:spacing w:after="0"/>
              <w:rPr>
                <w:sz w:val="18"/>
                <w:szCs w:val="18"/>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139,052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148,598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(84,563)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(94,212)</w:t>
            </w:r>
          </w:p>
        </w:tc>
      </w:tr>
      <w:tr>
        <w:trPr>
          <w:trHeight w:val="230"/>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54,489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54,386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Prepaid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Severance benefit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13,291</w:t>
            </w:r>
          </w:p>
        </w:tc>
        <w:tc>
          <w:tcPr>
            <w:tcW w:w="120" w:type="dxa"/>
            <w:vAlign w:val="bottom"/>
            <w:shd w:val="clear" w:color="auto" w:fill="CCEEFF"/>
          </w:tcPr>
          <w:p>
            <w:pPr>
              <w:spacing w:after="0"/>
              <w:rPr>
                <w:sz w:val="18"/>
                <w:szCs w:val="18"/>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 has not recognized a deferred tax liability related to outside basis differences inherent in its foreign subsidiaries because the investments in those foreign subsidiaries within the group are essentially permanent in duration or earnings in foreign subsidiaries are intended to be indefinitely reinvested. It is not practicable to estimate the amount of deferred income taxes not recorded that are associated with those outside basis differences. If circumstances change and it becomes apparent that the undistributed earnings from foreign subsidiaries will be remitted or the parent entity will dispose of its interest in the subsidiaries in the foreseeable future, and related income taxes have not been recognized by the parent entity, the parent entity will accrue as an expense of the current period income taxes attributable to that remittance or disposition.</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40"/>
          </w:cols>
          <w:pgMar w:left="320" w:top="486" w:right="5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Changes in valuation allowance for deferred tax assets of continuing operations and discontinued operations for the years ended December 31, 2022, 2021 and 2020 are as follows (in thousands):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5"/>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2"/>
                <w:szCs w:val="12"/>
                <w:color w:val="auto"/>
              </w:rPr>
            </w:pPr>
          </w:p>
        </w:tc>
        <w:tc>
          <w:tcPr>
            <w:tcW w:w="7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$94,212</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115,636</w:t>
            </w: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$246,224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Reductions</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(4,582)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(13,803)</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(75,452)</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Changes relating to the discontinued operations</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(67,484)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NOL/tax credit claimed/expired</w:t>
            </w:r>
          </w:p>
        </w:tc>
        <w:tc>
          <w:tcPr>
            <w:tcW w:w="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3,686</w:t>
            </w:r>
          </w:p>
        </w:tc>
        <w:tc>
          <w:tcPr>
            <w:tcW w:w="1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(5,067)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8,662</w:t>
            </w:r>
          </w:p>
        </w:tc>
        <w:tc>
          <w:tcPr>
            <w:tcW w:w="120" w:type="dxa"/>
            <w:vAlign w:val="bottom"/>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84,563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94,212</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115,636</w:t>
            </w:r>
          </w:p>
        </w:tc>
        <w:tc>
          <w:tcPr>
            <w:tcW w:w="12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of December 31, 2022, 2021 and 2020, respectively, the Company recorded a valuation allowance of $84,563 thousand, $94,212 thousand and $115,636 thousand on its deferred tax assets related to temporary differences, net operating loss carry-forwards and tax credits of domestic and foreign subsidiaries.</w:t>
      </w:r>
    </w:p>
    <w:p>
      <w:pPr>
        <w:spacing w:after="0" w:line="18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Company has recorded a full valuation allowance against certain foreign subsidiaries’ deferred tax assets pertaining to its related tax loss carry-forwards that are not anticipated to generate a tax benefit. The valuation allowances at December 31, 2022, 2021 and 2020 were primarily attributable to its Luxembourg subsidiary.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net operating loss carry-forwards balance as of December 31, 2022, 2021 and 2020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1200" w:type="dxa"/>
            <w:vAlign w:val="bottom"/>
            <w:gridSpan w:val="2"/>
          </w:tcPr>
          <w:p>
            <w:pPr>
              <w:jc w:val="center"/>
              <w:ind w:left="428"/>
              <w:spacing w:after="0" w:line="142" w:lineRule="exact"/>
              <w:rPr>
                <w:sz w:val="20"/>
                <w:szCs w:val="20"/>
                <w:color w:val="auto"/>
              </w:rPr>
            </w:pPr>
            <w:r>
              <w:rPr>
                <w:rFonts w:ascii="Arial" w:cs="Arial" w:eastAsia="Arial" w:hAnsi="Arial"/>
                <w:sz w:val="14"/>
                <w:szCs w:val="14"/>
                <w:b w:val="1"/>
                <w:bCs w:val="1"/>
                <w:color w:val="auto"/>
                <w:w w:val="96"/>
              </w:rPr>
              <w:t>2021</w:t>
            </w:r>
          </w:p>
        </w:tc>
        <w:tc>
          <w:tcPr>
            <w:tcW w:w="480" w:type="dxa"/>
            <w:vAlign w:val="bottom"/>
          </w:tcPr>
          <w:p>
            <w:pPr>
              <w:spacing w:after="0"/>
              <w:rPr>
                <w:sz w:val="12"/>
                <w:szCs w:val="12"/>
                <w:color w:val="auto"/>
              </w:rPr>
            </w:pPr>
          </w:p>
        </w:tc>
        <w:tc>
          <w:tcPr>
            <w:tcW w:w="7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NOL carry-forwards</w:t>
            </w:r>
          </w:p>
        </w:tc>
        <w:tc>
          <w:tcPr>
            <w:tcW w:w="2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$324,134</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$502,511</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$ 604,977</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As of December 31, 2022, the Company had $324,134 thousand of net operating loss carry-forwards available to offset future taxable income, of which $271,753 thousand is associated with the Company’s Luxembourg subsidiary, mainly attributable to certain expenses incurred in connection with its shareholding in the Company’s Dutch subsidiary. Of the $271,753 thousand net operating loss carry-forwards, $263,506 thousand is carried forward indefinitely and the remaining $8,247 thousand expires from 2034 through 2039. The net operating loss carry-forwards retained by the Company’s U.S. parent amounts to $50,522 thousand, which expires at various dates through 2037.</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utilized net operating loss of $19,900 thousand, $70,672 thousand and $169,600 thousand for the years ended December 31, 2022,</w:t>
      </w:r>
    </w:p>
    <w:p>
      <w:pPr>
        <w:spacing w:after="0" w:line="46"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2021 and 2020, respectively. The Company also has Dutch tax credit carry-forwards of $13,337 thousand as of December 31, 2022. The Dutch tax credits are carried forward to be used for an indefinite period of time.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Uncertainty in Income Taxes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and its subsidiaries file income tax returns in Korea, Japan, Taiwan, and the U.S and in various other jurisdictions. The Company is subject to income- or non-income tax examinations by tax authorities of these jurisdictions for all open tax years.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80"/>
          </w:cols>
          <w:pgMar w:left="320" w:top="486" w:right="4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of December 31, 2022, 2021 and 2020, the Company recorded $316 thousand, $386 thousand and $414 thousand of unrecognized tax benefits,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tabular reconciliation of the total amounts of unrecognized tax benefits at the beginning and end of each period is as follows (in thousands):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2022</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ind w:left="115"/>
              <w:spacing w:after="0" w:line="142" w:lineRule="exact"/>
              <w:rPr>
                <w:sz w:val="20"/>
                <w:szCs w:val="20"/>
                <w:color w:val="auto"/>
              </w:rPr>
            </w:pPr>
            <w:r>
              <w:rPr>
                <w:rFonts w:ascii="Arial" w:cs="Arial" w:eastAsia="Arial" w:hAnsi="Arial"/>
                <w:sz w:val="14"/>
                <w:szCs w:val="14"/>
                <w:b w:val="1"/>
                <w:bCs w:val="1"/>
                <w:color w:val="auto"/>
                <w:w w:val="96"/>
              </w:rPr>
              <w:t>2021</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 balance at the beginning</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$ 386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$ 414</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$ 445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Lapse of statute of limitations</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(73)</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(79)</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 adjustments</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Unrecognized tax benefits, balance at the ending</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 xml:space="preserve"> 316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 xml:space="preserve"> 386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$ 414</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interest and penalties related to unrecognized tax benefits were recognized as of December 31, 2022, 2021 and 2020.</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is currently unaware of any uncertain tax positions that could result in significant additional payments, accruals, or other material deviations from this estimate over the next 12 months.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IRA</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On August 16, 2022, the IRA was signed into law, which imposes a 15% alternative minimum tax on the adjusted financial statement income of large corporations with average annual financial income exceeding $1 billion and a 1% excise tax on net stock repurchases by publicly traded U.S. corporations for tax years beginning after December 31, 2022. The IRA did not have any impact on the Company’s income tax for the year ended December 31, 2022 and the Company will continue to evaluate the impact this might have in future periods.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Geographic and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the single continuing operating segment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3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71,432</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$ 205,322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299,057</w:t>
            </w:r>
          </w:p>
        </w:tc>
        <w:tc>
          <w:tcPr>
            <w:tcW w:w="0" w:type="dxa"/>
            <w:vAlign w:val="bottom"/>
          </w:tcPr>
          <w:p>
            <w:pPr>
              <w:spacing w:after="0"/>
              <w:rPr>
                <w:sz w:val="1"/>
                <w:szCs w:val="1"/>
                <w:color w:val="auto"/>
              </w:rPr>
            </w:pPr>
          </w:p>
        </w:tc>
      </w:tr>
      <w:tr>
        <w:trPr>
          <w:trHeight w:val="216"/>
        </w:trPr>
        <w:tc>
          <w:tcPr>
            <w:tcW w:w="392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230,464</w:t>
            </w:r>
          </w:p>
        </w:tc>
        <w:tc>
          <w:tcPr>
            <w:tcW w:w="3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227,777</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166,462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standard products business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301,896</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433,099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465,519</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Transitional Fab 3 foundry services</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35,762</w:t>
            </w:r>
          </w:p>
        </w:tc>
        <w:tc>
          <w:tcPr>
            <w:tcW w:w="3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41,131</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41,540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337,658</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$ 474,230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507,059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160" w:type="dxa"/>
            <w:vAlign w:val="bottom"/>
            <w:vMerge w:val="restart"/>
          </w:tcPr>
          <w:p>
            <w:pPr>
              <w:jc w:val="right"/>
              <w:ind w:right="1790"/>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29"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7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99,549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149,596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127,099</w:t>
            </w: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1,218</w:t>
            </w:r>
          </w:p>
        </w:tc>
      </w:tr>
      <w:tr>
        <w:trPr>
          <w:trHeight w:val="223"/>
        </w:trPr>
        <w:tc>
          <w:tcPr>
            <w:tcW w:w="708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101,264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153,543</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128,317</w:t>
            </w:r>
          </w:p>
        </w:tc>
        <w:tc>
          <w:tcPr>
            <w:tcW w:w="6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following is a summary of net sales—standard products business (which does not include the Transitional Fab 3 Foundry Services) by geographic region, based on the location to which the products are billed (in thousands):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2022</w:t>
            </w:r>
          </w:p>
        </w:tc>
        <w:tc>
          <w:tcPr>
            <w:tcW w:w="12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2"/>
                <w:szCs w:val="12"/>
                <w:color w:val="auto"/>
              </w:rPr>
            </w:pPr>
          </w:p>
        </w:tc>
        <w:tc>
          <w:tcPr>
            <w:tcW w:w="7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$105,285</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$ 113,776</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$106,415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179,555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306,333</w:t>
            </w:r>
          </w:p>
        </w:tc>
        <w:tc>
          <w:tcPr>
            <w:tcW w:w="4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347,597</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Europe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6,687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5,698</w:t>
            </w:r>
          </w:p>
        </w:tc>
        <w:tc>
          <w:tcPr>
            <w:tcW w:w="4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4,317</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80" w:type="dxa"/>
            <w:vAlign w:val="bottom"/>
            <w:shd w:val="clear" w:color="auto" w:fill="CCEEFF"/>
          </w:tcPr>
          <w:p>
            <w:pPr>
              <w:spacing w:after="0"/>
              <w:rPr>
                <w:sz w:val="18"/>
                <w:szCs w:val="18"/>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301,896</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433,099</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465,519</w:t>
            </w: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For the years ended December 31, 2022, 2021 and 2020, of the Company’s net sales—standard products business in Asia Pacific (other than Korea), net sales—standard products business in Greater China (China and Hong Kong) represented 68.5%, 65.8% and 82.0%, respectively, and net sales—standard products business in Vietnam represented 13.6%, 26.4% and 14.4%, respectively.</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Net sales from the Company’s top ten largest customers in the standard products business (which does not include the Transitional Fab 3 Foundry Services) accounted for 69%, 80% and 88% for the years ended December 31, 2022, 2021 and 2020, respectively.</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For the year ended December 31, 2022, the Company had two customers that represented 19.0% and 13.8% of its net sales—standard products business, and for the year ended December 31, 2021, the Company had two customers that represented 42.5% and 10.4% of its net sales—standard products business, and for the year ended December 31, 2020, the Company had one customer that represented 56.2% of its net sales—standard products business.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2022, two customers of the Company’s standard products business accounted for 25.1% and 15.2% of its accounts receivable</w:t>
      </w:r>
    </w:p>
    <w:p>
      <w:pPr>
        <w:spacing w:after="0" w:line="46"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 standard products business (which does not include the Transitional Fab 3 Foundry Services), respectively. As of December 31, 2021, two customers of the Company’s standard products business accounted for 30.3% and 15.5% of its accounts receivable – standard products business (which does not include the Transitional Fab 3 Foundry Services), respectively.</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99% of the Company’s property, plant and equipment are located in Korea as of December 31,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Merger Agreement</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On March 25, 2021, the Company, South Dearborn Limited, an exempted company incorporated in the Cayman Islands with limited liability (“Holdco”), formed by an affiliate of Wise Road Capital LTD (“Wise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60"/>
          </w:cols>
          <w:pgMar w:left="320" w:top="486" w:right="5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Road”), and Michigan Merger Sub, Inc., a Delaware corporation and a wholly owned subsidiary of Holdco (“Merger Sub”), entered into an Agreement and Plan of Merger (as amended, the “Merger Agreement”), providing for, among other things and subject to the terms and conditions thereof, the merger of Merger Sub with and into the Company (the “Merger”), with the Company surviving the Merger as a wholly owned subsidiary of Holdco.</w:t>
      </w:r>
    </w:p>
    <w:p>
      <w:pPr>
        <w:spacing w:after="0" w:line="14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closing of the Merger was subject to certain conditions, including clearance by the Committee on Foreign Investment in the United States (“CFIUS”) under the Defense Production Act of 1950, as amended. The Company and Holdco were advised that CFIUS clearance of the Merger would not be forthcoming and received permission from CFIUS to withdraw their joint filing. In connection therewith, the Company and Holdco entered into a Termination and Settlement Agreement, dated December 13, 2021 (the “Termination Agreement”), pursuant to which Holdco agreed to pay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$70,200 thousand (the “Termination Fee”) to the Company on the terms specified in the Termination Agreement in satisfaction of Holdco’s obligation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pay a termination fee in connection with the termination of the Merger Agreement. On December 20, 2021, the Merger Agreement was terminated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pursuant to the Termination Agreement after the Company’s receipt of a fee of $51,000 thousand from Holdco and a standby letter of credit, which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secures a deferred fee of $19,200 thousand from Holdco due on or before March 31, 2022. As of December 31, 2021, of the Termination Fee,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$19,200 thousand deferred fee was recorded as other receivables. In connection therewith, the Company, Holdco and Wise Road entered into a First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Amendment to the Termination Agreement, dated April 4, 2022, pursuant to which Holdco paid $14,400 thousand on April 4, 2022, with</w:t>
      </w:r>
    </w:p>
    <w:p>
      <w:pPr>
        <w:spacing w:after="0" w:line="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$4,800 thousand remaining outstanding. The Company, Holdco and Wise Road entered into a Second Amendment to the Termination Agreement, dated August 5, 2022 pursuant to which Holdco paid $3,000 thousand on August 5, 2022, of the deferred fee and payment of the remaining $1,800 thousand was due on or before October 31, 2022. The Company, Holdco and Wise Road entered into a Letter Agreement, dated October 28, 2022 pursuant to which the parties agreed to defer the remaining $1,800 thousand due on or before December 23, 2022. The Company, Holdco and Wise Road entered into an additional Letter Agreement, dated January 31, 2023 pursuant to which the parties agreed to defer the remaining $1,800 thousand due on or before February 28, 2023. As of December 31, 2022, the remaining fee of $1,800 thousand was recorded as other receivables. Other than in respect of this receivable, the Company has no further relationship with Holdco.</w:t>
      </w:r>
    </w:p>
    <w:p>
      <w:pPr>
        <w:spacing w:after="0" w:line="18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For the years ended December 31, 2021 and 2020, the Company incurred $34,673 thousand and $653 thousand, respectively, of professional fees and certain transaction related-expenses incurred in connection with the Merger, which were recognized in merger-related costs, net in the consolidated statements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86" w:right="4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The Company experienced some minor disruption in its Power Solutions business from assembly and test subcontractors located in China in the first quarter of 2020 as a result of the COVID-19 pandemic. To date, its external Display Solutions business contractors and sub-contractors have not been materially impacted by the COVID-19 pandemic. The Company is, however, unable to accurately predict the full impact that the COVID-19 pandemic will have on its future results of operations due to numerous uncertainties. The extent to which the COVID-19 pandemic impacts the Company’s business, results of operations and financial condition will depend on future developments, which, despite progress in vaccination efforts, are highly uncertain and cannot be predicted with confidence, including the duration of the outbreak, new information that may emerge concerning the severity of the COVID-19 pandemic, such as new strains of the virus that may emerge, which may impact rates of infection and vaccination efforts, developments or perceptions regarding the safety of vaccines and the extent and effectiveness of actions to contain the COVID-19 pandemic or treat its impact, including vaccination campaigns and lockdown measures, among others. In addition, recurrences or additional waves of COVID-19 cases could cause other widespread or more severe impacts depending on where infection rates are highest. The Company cannot presently predict the scope and severity of any potential business shutdowns or disruptions, but if the Company or any of its customers and suppliers were to experience prolonged business shutdowns or other disruptions, its ability to conduct its business could be materially and negatively affected, which could have a material adverse impact on its business, results of operations and financial condition.</w:t>
      </w:r>
    </w:p>
    <w:p>
      <w:pPr>
        <w:spacing w:after="0" w:line="174"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The Company continues to closely monitor and evaluate the nature and scope of the impact of the COVID-19 pandemic to its business, consolidated results of operations, and financial condition, and may take further actions altering its business operations and managing its costs and liquidity that the Company deems necessary or appropriate to respond to this ongoing and uncertain global health crisis and the resulting global economic consequences.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Accumulated Other Comprehensive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Accumulated other comprehensive loss consists of the following at December 31, 2022 and 2021, respectively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500" w:type="dxa"/>
            <w:vAlign w:val="bottom"/>
          </w:tcPr>
          <w:p>
            <w:pPr>
              <w:spacing w:after="0"/>
              <w:rPr>
                <w:sz w:val="14"/>
                <w:szCs w:val="14"/>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2"/>
                <w:szCs w:val="12"/>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(11,328)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(1,460)</w:t>
            </w:r>
          </w:p>
        </w:tc>
      </w:tr>
      <w:tr>
        <w:trPr>
          <w:trHeight w:val="27"/>
        </w:trPr>
        <w:tc>
          <w:tcPr>
            <w:tcW w:w="6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(12,553)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(2,230)</w:t>
            </w:r>
          </w:p>
        </w:tc>
      </w:tr>
      <w:tr>
        <w:trPr>
          <w:trHeight w:val="20"/>
        </w:trPr>
        <w:tc>
          <w:tcPr>
            <w:tcW w:w="6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Changes in accumulated other comprehensive income (loss) for the years ended December 31, 2022, 2021 and 2020 are as follows (in thousands):</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2"/>
                <w:szCs w:val="12"/>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 Ended December 31, 2022</w:t>
            </w:r>
          </w:p>
        </w:tc>
        <w:tc>
          <w:tcPr>
            <w:tcW w:w="33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92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2620" w:type="dxa"/>
            <w:vAlign w:val="bottom"/>
          </w:tcPr>
          <w:p>
            <w:pPr>
              <w:spacing w:after="0"/>
              <w:rPr>
                <w:sz w:val="15"/>
                <w:szCs w:val="15"/>
                <w:color w:val="auto"/>
              </w:rPr>
            </w:pPr>
          </w:p>
        </w:tc>
        <w:tc>
          <w:tcPr>
            <w:tcW w:w="100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200" w:type="dxa"/>
            <w:vAlign w:val="bottom"/>
          </w:tcPr>
          <w:p>
            <w:pPr>
              <w:spacing w:after="0"/>
              <w:rPr>
                <w:sz w:val="15"/>
                <w:szCs w:val="15"/>
                <w:color w:val="auto"/>
              </w:rPr>
            </w:pPr>
          </w:p>
        </w:tc>
        <w:tc>
          <w:tcPr>
            <w:tcW w:w="10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2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(770)</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(1,460</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(2,230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before reclassifications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(10,558)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(8,279)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(18,837)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Amounts reclassified from accumulated other comprehensive loss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8,514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8,514</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income (loss)</w:t>
            </w:r>
          </w:p>
        </w:tc>
        <w:tc>
          <w:tcPr>
            <w:tcW w:w="2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(10,323)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(11,328)</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(12,553)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20" w:type="dxa"/>
            <w:vAlign w:val="bottom"/>
            <w:vMerge w:val="restart"/>
          </w:tcPr>
          <w:p>
            <w:pPr>
              <w:jc w:val="right"/>
              <w:ind w:right="2130"/>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21"/>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1"/>
              <w:spacing w:after="0" w:line="149" w:lineRule="exact"/>
              <w:rPr>
                <w:sz w:val="20"/>
                <w:szCs w:val="20"/>
                <w:color w:val="auto"/>
              </w:rPr>
            </w:pPr>
            <w:r>
              <w:rPr>
                <w:rFonts w:ascii="Arial" w:cs="Arial" w:eastAsia="Arial" w:hAnsi="Arial"/>
                <w:sz w:val="14"/>
                <w:szCs w:val="14"/>
                <w:b w:val="1"/>
                <w:bCs w:val="1"/>
                <w:color w:val="auto"/>
                <w:w w:val="94"/>
              </w:rPr>
              <w:t>currency</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 Ended December 31, 2021</w:t>
            </w:r>
          </w:p>
        </w:tc>
        <w:tc>
          <w:tcPr>
            <w:tcW w:w="5880" w:type="dxa"/>
            <w:vAlign w:val="bottom"/>
            <w:vMerge w:val="restart"/>
          </w:tcPr>
          <w:p>
            <w:pPr>
              <w:spacing w:after="0"/>
              <w:rPr>
                <w:sz w:val="12"/>
                <w:szCs w:val="12"/>
                <w:color w:val="auto"/>
              </w:rPr>
            </w:pPr>
          </w:p>
        </w:tc>
        <w:tc>
          <w:tcPr>
            <w:tcW w:w="1260" w:type="dxa"/>
            <w:vAlign w:val="bottom"/>
            <w:gridSpan w:val="3"/>
          </w:tcPr>
          <w:p>
            <w:pPr>
              <w:jc w:val="center"/>
              <w:ind w:right="421"/>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280" w:type="dxa"/>
            <w:vAlign w:val="bottom"/>
            <w:gridSpan w:val="3"/>
            <w:vMerge w:val="continue"/>
          </w:tcPr>
          <w:p>
            <w:pPr>
              <w:spacing w:after="0"/>
              <w:rPr>
                <w:sz w:val="12"/>
                <w:szCs w:val="12"/>
                <w:color w:val="auto"/>
              </w:rPr>
            </w:pPr>
          </w:p>
        </w:tc>
        <w:tc>
          <w:tcPr>
            <w:tcW w:w="680" w:type="dxa"/>
            <w:vAlign w:val="bottom"/>
            <w:gridSpan w:val="2"/>
            <w:vMerge w:val="restart"/>
          </w:tcPr>
          <w:p>
            <w:pPr>
              <w:jc w:val="right"/>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920" w:type="dxa"/>
            <w:vAlign w:val="bottom"/>
            <w:tcBorders>
              <w:bottom w:val="single" w:sz="8" w:color="auto"/>
            </w:tcBorders>
            <w:vMerge w:val="continue"/>
          </w:tcPr>
          <w:p>
            <w:pPr>
              <w:spacing w:after="0"/>
              <w:rPr>
                <w:sz w:val="15"/>
                <w:szCs w:val="15"/>
                <w:color w:val="auto"/>
              </w:rPr>
            </w:pPr>
          </w:p>
        </w:tc>
        <w:tc>
          <w:tcPr>
            <w:tcW w:w="5880" w:type="dxa"/>
            <w:vAlign w:val="bottom"/>
            <w:vMerge w:val="continue"/>
          </w:tcPr>
          <w:p>
            <w:pPr>
              <w:spacing w:after="0"/>
              <w:rPr>
                <w:sz w:val="15"/>
                <w:szCs w:val="15"/>
                <w:color w:val="auto"/>
              </w:rPr>
            </w:pPr>
          </w:p>
        </w:tc>
        <w:tc>
          <w:tcPr>
            <w:tcW w:w="1260" w:type="dxa"/>
            <w:vAlign w:val="bottom"/>
            <w:gridSpan w:val="3"/>
          </w:tcPr>
          <w:p>
            <w:pPr>
              <w:jc w:val="center"/>
              <w:ind w:right="421"/>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2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2,069</w:t>
            </w: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1,634</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$ 3,703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0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(2,839)</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(3,913)</w:t>
            </w: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819</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loss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(3,094)</w:t>
            </w:r>
          </w:p>
        </w:tc>
        <w:tc>
          <w:tcPr>
            <w:tcW w:w="5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(770)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(1,460)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(2,230)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9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521"/>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1"/>
              <w:spacing w:after="0" w:line="149" w:lineRule="exact"/>
              <w:rPr>
                <w:sz w:val="20"/>
                <w:szCs w:val="20"/>
                <w:color w:val="auto"/>
              </w:rPr>
            </w:pPr>
            <w:r>
              <w:rPr>
                <w:rFonts w:ascii="Arial" w:cs="Arial" w:eastAsia="Arial" w:hAnsi="Arial"/>
                <w:sz w:val="14"/>
                <w:szCs w:val="14"/>
                <w:b w:val="1"/>
                <w:bCs w:val="1"/>
                <w:color w:val="auto"/>
                <w:w w:val="94"/>
              </w:rPr>
              <w:t>currency</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 Ended December 31, 2020</w:t>
            </w:r>
          </w:p>
        </w:tc>
        <w:tc>
          <w:tcPr>
            <w:tcW w:w="5880" w:type="dxa"/>
            <w:vAlign w:val="bottom"/>
            <w:vMerge w:val="restart"/>
          </w:tcPr>
          <w:p>
            <w:pPr>
              <w:spacing w:after="0"/>
              <w:rPr>
                <w:sz w:val="12"/>
                <w:szCs w:val="12"/>
                <w:color w:val="auto"/>
              </w:rPr>
            </w:pPr>
          </w:p>
        </w:tc>
        <w:tc>
          <w:tcPr>
            <w:tcW w:w="1260" w:type="dxa"/>
            <w:vAlign w:val="bottom"/>
            <w:gridSpan w:val="3"/>
          </w:tcPr>
          <w:p>
            <w:pPr>
              <w:jc w:val="center"/>
              <w:ind w:right="421"/>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280" w:type="dxa"/>
            <w:vAlign w:val="bottom"/>
            <w:gridSpan w:val="3"/>
            <w:vMerge w:val="continue"/>
          </w:tcPr>
          <w:p>
            <w:pPr>
              <w:spacing w:after="0"/>
              <w:rPr>
                <w:sz w:val="12"/>
                <w:szCs w:val="12"/>
                <w:color w:val="auto"/>
              </w:rPr>
            </w:pPr>
          </w:p>
        </w:tc>
        <w:tc>
          <w:tcPr>
            <w:tcW w:w="680" w:type="dxa"/>
            <w:vAlign w:val="bottom"/>
            <w:gridSpan w:val="2"/>
            <w:vMerge w:val="restart"/>
          </w:tcPr>
          <w:p>
            <w:pPr>
              <w:jc w:val="right"/>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920" w:type="dxa"/>
            <w:vAlign w:val="bottom"/>
            <w:tcBorders>
              <w:bottom w:val="single" w:sz="8" w:color="auto"/>
            </w:tcBorders>
            <w:vMerge w:val="continue"/>
          </w:tcPr>
          <w:p>
            <w:pPr>
              <w:spacing w:after="0"/>
              <w:rPr>
                <w:sz w:val="15"/>
                <w:szCs w:val="15"/>
                <w:color w:val="auto"/>
              </w:rPr>
            </w:pPr>
          </w:p>
        </w:tc>
        <w:tc>
          <w:tcPr>
            <w:tcW w:w="5880" w:type="dxa"/>
            <w:vAlign w:val="bottom"/>
            <w:vMerge w:val="continue"/>
          </w:tcPr>
          <w:p>
            <w:pPr>
              <w:spacing w:after="0"/>
              <w:rPr>
                <w:sz w:val="15"/>
                <w:szCs w:val="15"/>
                <w:color w:val="auto"/>
              </w:rPr>
            </w:pPr>
          </w:p>
        </w:tc>
        <w:tc>
          <w:tcPr>
            <w:tcW w:w="1260" w:type="dxa"/>
            <w:vAlign w:val="bottom"/>
            <w:gridSpan w:val="3"/>
          </w:tcPr>
          <w:p>
            <w:pPr>
              <w:jc w:val="center"/>
              <w:ind w:right="421"/>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2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(4,205</w:t>
            </w:r>
          </w:p>
        </w:tc>
        <w:tc>
          <w:tcPr>
            <w:tcW w:w="500" w:type="dxa"/>
            <w:vAlign w:val="bottom"/>
            <w:tcBorders>
              <w:top w:val="single" w:sz="8" w:color="CCEEFF"/>
            </w:tcBorders>
            <w:shd w:val="clear" w:color="auto" w:fill="CCEEFF"/>
          </w:tcPr>
          <w:p>
            <w:pPr>
              <w:jc w:val="right"/>
              <w:ind w:right="3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1,545</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(2,660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80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6,274</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1,452</w:t>
            </w: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income</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6,274</w:t>
            </w: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5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2,069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1,634</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9"/>
              </w:rPr>
              <w:t>$ 3,703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was an income tax expense of $6 thousand related to changes in accumulated other comprehensive loss for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2022. There was an income tax benefit of $752 thousand related to changes in accumulated other comprehensive loss for the year ended December 31,</w:t>
      </w:r>
    </w:p>
    <w:p>
      <w:pPr>
        <w:spacing w:after="0" w:line="32" w:lineRule="exact"/>
        <w:rPr>
          <w:sz w:val="20"/>
          <w:szCs w:val="20"/>
          <w:color w:val="auto"/>
        </w:rPr>
      </w:pPr>
    </w:p>
    <w:p>
      <w:pPr>
        <w:ind w:left="120" w:right="900"/>
        <w:spacing w:after="0" w:line="260" w:lineRule="auto"/>
        <w:rPr>
          <w:sz w:val="20"/>
          <w:szCs w:val="20"/>
          <w:color w:val="auto"/>
        </w:rPr>
      </w:pPr>
      <w:r>
        <w:rPr>
          <w:rFonts w:ascii="Arial" w:cs="Arial" w:eastAsia="Arial" w:hAnsi="Arial"/>
          <w:sz w:val="18"/>
          <w:szCs w:val="18"/>
          <w:color w:val="auto"/>
        </w:rPr>
        <w:t>2021. There was an income tax expense of $316 thousand related to changes in accumulated other comprehensive income for the year ended December 31, 2020.</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86" w:right="4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Earnings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illustrates the computation of basic and diluted earnings (loss) per common share for the years ended December 31, 2022,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 and 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6"/>
              </w:rPr>
              <w:t>Year Ended December 31,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gridSpan w:val="9"/>
          </w:tcPr>
          <w:p>
            <w:pPr>
              <w:jc w:val="right"/>
              <w:ind w:right="371"/>
              <w:spacing w:after="0" w:line="142" w:lineRule="exact"/>
              <w:rPr>
                <w:sz w:val="20"/>
                <w:szCs w:val="20"/>
                <w:color w:val="auto"/>
              </w:rPr>
            </w:pPr>
            <w:r>
              <w:rPr>
                <w:rFonts w:ascii="Arial" w:cs="Arial" w:eastAsia="Arial" w:hAnsi="Arial"/>
                <w:sz w:val="14"/>
                <w:szCs w:val="14"/>
                <w:b w:val="1"/>
                <w:bCs w:val="1"/>
                <w:color w:val="auto"/>
              </w:rPr>
              <w:t>(In thousands of U.S. dollars, except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share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(8,036)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56,708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57,059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287,906</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Net income (loss)</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44,850,791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44,879,412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35,213,525</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(loss) per share</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56,708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57,059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Add back: Interest expense on Exchangeable Notes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5,708</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allocated to common stockholders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57,667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62,767</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allocated to common stockholders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57,667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350,673</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Basic weighted average common stock outstanding</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44,850,791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44,879,412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35,213,525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effect of dilutive equity awards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1,403,789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1,145,906</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w w:val="99"/>
              </w:rPr>
              <w:t>Net effect of assumed conversion of 5.0% Exchangeable Notes to common stock</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1,426,172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10,144,155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stock outstanding</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44,850,791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47,709,373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46,503,586</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Diluted earnings (loss) per share adjusts basic earnings (loss) per share for the potentially dilutive impact of stock options. As the Company has reported loss for the year ended December 31, 2022, all potentially dilutive securities, including stock options, are antidilutive and accordingly not considered, therefore basic net loss per share equals diluted net loss per share.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86" w:right="4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earnings (loss) per share, as they have an anti-dilutive effect on the calculation:</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36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95"/>
              </w:rPr>
              <w:t>Year Ended December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1,137,558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651,417</w:t>
            </w:r>
          </w:p>
        </w:tc>
        <w:tc>
          <w:tcPr>
            <w:tcW w:w="80" w:type="dxa"/>
            <w:vAlign w:val="bottom"/>
            <w:shd w:val="clear" w:color="auto" w:fill="CCEEFF"/>
          </w:tcPr>
          <w:p>
            <w:pPr>
              <w:spacing w:after="0"/>
              <w:rPr>
                <w:sz w:val="18"/>
                <w:szCs w:val="18"/>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815,407</w:t>
            </w:r>
          </w:p>
        </w:tc>
        <w:tc>
          <w:tcPr>
            <w:tcW w:w="320" w:type="dxa"/>
            <w:vAlign w:val="bottom"/>
          </w:tcPr>
          <w:p>
            <w:pPr>
              <w:spacing w:after="0"/>
              <w:rPr>
                <w:sz w:val="20"/>
                <w:szCs w:val="20"/>
                <w:color w:val="auto"/>
              </w:rPr>
            </w:pPr>
          </w:p>
        </w:tc>
        <w:tc>
          <w:tcPr>
            <w:tcW w:w="11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Plan</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Company entered into a Rights Agreement, dated as of December 13, 2021, between the Company and American Stock Transfer &amp; Trust Company, LLC, as rights agent (the “Rights Agreement”), and the Board of Directors of the Company authorized and declared a dividend of one preferred stock purchase right (a “Right” and collectively, the “Rights”) for each share of the Company’s common stock, par value $0.01 per share, outstanding at the close of business on December 23, 2021. Each Right, once exercisable, will entitle the registered holder to purchase from the Company one one-thousandth of a share of Series A-1 Junior Participating Preferred Stock, par value $0.01 per share, at a purchase price of $80, subject to adjustment (the “Purchase Price”). The Rights are not presently exercisable and remain attached to the shares of common stock unless and until the occurrence of the earlier of the following (the “Distribution Date”): (i) the tenth day after the public announcement or disclosure by the Company or any person or group of affiliated or associated persons that any person or group of affiliated or associated persons has become an “Acquiring Person” by obtaining beneficial ownership of 12.5% (or 20% in the case of a “passive institutional investor,” which is defined generally as any person who has reported beneficial ownership of shares of common stock on Schedule 13G under the Securities Exchange Act of 1934, as amended) or more of the Company’s outstanding common stock, subject to certain exceptions; or (ii) the tenth business day (or such later date as the Company’s Board of Directors may designate before a person or group of affiliated or associated persons becomes an Acquiring Person) after (and not including) the commencement of, or first public announcement of the intent of any person to commence, a tender or exchange offer by any person or group of affiliated or associated persons, which would, if consummated, result in such person or group becoming an Acquiring Person. The Board of Directors could redeem all of the Rights for $0.001 per Right at any time before any person or group of affiliated or associated persons becomes an Acquiring Person. In addition, at any time on or after any person or group of affiliated or associated persons becomes an Acquiring Person (but before any person or group of affiliated or associated persons becomes the owner of 50% or more of the Company’s outstanding common stock), the Board of Directors may exchange all or part of the Rights (other than the Rights beneficially owned by the Acquiring Person and certain affiliated persons) for shares of common stock at an exchange ratio of one share of common stock per Right. The Rights expired at the close of business on December 12, 2022.</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86" w:right="4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15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Management of the Company, with the participation of our Principal Executive Officer and our Principal Financial Officer, conducted an evaluation of the effectiveness of the design and operation of our disclosure controls and procedures, as such term is defined under Rules 13a-15(e) and 15d-15(e) promulgated under the Exchange Act, as of December 31, 2022. Based on this evaluation, our Principal Executive Officer and our Principal Financial Officer have concluded that our disclosure controls and procedures were effective as of December 31, 2022.</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Management’s Annual Report on Internal Control Over Financial Reporting</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Our internal control over financial reporting is a process designed under the supervision of our Principal Executive Officer and our Principal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18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Under the supervision and with the participation of our Principal Executive Officer and our Principal Financial Officer, we conducted an evaluation of the effectiveness of the Company’s internal control over financial reporting as of December 31, 2022, based on the criteria set forth in </w:t>
      </w:r>
      <w:r>
        <w:rPr>
          <w:rFonts w:ascii="Arial" w:cs="Arial" w:eastAsia="Arial" w:hAnsi="Arial"/>
          <w:sz w:val="17"/>
          <w:szCs w:val="17"/>
          <w:i w:val="1"/>
          <w:iCs w:val="1"/>
          <w:color w:val="auto"/>
        </w:rPr>
        <w:t xml:space="preserve">Internal Control—Integrated Framework </w:t>
      </w:r>
      <w:r>
        <w:rPr>
          <w:rFonts w:ascii="Arial" w:cs="Arial" w:eastAsia="Arial" w:hAnsi="Arial"/>
          <w:sz w:val="17"/>
          <w:szCs w:val="17"/>
          <w:color w:val="auto"/>
        </w:rPr>
        <w:t>(2013) issued by the Committee of Sponsoring Organizations of the Treadway Commission (“COSO”).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our assessment, we concluded that our internal control over financial reporting was effective as of December 31, 2022.</w:t>
      </w:r>
    </w:p>
    <w:p>
      <w:pPr>
        <w:spacing w:after="0" w:line="171" w:lineRule="exact"/>
        <w:rPr>
          <w:sz w:val="20"/>
          <w:szCs w:val="20"/>
          <w:color w:val="auto"/>
        </w:rPr>
      </w:pPr>
    </w:p>
    <w:p>
      <w:pPr>
        <w:ind w:left="120" w:right="940" w:firstLine="440"/>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December 31, 2022 has been audited by Samil PricewaterhouseCoopers, an independent registered public accounting firm, as stated in their report which appears in Item 8 of this Report.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Changes in Internal Control Over Financial Reporting</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the quarter ended December 31, 2022 that have materially affected, or are reasonably likely to materially affect, our internal control over financial reporting.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60"/>
          </w:cols>
          <w:pgMar w:left="320" w:top="486" w:right="5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right="4079"/>
        <w:spacing w:after="0" w:line="401"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139"/>
          </w:cols>
          <w:pgMar w:left="320" w:top="486" w:right="1440"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information required by this item relating to our executive officers is included in “Item 1. Business—Executive Officers of the Company.” The other information required by this item is incorporated by reference to our definitive proxy statement relating to our 2023 annual meeting of stockholders or will be included by amendment to this Report within 120 days after the end of the fiscal year to which this Report relates.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2023 annual meeting of stockholders or will be included by amendment to this Report within 120 days after the end of the fiscal year to which this Report relates.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2023 annual meeting of stockholders or will be included by amendment to this Report within 120 days after the end of the fiscal year to which this Report relates.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2023 annual meeting of stockholders or will be included by amendment to this Report within 120 days after the end of the fiscal year to which this Report relates.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2023 annual meeting of stockholders or will be included by amendment to this Report within 120 days after the end of the fiscal year to which this Report relates.</w:t>
      </w:r>
    </w:p>
    <w:p>
      <w:pPr>
        <w:spacing w:after="0" w:line="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840"/>
          </w:cols>
          <w:pgMar w:left="320" w:top="486" w:right="7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378"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included in Item 8 of Part II of this Report.</w:t>
      </w:r>
    </w:p>
    <w:p>
      <w:pPr>
        <w:spacing w:after="0" w:line="252"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Financial Statement Schedules are omitted because of the absence of the conditions under which they are required or because the information required by such omitted schedules is set forth in the financial statements or the notes thereto.</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Exhibits</w:t>
      </w:r>
    </w:p>
    <w:p>
      <w:pPr>
        <w:sectPr>
          <w:pgSz w:w="11900" w:h="16838" w:orient="portrait"/>
          <w:cols w:equalWidth="0" w:num="1">
            <w:col w:w="11100"/>
          </w:cols>
          <w:pgMar w:left="320" w:top="486" w:right="479" w:bottom="1440" w:gutter="0" w:footer="0" w:header="0"/>
        </w:sectPr>
      </w:pPr>
    </w:p>
    <w:p>
      <w:pPr>
        <w:spacing w:after="0" w:line="244" w:lineRule="exact"/>
        <w:rPr>
          <w:sz w:val="20"/>
          <w:szCs w:val="20"/>
          <w:color w:val="auto"/>
        </w:rPr>
      </w:pPr>
    </w:p>
    <w:p>
      <w:pPr>
        <w:jc w:val="center"/>
        <w:ind w:left="22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5080</wp:posOffset>
            </wp:positionV>
            <wp:extent cx="3257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4360"/>
        <w:spacing w:after="0"/>
        <w:rPr>
          <w:sz w:val="20"/>
          <w:szCs w:val="20"/>
          <w:color w:val="auto"/>
        </w:rPr>
      </w:pPr>
      <w:r>
        <w:rPr>
          <w:rFonts w:ascii="Arial" w:cs="Arial" w:eastAsia="Arial" w:hAnsi="Arial"/>
          <w:sz w:val="14"/>
          <w:szCs w:val="14"/>
          <w:b w:val="1"/>
          <w:bCs w:val="1"/>
          <w:u w:val="single" w:color="auto"/>
          <w:color w:val="auto"/>
        </w:rPr>
        <w:t>Exhibit Description</w:t>
      </w:r>
    </w:p>
    <w:p>
      <w:pPr>
        <w:spacing w:after="0" w:line="117" w:lineRule="exact"/>
        <w:rPr>
          <w:sz w:val="20"/>
          <w:szCs w:val="20"/>
          <w:color w:val="auto"/>
        </w:rPr>
      </w:pPr>
    </w:p>
    <w:p>
      <w:pPr>
        <w:jc w:val="both"/>
        <w:ind w:right="960"/>
        <w:spacing w:after="0" w:line="263" w:lineRule="auto"/>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Business Transfer Agreement, dated as of March 31, 2020 among by and among Magnus Semiconductor, LLC, MagnaChip</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Semiconductor S.A. and MagnaChip Semiconductor, Ltd. (incorporated by reference to Exhibit 10.1 to our Current Report</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on Form 8-K filed on March 31, 2020)</w:t>
        </w:r>
      </w:hyperlink>
    </w:p>
    <w:p>
      <w:pPr>
        <w:spacing w:after="0" w:line="58" w:lineRule="exact"/>
        <w:rPr>
          <w:rFonts w:ascii="Arial" w:cs="Arial" w:eastAsia="Arial" w:hAnsi="Arial"/>
          <w:sz w:val="18"/>
          <w:szCs w:val="18"/>
          <w:u w:val="single" w:color="auto"/>
          <w:color w:val="0000EE"/>
        </w:rPr>
      </w:pPr>
    </w:p>
    <w:p>
      <w:pPr>
        <w:sectPr>
          <w:pgSz w:w="11900" w:h="16838" w:orient="portrait"/>
          <w:cols w:equalWidth="0" w:num="2">
            <w:col w:w="680" w:space="540"/>
            <w:col w:w="9880"/>
          </w:cols>
          <w:pgMar w:left="320" w:top="486" w:right="47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2.2-1</w:t>
            </w:r>
          </w:p>
        </w:tc>
        <w:tc>
          <w:tcPr>
            <w:tcW w:w="9600" w:type="dxa"/>
            <w:vAlign w:val="bottom"/>
            <w:tcBorders>
              <w:bottom w:val="single" w:sz="8" w:color="0000EE"/>
            </w:tcBorders>
            <w:gridSpan w:val="12"/>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Agreement and Plan of Merger, dated as of March 25, 2021, by and among South Dearborn Limited, Michigan Merger Sub, Inc., and</w:t>
              </w:r>
            </w:hyperlink>
          </w:p>
        </w:tc>
        <w:tc>
          <w:tcPr>
            <w:tcW w:w="28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80" w:type="dxa"/>
            <w:vAlign w:val="bottom"/>
            <w:gridSpan w:val="19"/>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Magnachip Semiconductor Corporation (incorporated by reference to Exhibit 2.1 to our Current Report on Form 8-K filed on March 29,</w:t>
              </w:r>
            </w:hyperlink>
          </w:p>
        </w:tc>
      </w:tr>
      <w:tr>
        <w:trPr>
          <w:trHeight w:val="196"/>
        </w:trPr>
        <w:tc>
          <w:tcPr>
            <w:tcW w:w="1020" w:type="dxa"/>
            <w:vAlign w:val="bottom"/>
          </w:tcPr>
          <w:p>
            <w:pPr>
              <w:spacing w:after="0"/>
              <w:rPr>
                <w:sz w:val="17"/>
                <w:szCs w:val="17"/>
                <w:color w:val="auto"/>
              </w:rPr>
            </w:pPr>
          </w:p>
        </w:tc>
        <w:tc>
          <w:tcPr>
            <w:tcW w:w="21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2021).</w:t>
              </w:r>
            </w:hyperlink>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32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2.2-2</w:t>
            </w:r>
          </w:p>
        </w:tc>
        <w:tc>
          <w:tcPr>
            <w:tcW w:w="9360" w:type="dxa"/>
            <w:vAlign w:val="bottom"/>
            <w:tcBorders>
              <w:bottom w:val="single" w:sz="8" w:color="0000EE"/>
            </w:tcBorders>
            <w:gridSpan w:val="9"/>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Letter Agreement, dated as of June 11, 2021, by and among Magnachip Semiconductor Corporation, South Dearborn Limited and</w:t>
              </w:r>
            </w:hyperlink>
          </w:p>
        </w:tc>
        <w:tc>
          <w:tcPr>
            <w:tcW w:w="52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2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Michigan Merger Sub, Inc. (incorporated by reference to Exhibit 2.1 to our Current Report on Form 8-K filed on June 14, 2021).</w:t>
              </w:r>
            </w:hyperlink>
          </w:p>
        </w:tc>
        <w:tc>
          <w:tcPr>
            <w:tcW w:w="600" w:type="dxa"/>
            <w:vAlign w:val="bottom"/>
            <w:gridSpan w:val="11"/>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2.2-3</w:t>
            </w:r>
          </w:p>
        </w:tc>
        <w:tc>
          <w:tcPr>
            <w:tcW w:w="9560" w:type="dxa"/>
            <w:vAlign w:val="bottom"/>
            <w:tcBorders>
              <w:bottom w:val="single" w:sz="8" w:color="0000EE"/>
            </w:tcBorders>
            <w:gridSpan w:val="11"/>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Letter Agreement, dated as of August 23, 2021, by and among Magnachip Semiconductor Corporation, South Dearborn Limited and</w:t>
              </w:r>
            </w:hyperlink>
          </w:p>
        </w:tc>
        <w:tc>
          <w:tcPr>
            <w:tcW w:w="32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4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Michigan Merger Sub, Inc. (incorporated by reference to Exhibit 2.1 to our Current Report on Form 8-K filed on August 23, 2021)</w:t>
              </w:r>
            </w:hyperlink>
          </w:p>
        </w:tc>
        <w:tc>
          <w:tcPr>
            <w:tcW w:w="460" w:type="dxa"/>
            <w:vAlign w:val="bottom"/>
            <w:gridSpan w:val="9"/>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2.2-4</w:t>
            </w:r>
          </w:p>
        </w:tc>
        <w:tc>
          <w:tcPr>
            <w:tcW w:w="9880" w:type="dxa"/>
            <w:vAlign w:val="bottom"/>
            <w:gridSpan w:val="19"/>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Termination and Settlement Agreement, dated December 13, 2021 by and between Magnachip Semiconductor Corporation and South</w:t>
              </w:r>
            </w:hyperlink>
          </w:p>
        </w:tc>
      </w:tr>
      <w:tr>
        <w:trPr>
          <w:trHeight w:val="196"/>
        </w:trPr>
        <w:tc>
          <w:tcPr>
            <w:tcW w:w="102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Dearborn Limited (incorporated by reference to Exhibit 10.1 to our Current Report on Form 8-K on December 13, 2021)</w:t>
              </w:r>
            </w:hyperlink>
          </w:p>
        </w:tc>
        <w:tc>
          <w:tcPr>
            <w:tcW w:w="920" w:type="dxa"/>
            <w:vAlign w:val="bottom"/>
            <w:tcBorders>
              <w:top w:val="single" w:sz="8" w:color="0000EE"/>
            </w:tcBorders>
            <w:gridSpan w:val="6"/>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2.2-5</w:t>
            </w:r>
          </w:p>
        </w:tc>
        <w:tc>
          <w:tcPr>
            <w:tcW w:w="9880" w:type="dxa"/>
            <w:vAlign w:val="bottom"/>
            <w:gridSpan w:val="19"/>
          </w:tcPr>
          <w:p>
            <w:pPr>
              <w:spacing w:after="0"/>
              <w:rPr>
                <w:rFonts w:ascii="Arial" w:cs="Arial" w:eastAsia="Arial" w:hAnsi="Arial"/>
                <w:sz w:val="18"/>
                <w:szCs w:val="18"/>
                <w:color w:val="0000EE"/>
                <w:w w:val="95"/>
              </w:rPr>
            </w:pPr>
            <w:hyperlink r:id="rId166">
              <w:r>
                <w:rPr>
                  <w:rFonts w:ascii="Arial" w:cs="Arial" w:eastAsia="Arial" w:hAnsi="Arial"/>
                  <w:sz w:val="18"/>
                  <w:szCs w:val="18"/>
                  <w:color w:val="0000EE"/>
                  <w:w w:val="95"/>
                </w:rPr>
                <w:t>First Amendment to Termination and Settlement Agreement, dated as of April 4, 2022, by and between Magnachip Semiconductor</w:t>
              </w:r>
            </w:hyperlink>
          </w:p>
        </w:tc>
      </w:tr>
      <w:tr>
        <w:trPr>
          <w:trHeight w:val="20"/>
        </w:trPr>
        <w:tc>
          <w:tcPr>
            <w:tcW w:w="10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19"/>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Corporation, South Dearborn Limited and Wise Road Capital LTD. (incorporated by reference to Exhibit 10.1 to our Current Report on</w:t>
              </w:r>
            </w:hyperlink>
          </w:p>
        </w:tc>
      </w:tr>
      <w:tr>
        <w:trPr>
          <w:trHeight w:val="196"/>
        </w:trPr>
        <w:tc>
          <w:tcPr>
            <w:tcW w:w="10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Form 8-K filed on April 6, 2022).</w:t>
              </w:r>
            </w:hyperlink>
          </w:p>
        </w:tc>
        <w:tc>
          <w:tcPr>
            <w:tcW w:w="7300" w:type="dxa"/>
            <w:vAlign w:val="bottom"/>
            <w:tcBorders>
              <w:top w:val="single" w:sz="8" w:color="0000EE"/>
            </w:tcBorders>
            <w:gridSpan w:val="13"/>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2.2-6</w:t>
            </w:r>
          </w:p>
        </w:tc>
        <w:tc>
          <w:tcPr>
            <w:tcW w:w="9880" w:type="dxa"/>
            <w:vAlign w:val="bottom"/>
            <w:gridSpan w:val="19"/>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Second Amendment to Termination and Settlement Agreement, dated as of August 5, 2022, by and between Magnachip Semiconductor</w:t>
              </w:r>
            </w:hyperlink>
          </w:p>
        </w:tc>
      </w:tr>
      <w:tr>
        <w:trPr>
          <w:trHeight w:val="20"/>
        </w:trPr>
        <w:tc>
          <w:tcPr>
            <w:tcW w:w="10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416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Corporation, South Dearborn Limited and Wise Road Capital LTD. (incorporated by reference to Exhibit 10.7 to our Quarterly Report on</w:t>
              </w:r>
            </w:hyperlink>
          </w:p>
        </w:tc>
      </w:tr>
      <w:tr>
        <w:trPr>
          <w:trHeight w:val="196"/>
        </w:trPr>
        <w:tc>
          <w:tcPr>
            <w:tcW w:w="1020" w:type="dxa"/>
            <w:vAlign w:val="bottom"/>
          </w:tcPr>
          <w:p>
            <w:pPr>
              <w:spacing w:after="0"/>
              <w:rPr>
                <w:sz w:val="17"/>
                <w:szCs w:val="17"/>
                <w:color w:val="auto"/>
              </w:rPr>
            </w:pPr>
          </w:p>
        </w:tc>
        <w:tc>
          <w:tcPr>
            <w:tcW w:w="28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Form 10-Q filed on November 4, 2022)</w:t>
              </w:r>
            </w:hyperlink>
          </w:p>
        </w:tc>
        <w:tc>
          <w:tcPr>
            <w:tcW w:w="7020" w:type="dxa"/>
            <w:vAlign w:val="bottom"/>
            <w:gridSpan w:val="14"/>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9880" w:type="dxa"/>
            <w:vAlign w:val="bottom"/>
            <w:gridSpan w:val="19"/>
          </w:tcPr>
          <w:p>
            <w:pPr>
              <w:spacing w:after="0"/>
              <w:rPr>
                <w:rFonts w:ascii="Arial" w:cs="Arial" w:eastAsia="Arial" w:hAnsi="Arial"/>
                <w:sz w:val="18"/>
                <w:szCs w:val="18"/>
                <w:color w:val="0000EE"/>
                <w:w w:val="93"/>
              </w:rPr>
            </w:pPr>
            <w:hyperlink r:id="rId168">
              <w:r>
                <w:rPr>
                  <w:rFonts w:ascii="Arial" w:cs="Arial" w:eastAsia="Arial" w:hAnsi="Arial"/>
                  <w:sz w:val="18"/>
                  <w:szCs w:val="18"/>
                  <w:color w:val="0000EE"/>
                  <w:w w:val="93"/>
                </w:rPr>
                <w:t>Certificate of Conversion of MagnaChip Semiconductor LLC (incorporated by reference to Exhibit 3.1 to our Current Report on Form</w:t>
              </w:r>
            </w:hyperlink>
          </w:p>
        </w:tc>
      </w:tr>
      <w:tr>
        <w:trPr>
          <w:trHeight w:val="196"/>
        </w:trPr>
        <w:tc>
          <w:tcPr>
            <w:tcW w:w="1020" w:type="dxa"/>
            <w:vAlign w:val="bottom"/>
          </w:tcPr>
          <w:p>
            <w:pPr>
              <w:spacing w:after="0"/>
              <w:rPr>
                <w:sz w:val="17"/>
                <w:szCs w:val="17"/>
                <w:color w:val="auto"/>
              </w:rPr>
            </w:pPr>
          </w:p>
        </w:tc>
        <w:tc>
          <w:tcPr>
            <w:tcW w:w="96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8-K filed on March 11, 2011).</w:t>
              </w:r>
            </w:hyperlink>
          </w:p>
        </w:tc>
        <w:tc>
          <w:tcPr>
            <w:tcW w:w="200" w:type="dxa"/>
            <w:vAlign w:val="bottom"/>
            <w:gridSpan w:val="5"/>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9880" w:type="dxa"/>
            <w:vAlign w:val="bottom"/>
            <w:gridSpan w:val="19"/>
          </w:tcPr>
          <w:p>
            <w:pPr>
              <w:spacing w:after="0"/>
              <w:rPr>
                <w:rFonts w:ascii="Arial" w:cs="Arial" w:eastAsia="Arial" w:hAnsi="Arial"/>
                <w:sz w:val="18"/>
                <w:szCs w:val="18"/>
                <w:color w:val="0000EE"/>
                <w:w w:val="93"/>
              </w:rPr>
            </w:pPr>
            <w:hyperlink r:id="rId169">
              <w:r>
                <w:rPr>
                  <w:rFonts w:ascii="Arial" w:cs="Arial" w:eastAsia="Arial" w:hAnsi="Arial"/>
                  <w:sz w:val="18"/>
                  <w:szCs w:val="18"/>
                  <w:color w:val="0000EE"/>
                  <w:w w:val="93"/>
                </w:rPr>
                <w:t>Certificate of Incorporation of MagnaChip Semiconductor Corporation (incorporated by reference to Exhibit 3.2 to our Current Report</w:t>
              </w:r>
            </w:hyperlink>
          </w:p>
        </w:tc>
      </w:tr>
      <w:tr>
        <w:trPr>
          <w:trHeight w:val="196"/>
        </w:trPr>
        <w:tc>
          <w:tcPr>
            <w:tcW w:w="1020" w:type="dxa"/>
            <w:vAlign w:val="bottom"/>
          </w:tcPr>
          <w:p>
            <w:pPr>
              <w:spacing w:after="0"/>
              <w:rPr>
                <w:sz w:val="17"/>
                <w:szCs w:val="17"/>
                <w:color w:val="auto"/>
              </w:rPr>
            </w:pPr>
          </w:p>
        </w:tc>
        <w:tc>
          <w:tcPr>
            <w:tcW w:w="97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on Form 8-K filed on March 11, 2011).</w:t>
              </w:r>
            </w:hyperlink>
          </w:p>
        </w:tc>
        <w:tc>
          <w:tcPr>
            <w:tcW w:w="18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3.3</w:t>
            </w:r>
          </w:p>
        </w:tc>
        <w:tc>
          <w:tcPr>
            <w:tcW w:w="9880" w:type="dxa"/>
            <w:vAlign w:val="bottom"/>
            <w:gridSpan w:val="19"/>
          </w:tcPr>
          <w:p>
            <w:pPr>
              <w:spacing w:after="0"/>
              <w:rPr>
                <w:rFonts w:ascii="Arial" w:cs="Arial" w:eastAsia="Arial" w:hAnsi="Arial"/>
                <w:sz w:val="18"/>
                <w:szCs w:val="18"/>
                <w:color w:val="0000EE"/>
                <w:w w:val="94"/>
              </w:rPr>
            </w:pPr>
            <w:hyperlink r:id="rId170">
              <w:r>
                <w:rPr>
                  <w:rFonts w:ascii="Arial" w:cs="Arial" w:eastAsia="Arial" w:hAnsi="Arial"/>
                  <w:sz w:val="18"/>
                  <w:szCs w:val="18"/>
                  <w:color w:val="0000EE"/>
                  <w:w w:val="94"/>
                </w:rPr>
                <w:t>Certificate of Amendment to the Certificate of Incorporation of Magnachip Semiconductor Corporation (incorporated by reference to</w:t>
              </w:r>
            </w:hyperlink>
          </w:p>
        </w:tc>
      </w:tr>
      <w:tr>
        <w:trPr>
          <w:trHeight w:val="196"/>
        </w:trPr>
        <w:tc>
          <w:tcPr>
            <w:tcW w:w="1020" w:type="dxa"/>
            <w:vAlign w:val="bottom"/>
          </w:tcPr>
          <w:p>
            <w:pPr>
              <w:spacing w:after="0"/>
              <w:rPr>
                <w:sz w:val="17"/>
                <w:szCs w:val="17"/>
                <w:color w:val="auto"/>
              </w:rPr>
            </w:pPr>
          </w:p>
        </w:tc>
        <w:tc>
          <w:tcPr>
            <w:tcW w:w="96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Exhibit 3.1 to our Current report on Form 8-K filed on December 30, 2020)</w:t>
              </w:r>
            </w:hyperlink>
          </w:p>
        </w:tc>
        <w:tc>
          <w:tcPr>
            <w:tcW w:w="280" w:type="dxa"/>
            <w:vAlign w:val="bottom"/>
            <w:gridSpan w:val="7"/>
          </w:tcPr>
          <w:p>
            <w:pPr>
              <w:spacing w:after="0"/>
              <w:rPr>
                <w:sz w:val="17"/>
                <w:szCs w:val="17"/>
                <w:color w:val="auto"/>
              </w:rPr>
            </w:pPr>
          </w:p>
        </w:tc>
      </w:tr>
      <w:tr>
        <w:trPr>
          <w:trHeight w:val="385"/>
        </w:trPr>
        <w:tc>
          <w:tcPr>
            <w:tcW w:w="1020" w:type="dxa"/>
            <w:vAlign w:val="bottom"/>
          </w:tcPr>
          <w:p>
            <w:pPr>
              <w:spacing w:after="0"/>
              <w:rPr>
                <w:sz w:val="24"/>
                <w:szCs w:val="24"/>
                <w:color w:val="auto"/>
              </w:rPr>
            </w:pPr>
          </w:p>
        </w:tc>
        <w:tc>
          <w:tcPr>
            <w:tcW w:w="5440" w:type="dxa"/>
            <w:vAlign w:val="bottom"/>
            <w:tcBorders>
              <w:top w:val="single" w:sz="8" w:color="0000EE"/>
            </w:tcBorders>
            <w:gridSpan w:val="6"/>
          </w:tcPr>
          <w:p>
            <w:pPr>
              <w:ind w:left="4280"/>
              <w:spacing w:after="0"/>
              <w:rPr>
                <w:sz w:val="20"/>
                <w:szCs w:val="20"/>
                <w:color w:val="auto"/>
              </w:rPr>
            </w:pPr>
            <w:r>
              <w:rPr>
                <w:rFonts w:ascii="Arial" w:cs="Arial" w:eastAsia="Arial" w:hAnsi="Arial"/>
                <w:sz w:val="18"/>
                <w:szCs w:val="18"/>
                <w:color w:val="auto"/>
              </w:rPr>
              <w:t>113</w:t>
            </w:r>
          </w:p>
        </w:tc>
        <w:tc>
          <w:tcPr>
            <w:tcW w:w="3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6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560" w:type="dxa"/>
            <w:vAlign w:val="bottom"/>
            <w:gridSpan w:val="24"/>
          </w:tcPr>
          <w:p>
            <w:pPr>
              <w:ind w:left="2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560" w:type="dxa"/>
            <w:vAlign w:val="bottom"/>
            <w:gridSpan w:val="2"/>
          </w:tcPr>
          <w:p>
            <w:pPr>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1"/>
                <w:szCs w:val="21"/>
                <w:color w:val="auto"/>
              </w:rPr>
            </w:pPr>
          </w:p>
        </w:tc>
        <w:tc>
          <w:tcPr>
            <w:tcW w:w="9900" w:type="dxa"/>
            <w:vAlign w:val="bottom"/>
            <w:gridSpan w:val="31"/>
          </w:tcPr>
          <w:p>
            <w:pPr>
              <w:spacing w:after="0"/>
              <w:rPr>
                <w:rFonts w:ascii="Arial" w:cs="Arial" w:eastAsia="Arial" w:hAnsi="Arial"/>
                <w:sz w:val="18"/>
                <w:szCs w:val="18"/>
                <w:color w:val="0000EE"/>
                <w:w w:val="95"/>
              </w:rPr>
            </w:pPr>
            <w:hyperlink r:id="rId172">
              <w:r>
                <w:rPr>
                  <w:rFonts w:ascii="Arial" w:cs="Arial" w:eastAsia="Arial" w:hAnsi="Arial"/>
                  <w:sz w:val="18"/>
                  <w:szCs w:val="18"/>
                  <w:color w:val="0000EE"/>
                  <w:w w:val="95"/>
                </w:rPr>
                <w:t>Amended and Restated Bylaws of MagnaChip Semiconductor Corporation (incorporated by reference to Exhibit 3.1 to our Current</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Report on Form 8-K filed on May 6, 2016).</w:t>
              </w:r>
            </w:hyperlink>
          </w:p>
        </w:tc>
        <w:tc>
          <w:tcPr>
            <w:tcW w:w="460" w:type="dxa"/>
            <w:vAlign w:val="bottom"/>
            <w:gridSpan w:val="9"/>
          </w:tcPr>
          <w:p>
            <w:pPr>
              <w:spacing w:after="0"/>
              <w:rPr>
                <w:sz w:val="17"/>
                <w:szCs w:val="17"/>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4"/>
                <w:szCs w:val="24"/>
                <w:color w:val="auto"/>
              </w:rPr>
            </w:pPr>
          </w:p>
        </w:tc>
        <w:tc>
          <w:tcPr>
            <w:tcW w:w="9660" w:type="dxa"/>
            <w:vAlign w:val="bottom"/>
            <w:tcBorders>
              <w:bottom w:val="single" w:sz="8" w:color="0000EE"/>
            </w:tcBorders>
            <w:gridSpan w:val="25"/>
          </w:tcPr>
          <w:p>
            <w:pPr>
              <w:spacing w:after="0"/>
              <w:rPr>
                <w:rFonts w:ascii="Arial" w:cs="Arial" w:eastAsia="Arial" w:hAnsi="Arial"/>
                <w:sz w:val="18"/>
                <w:szCs w:val="18"/>
                <w:color w:val="0000EE"/>
                <w:w w:val="92"/>
              </w:rPr>
            </w:pPr>
            <w:hyperlink r:id="rId173">
              <w:r>
                <w:rPr>
                  <w:rFonts w:ascii="Arial" w:cs="Arial" w:eastAsia="Arial" w:hAnsi="Arial"/>
                  <w:sz w:val="18"/>
                  <w:szCs w:val="18"/>
                  <w:color w:val="0000EE"/>
                  <w:w w:val="92"/>
                </w:rPr>
                <w:t>Form of Plan of Conversion of MagnaChip Semiconductor LLC (incorporated by reference to Exhibit 3.6 to our Amendment No. 2 to</w:t>
              </w:r>
            </w:hyperlink>
          </w:p>
        </w:tc>
        <w:tc>
          <w:tcPr>
            <w:tcW w:w="240" w:type="dxa"/>
            <w:vAlign w:val="bottom"/>
            <w:gridSpan w:val="6"/>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Registration Statement on Form S-1 filed on May 11, 2010 (Registration No. 333-165467)).</w:t>
              </w:r>
            </w:hyperlink>
          </w:p>
        </w:tc>
        <w:tc>
          <w:tcPr>
            <w:tcW w:w="3280" w:type="dxa"/>
            <w:vAlign w:val="bottom"/>
            <w:gridSpan w:val="19"/>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6"/>
              </w:rPr>
            </w:pPr>
            <w:hyperlink r:id="rId174">
              <w:r>
                <w:rPr>
                  <w:rFonts w:ascii="Arial" w:cs="Arial" w:eastAsia="Arial" w:hAnsi="Arial"/>
                  <w:sz w:val="18"/>
                  <w:szCs w:val="18"/>
                  <w:color w:val="0000EE"/>
                  <w:w w:val="96"/>
                </w:rPr>
                <w:t>Certificate of Designation, Preferences and Rights of Series A Junior Participating Preferred Stock of MagnaChip Semiconductor</w:t>
              </w:r>
            </w:hyperlink>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Corporation, as filed with the Secretary of the State of Delaware on March 6, 2015 (incorporated by reference to Exhibit 3.1 to our</w:t>
              </w:r>
            </w:hyperlink>
          </w:p>
        </w:tc>
        <w:tc>
          <w:tcPr>
            <w:tcW w:w="480" w:type="dxa"/>
            <w:vAlign w:val="bottom"/>
            <w:gridSpan w:val="10"/>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74">
              <w:r>
                <w:rPr>
                  <w:rFonts w:ascii="Arial" w:cs="Arial" w:eastAsia="Arial" w:hAnsi="Arial"/>
                  <w:sz w:val="18"/>
                  <w:szCs w:val="18"/>
                  <w:color w:val="0000EE"/>
                  <w:w w:val="92"/>
                </w:rPr>
                <w:t>Current Report on Form 8-K filed on March 6, 2015).</w:t>
              </w:r>
            </w:hyperlink>
          </w:p>
        </w:tc>
        <w:tc>
          <w:tcPr>
            <w:tcW w:w="6020" w:type="dxa"/>
            <w:vAlign w:val="bottom"/>
            <w:gridSpan w:val="27"/>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24"/>
                <w:szCs w:val="24"/>
                <w:color w:val="auto"/>
              </w:rPr>
            </w:pPr>
          </w:p>
        </w:tc>
        <w:tc>
          <w:tcPr>
            <w:tcW w:w="9900" w:type="dxa"/>
            <w:vAlign w:val="bottom"/>
            <w:tcBorders>
              <w:bottom w:val="single" w:sz="8" w:color="0000EE"/>
            </w:tcBorders>
            <w:gridSpan w:val="31"/>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Certificate of Designation of Series A-1, Junior Participating Preferred Stock of Magnachip Semiconductor Corporation, as filed with the</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Secretary of State of Delaware on December 13, 2021.</w:t>
              </w:r>
            </w:hyperlink>
          </w:p>
        </w:tc>
        <w:tc>
          <w:tcPr>
            <w:tcW w:w="5960" w:type="dxa"/>
            <w:vAlign w:val="bottom"/>
            <w:gridSpan w:val="26"/>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18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Description of Securities</w:t>
            </w:r>
          </w:p>
        </w:tc>
        <w:tc>
          <w:tcPr>
            <w:tcW w:w="8100" w:type="dxa"/>
            <w:vAlign w:val="bottom"/>
            <w:gridSpan w:val="29"/>
          </w:tcPr>
          <w:p>
            <w:pPr>
              <w:spacing w:after="0"/>
              <w:rPr>
                <w:sz w:val="24"/>
                <w:szCs w:val="24"/>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9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Intellectual Property License Agreement, dated as of October 6, 2004, by and between Hynix Semiconductor Inc. and MagnaChip</w:t>
              </w:r>
            </w:hyperlink>
          </w:p>
        </w:tc>
        <w:tc>
          <w:tcPr>
            <w:tcW w:w="520" w:type="dxa"/>
            <w:vAlign w:val="bottom"/>
            <w:gridSpan w:val="11"/>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4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Semiconductor, Ltd. (Korea) (incorporated by reference to Exhibit 10.2 to our Amendment No. 1 to Registration Statement on Form S-1</w:t>
              </w:r>
            </w:hyperlink>
          </w:p>
        </w:tc>
        <w:tc>
          <w:tcPr>
            <w:tcW w:w="60" w:type="dxa"/>
            <w:vAlign w:val="bottom"/>
            <w:gridSpan w:val="2"/>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76">
              <w:r>
                <w:rPr>
                  <w:rFonts w:ascii="Arial" w:cs="Arial" w:eastAsia="Arial" w:hAnsi="Arial"/>
                  <w:sz w:val="18"/>
                  <w:szCs w:val="18"/>
                  <w:color w:val="0000EE"/>
                  <w:w w:val="93"/>
                </w:rPr>
                <w:t>filed on April 20, 2010 (Registration No. 333-165467)).</w:t>
              </w:r>
            </w:hyperlink>
          </w:p>
        </w:tc>
        <w:tc>
          <w:tcPr>
            <w:tcW w:w="5860" w:type="dxa"/>
            <w:vAlign w:val="bottom"/>
            <w:gridSpan w:val="25"/>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9380" w:type="dxa"/>
            <w:vAlign w:val="bottom"/>
            <w:tcBorders>
              <w:bottom w:val="single" w:sz="8" w:color="0000EE"/>
            </w:tcBorders>
            <w:gridSpan w:val="20"/>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MagnaChip Semiconductor Corporation 2011 Equity Incentive Plan (as amended on April 26, 2018) (incorporated by reference to</w:t>
              </w:r>
            </w:hyperlink>
          </w:p>
        </w:tc>
        <w:tc>
          <w:tcPr>
            <w:tcW w:w="520" w:type="dxa"/>
            <w:vAlign w:val="bottom"/>
            <w:gridSpan w:val="11"/>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7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Exhibit 10.24 to our Annual Report on Form 10-K filed on February 22, 2019).</w:t>
              </w:r>
            </w:hyperlink>
          </w:p>
        </w:tc>
        <w:tc>
          <w:tcPr>
            <w:tcW w:w="4180" w:type="dxa"/>
            <w:vAlign w:val="bottom"/>
            <w:gridSpan w:val="21"/>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MagnaChip Semiconductor Corporation 2020 Equity and Incentive Compensation Plan (incorporated by reference to Exhibit 10.1 to the</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Registrant’s Current Report on Form 8-K filed on June 17, 2020).</w:t>
              </w:r>
            </w:hyperlink>
          </w:p>
        </w:tc>
        <w:tc>
          <w:tcPr>
            <w:tcW w:w="5080" w:type="dxa"/>
            <w:vAlign w:val="bottom"/>
            <w:tcBorders>
              <w:top w:val="single" w:sz="8" w:color="0000EE"/>
            </w:tcBorders>
            <w:gridSpan w:val="20"/>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7"/>
              </w:rPr>
            </w:pPr>
            <w:hyperlink r:id="rId179">
              <w:r>
                <w:rPr>
                  <w:rFonts w:ascii="Arial" w:cs="Arial" w:eastAsia="Arial" w:hAnsi="Arial"/>
                  <w:sz w:val="18"/>
                  <w:szCs w:val="18"/>
                  <w:color w:val="0000EE"/>
                  <w:w w:val="97"/>
                </w:rPr>
                <w:t>MagnaChip Semiconductor Corporation 2011 Employee Stock Purchase Plan (incorporated by reference to Exhibit 10.26 to our</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20" w:type="dxa"/>
            <w:vAlign w:val="bottom"/>
            <w:tcBorders>
              <w:top w:val="single" w:sz="8" w:color="0000EE"/>
            </w:tcBorders>
            <w:gridSpan w:val="17"/>
          </w:tcPr>
          <w:p>
            <w:pPr>
              <w:spacing w:after="0" w:line="196" w:lineRule="exact"/>
              <w:rPr>
                <w:rFonts w:ascii="Arial" w:cs="Arial" w:eastAsia="Arial" w:hAnsi="Arial"/>
                <w:sz w:val="18"/>
                <w:szCs w:val="18"/>
                <w:color w:val="0000EE"/>
                <w:w w:val="96"/>
              </w:rPr>
            </w:pPr>
            <w:hyperlink r:id="rId179">
              <w:r>
                <w:rPr>
                  <w:rFonts w:ascii="Arial" w:cs="Arial" w:eastAsia="Arial" w:hAnsi="Arial"/>
                  <w:sz w:val="18"/>
                  <w:szCs w:val="18"/>
                  <w:color w:val="0000EE"/>
                  <w:w w:val="96"/>
                </w:rPr>
                <w:t>Amendment No 9 to the Registration Statement on Form S-1 filed on February 18, 2011 (Registration No. 333-165467)).</w:t>
              </w:r>
            </w:hyperlink>
          </w:p>
        </w:tc>
        <w:tc>
          <w:tcPr>
            <w:tcW w:w="680" w:type="dxa"/>
            <w:vAlign w:val="bottom"/>
            <w:gridSpan w:val="14"/>
          </w:tcPr>
          <w:p>
            <w:pPr>
              <w:spacing w:after="0"/>
              <w:rPr>
                <w:sz w:val="17"/>
                <w:szCs w:val="17"/>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140" w:type="dxa"/>
            <w:vAlign w:val="bottom"/>
            <w:gridSpan w:val="10"/>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3"/>
              </w:rPr>
            </w:pPr>
            <w:hyperlink r:id="rId180">
              <w:r>
                <w:rPr>
                  <w:rFonts w:ascii="Arial" w:cs="Arial" w:eastAsia="Arial" w:hAnsi="Arial"/>
                  <w:sz w:val="18"/>
                  <w:szCs w:val="18"/>
                  <w:color w:val="0000EE"/>
                  <w:w w:val="93"/>
                </w:rPr>
                <w:t>MagnaChip Semiconductor Corporation Form of Indemnification Agreement with Directors and Officers (incorporated by reference to</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Exhibit 10.49 to our Registration Statement on Form S-1 filed on March 15, 2010 (Registration No. 333-165467)).</w:t>
              </w:r>
            </w:hyperlink>
          </w:p>
        </w:tc>
        <w:tc>
          <w:tcPr>
            <w:tcW w:w="1460" w:type="dxa"/>
            <w:vAlign w:val="bottom"/>
            <w:tcBorders>
              <w:top w:val="single" w:sz="8" w:color="0000EE"/>
            </w:tcBorders>
            <w:gridSpan w:val="11"/>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Offer Letter, dated as of April 15, 2013, by and between MagnaChip Semiconductor, Ltd. (Korea) and Young-Joon Kim (incorporated by</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reference to Exhibit 10.36 to our Annual Report on Form 10-K filed on February 12, 2015).</w:t>
              </w:r>
            </w:hyperlink>
          </w:p>
        </w:tc>
        <w:tc>
          <w:tcPr>
            <w:tcW w:w="20" w:type="dxa"/>
            <w:vAlign w:val="bottom"/>
          </w:tcPr>
          <w:p>
            <w:pPr>
              <w:spacing w:after="0"/>
              <w:rPr>
                <w:sz w:val="17"/>
                <w:szCs w:val="17"/>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140" w:type="dxa"/>
            <w:vAlign w:val="bottom"/>
            <w:gridSpan w:val="10"/>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10.6-1*</w:t>
            </w:r>
          </w:p>
        </w:tc>
        <w:tc>
          <w:tcPr>
            <w:tcW w:w="46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4"/>
              </w:rPr>
            </w:pPr>
            <w:hyperlink r:id="rId182">
              <w:r>
                <w:rPr>
                  <w:rFonts w:ascii="Arial" w:cs="Arial" w:eastAsia="Arial" w:hAnsi="Arial"/>
                  <w:sz w:val="18"/>
                  <w:szCs w:val="18"/>
                  <w:color w:val="0000EE"/>
                  <w:w w:val="94"/>
                </w:rPr>
                <w:t>Amendment of Offer Letter, dated July 27, 2015, from MagnaChip Semiconductor, Ltd. (Korea) to Young-Joon Kim (incorporated by</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reference to Exhibit 10.1 to our Quarterly Report on Form 10-Q filed on November 6, 2015).</w:t>
              </w:r>
            </w:hyperlink>
          </w:p>
        </w:tc>
        <w:tc>
          <w:tcPr>
            <w:tcW w:w="2940" w:type="dxa"/>
            <w:vAlign w:val="bottom"/>
            <w:tcBorders>
              <w:top w:val="single" w:sz="8" w:color="0000EE"/>
            </w:tcBorders>
            <w:gridSpan w:val="11"/>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10.6-2*</w:t>
            </w:r>
          </w:p>
        </w:tc>
        <w:tc>
          <w:tcPr>
            <w:tcW w:w="460" w:type="dxa"/>
            <w:vAlign w:val="bottom"/>
          </w:tcPr>
          <w:p>
            <w:pPr>
              <w:spacing w:after="0"/>
              <w:rPr>
                <w:sz w:val="24"/>
                <w:szCs w:val="24"/>
                <w:color w:val="auto"/>
              </w:rPr>
            </w:pPr>
          </w:p>
        </w:tc>
        <w:tc>
          <w:tcPr>
            <w:tcW w:w="9240" w:type="dxa"/>
            <w:vAlign w:val="bottom"/>
            <w:tcBorders>
              <w:bottom w:val="single" w:sz="8" w:color="0000EE"/>
            </w:tcBorders>
            <w:gridSpan w:val="18"/>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Severance Agreement, dated November 3, 2015, from MagnaChip Semiconductor, Ltd. (Korea) and MagnaChip Semiconductor</w:t>
              </w:r>
            </w:hyperlink>
          </w:p>
        </w:tc>
        <w:tc>
          <w:tcPr>
            <w:tcW w:w="660" w:type="dxa"/>
            <w:vAlign w:val="bottom"/>
            <w:gridSpan w:val="13"/>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Corporation to Young-Joon Kim (incorporated by reference to Exhibit 10.2 to our Quarterly Report on Form 10-Q filed on November 6,</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83">
              <w:r>
                <w:rPr>
                  <w:rFonts w:ascii="Arial" w:cs="Arial" w:eastAsia="Arial" w:hAnsi="Arial"/>
                  <w:sz w:val="18"/>
                  <w:szCs w:val="18"/>
                  <w:color w:val="0000EE"/>
                  <w:w w:val="86"/>
                </w:rPr>
                <w:t>2015).</w:t>
              </w:r>
            </w:hyperlink>
          </w:p>
        </w:tc>
        <w:tc>
          <w:tcPr>
            <w:tcW w:w="13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10.6-3*</w:t>
            </w:r>
          </w:p>
        </w:tc>
        <w:tc>
          <w:tcPr>
            <w:tcW w:w="460" w:type="dxa"/>
            <w:vAlign w:val="bottom"/>
          </w:tcPr>
          <w:p>
            <w:pPr>
              <w:spacing w:after="0"/>
              <w:rPr>
                <w:sz w:val="24"/>
                <w:szCs w:val="24"/>
                <w:color w:val="auto"/>
              </w:rPr>
            </w:pPr>
          </w:p>
        </w:tc>
        <w:tc>
          <w:tcPr>
            <w:tcW w:w="9480" w:type="dxa"/>
            <w:vAlign w:val="bottom"/>
            <w:tcBorders>
              <w:bottom w:val="single" w:sz="8" w:color="0000EE"/>
            </w:tcBorders>
            <w:gridSpan w:val="23"/>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Employment Agreement, dated as of April 26, 2018, by and between MagnaChip Semiconductor Corporation and Young Joon Kim</w:t>
              </w:r>
            </w:hyperlink>
          </w:p>
        </w:tc>
        <w:tc>
          <w:tcPr>
            <w:tcW w:w="420" w:type="dxa"/>
            <w:vAlign w:val="bottom"/>
            <w:gridSpan w:val="8"/>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(incorporated by reference to Exhibit 10.1 to our Current Report on Form 8-K filed on April 27, 2018).</w:t>
              </w:r>
            </w:hyperlink>
          </w:p>
        </w:tc>
        <w:tc>
          <w:tcPr>
            <w:tcW w:w="2480" w:type="dxa"/>
            <w:vAlign w:val="bottom"/>
            <w:gridSpan w:val="17"/>
          </w:tcPr>
          <w:p>
            <w:pPr>
              <w:spacing w:after="0"/>
              <w:rPr>
                <w:sz w:val="17"/>
                <w:szCs w:val="17"/>
                <w:color w:val="auto"/>
              </w:rPr>
            </w:pPr>
          </w:p>
        </w:tc>
      </w:tr>
      <w:tr>
        <w:trPr>
          <w:trHeight w:val="38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0" w:type="dxa"/>
            <w:vAlign w:val="bottom"/>
            <w:gridSpan w:val="9"/>
          </w:tcPr>
          <w:p>
            <w:pPr>
              <w:jc w:val="right"/>
              <w:ind w:right="128"/>
              <w:spacing w:after="0"/>
              <w:rPr>
                <w:sz w:val="20"/>
                <w:szCs w:val="20"/>
                <w:color w:val="auto"/>
              </w:rPr>
            </w:pPr>
            <w:r>
              <w:rPr>
                <w:rFonts w:ascii="Arial" w:cs="Arial" w:eastAsia="Arial" w:hAnsi="Arial"/>
                <w:sz w:val="18"/>
                <w:szCs w:val="18"/>
                <w:color w:val="auto"/>
              </w:rPr>
              <w:t>114</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6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560" w:type="dxa"/>
            <w:vAlign w:val="bottom"/>
            <w:gridSpan w:val="25"/>
          </w:tcPr>
          <w:p>
            <w:pPr>
              <w:ind w:left="2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10.6-4*</w:t>
            </w:r>
          </w:p>
        </w:tc>
        <w:tc>
          <w:tcPr>
            <w:tcW w:w="460" w:type="dxa"/>
            <w:vAlign w:val="bottom"/>
          </w:tcPr>
          <w:p>
            <w:pPr>
              <w:spacing w:after="0"/>
              <w:rPr>
                <w:sz w:val="21"/>
                <w:szCs w:val="21"/>
                <w:color w:val="auto"/>
              </w:rPr>
            </w:pPr>
          </w:p>
        </w:tc>
        <w:tc>
          <w:tcPr>
            <w:tcW w:w="9460" w:type="dxa"/>
            <w:vAlign w:val="bottom"/>
            <w:tcBorders>
              <w:bottom w:val="single" w:sz="8" w:color="0000EE"/>
            </w:tcBorders>
            <w:gridSpan w:val="17"/>
          </w:tcPr>
          <w:p>
            <w:pP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Amendment to Employment Agreement by and between MagnaChip Semiconductor Corporation and Young Joon Kim, dated as of</w:t>
              </w:r>
            </w:hyperlink>
          </w:p>
        </w:tc>
        <w:tc>
          <w:tcPr>
            <w:tcW w:w="440" w:type="dxa"/>
            <w:vAlign w:val="bottom"/>
            <w:gridSpan w:val="14"/>
          </w:tcPr>
          <w:p>
            <w:pPr>
              <w:spacing w:after="0"/>
              <w:rPr>
                <w:sz w:val="21"/>
                <w:szCs w:val="2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September 3, 2018 (incorporated by reference to Exhibit 10.29-4 to our Annual Report on Form 10-K filed on February 22, 2019).</w:t>
              </w:r>
            </w:hyperlink>
          </w:p>
        </w:tc>
        <w:tc>
          <w:tcPr>
            <w:tcW w:w="500" w:type="dxa"/>
            <w:vAlign w:val="bottom"/>
            <w:gridSpan w:val="16"/>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Offer Letter, dated as of September 27, 2013, by and between MagnaChip Semiconductor, Ltd. (Korea) and Theodore Kim (incorporated</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by reference to Exhibit 10.37 to our Annual Report on Form 10-K filed on February 12, 2015).</w:t>
              </w:r>
            </w:hyperlink>
          </w:p>
        </w:tc>
        <w:tc>
          <w:tcPr>
            <w:tcW w:w="3020" w:type="dxa"/>
            <w:vAlign w:val="bottom"/>
            <w:tcBorders>
              <w:top w:val="single" w:sz="8" w:color="0000EE"/>
            </w:tcBorders>
            <w:gridSpan w:val="21"/>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10.7-1*</w:t>
            </w:r>
          </w:p>
        </w:tc>
        <w:tc>
          <w:tcPr>
            <w:tcW w:w="460" w:type="dxa"/>
            <w:vAlign w:val="bottom"/>
          </w:tcPr>
          <w:p>
            <w:pPr>
              <w:spacing w:after="0"/>
              <w:rPr>
                <w:sz w:val="24"/>
                <w:szCs w:val="24"/>
                <w:color w:val="auto"/>
              </w:rPr>
            </w:pPr>
          </w:p>
        </w:tc>
        <w:tc>
          <w:tcPr>
            <w:tcW w:w="9240" w:type="dxa"/>
            <w:vAlign w:val="bottom"/>
            <w:tcBorders>
              <w:bottom w:val="single" w:sz="8" w:color="0000EE"/>
            </w:tcBorders>
            <w:gridSpan w:val="14"/>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Severance Agreement, dated November 3, 2015, from MagnaChip Semiconductor, Ltd. (Korea) and MagnaChip Semiconductor</w:t>
              </w:r>
            </w:hyperlink>
          </w:p>
        </w:tc>
        <w:tc>
          <w:tcPr>
            <w:tcW w:w="660" w:type="dxa"/>
            <w:vAlign w:val="bottom"/>
            <w:gridSpan w:val="17"/>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Corporation to Theodore S. Kim (incorporated by reference to Exhibit 10.4 to our Quarterly Report on Form 10-Q filed on November 6,</w:t>
              </w:r>
            </w:hyperlink>
          </w:p>
        </w:tc>
        <w:tc>
          <w:tcPr>
            <w:tcW w:w="80" w:type="dxa"/>
            <w:vAlign w:val="bottom"/>
            <w:gridSpan w:val="3"/>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88">
              <w:r>
                <w:rPr>
                  <w:rFonts w:ascii="Arial" w:cs="Arial" w:eastAsia="Arial" w:hAnsi="Arial"/>
                  <w:sz w:val="18"/>
                  <w:szCs w:val="18"/>
                  <w:color w:val="0000EE"/>
                  <w:w w:val="86"/>
                </w:rPr>
                <w:t>2015).</w:t>
              </w:r>
            </w:hyperlink>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10.7-2*</w:t>
            </w:r>
          </w:p>
        </w:tc>
        <w:tc>
          <w:tcPr>
            <w:tcW w:w="460" w:type="dxa"/>
            <w:vAlign w:val="bottom"/>
          </w:tcPr>
          <w:p>
            <w:pPr>
              <w:spacing w:after="0"/>
              <w:rPr>
                <w:sz w:val="24"/>
                <w:szCs w:val="24"/>
                <w:color w:val="auto"/>
              </w:rPr>
            </w:pPr>
          </w:p>
        </w:tc>
        <w:tc>
          <w:tcPr>
            <w:tcW w:w="9520" w:type="dxa"/>
            <w:vAlign w:val="bottom"/>
            <w:tcBorders>
              <w:bottom w:val="single" w:sz="8" w:color="0000EE"/>
            </w:tcBorders>
            <w:gridSpan w:val="18"/>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Employment Agreement, dated as of October 22, 2018, by and between MagnaChip Semiconductor Corporation and Theodore Kim</w:t>
              </w:r>
            </w:hyperlink>
          </w:p>
        </w:tc>
        <w:tc>
          <w:tcPr>
            <w:tcW w:w="380" w:type="dxa"/>
            <w:vAlign w:val="bottom"/>
            <w:gridSpan w:val="13"/>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(incorporated by reference to Exhibit 10.1 to our Current Report on Form 8-K filed on October 26, 2018).</w:t>
              </w:r>
            </w:hyperlink>
          </w:p>
        </w:tc>
        <w:tc>
          <w:tcPr>
            <w:tcW w:w="2280" w:type="dxa"/>
            <w:vAlign w:val="bottom"/>
            <w:gridSpan w:val="21"/>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4"/>
                <w:szCs w:val="24"/>
                <w:color w:val="auto"/>
              </w:rPr>
            </w:pPr>
          </w:p>
        </w:tc>
        <w:tc>
          <w:tcPr>
            <w:tcW w:w="9840" w:type="dxa"/>
            <w:vAlign w:val="bottom"/>
            <w:tcBorders>
              <w:bottom w:val="single" w:sz="8" w:color="0000EE"/>
            </w:tcBorders>
            <w:gridSpan w:val="29"/>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Offer Letter, dated as of October 16, 2013, by and between MagnaChip Semiconductor, Ltd. (Korea) and Woung Moo Lee (incorporated</w:t>
              </w:r>
            </w:hyperlink>
          </w:p>
        </w:tc>
        <w:tc>
          <w:tcPr>
            <w:tcW w:w="60" w:type="dxa"/>
            <w:vAlign w:val="bottom"/>
            <w:gridSpan w:val="2"/>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by reference to Exhibit 10.36 to our Annual Report on Form 10-K filed on February 22, 2016).</w:t>
              </w:r>
            </w:hyperlink>
          </w:p>
        </w:tc>
        <w:tc>
          <w:tcPr>
            <w:tcW w:w="3060" w:type="dxa"/>
            <w:vAlign w:val="bottom"/>
            <w:gridSpan w:val="22"/>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10.8-1*</w:t>
            </w:r>
          </w:p>
        </w:tc>
        <w:tc>
          <w:tcPr>
            <w:tcW w:w="460" w:type="dxa"/>
            <w:vAlign w:val="bottom"/>
          </w:tcPr>
          <w:p>
            <w:pPr>
              <w:spacing w:after="0"/>
              <w:rPr>
                <w:sz w:val="24"/>
                <w:szCs w:val="24"/>
                <w:color w:val="auto"/>
              </w:rPr>
            </w:pPr>
          </w:p>
        </w:tc>
        <w:tc>
          <w:tcPr>
            <w:tcW w:w="9240" w:type="dxa"/>
            <w:vAlign w:val="bottom"/>
            <w:tcBorders>
              <w:bottom w:val="single" w:sz="8" w:color="0000EE"/>
            </w:tcBorders>
            <w:gridSpan w:val="14"/>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Severance Agreement, dated November 3, 2015, from MagnaChip Semiconductor, Ltd. (Korea) and MagnaChip Semiconductor</w:t>
              </w:r>
            </w:hyperlink>
          </w:p>
        </w:tc>
        <w:tc>
          <w:tcPr>
            <w:tcW w:w="660" w:type="dxa"/>
            <w:vAlign w:val="bottom"/>
            <w:gridSpan w:val="17"/>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w w:val="92"/>
              </w:rPr>
            </w:pPr>
            <w:hyperlink r:id="rId191">
              <w:r>
                <w:rPr>
                  <w:rFonts w:ascii="Arial" w:cs="Arial" w:eastAsia="Arial" w:hAnsi="Arial"/>
                  <w:sz w:val="18"/>
                  <w:szCs w:val="18"/>
                  <w:color w:val="0000EE"/>
                  <w:w w:val="92"/>
                </w:rPr>
                <w:t>Corporation to Woung Moo Lee (incorporated by reference to Exhibit 10.6 to our Quarterly Report on Form 10-Q filed on November 6,</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91">
              <w:r>
                <w:rPr>
                  <w:rFonts w:ascii="Arial" w:cs="Arial" w:eastAsia="Arial" w:hAnsi="Arial"/>
                  <w:sz w:val="18"/>
                  <w:szCs w:val="18"/>
                  <w:color w:val="0000EE"/>
                  <w:w w:val="86"/>
                </w:rPr>
                <w:t>2015).</w:t>
              </w:r>
            </w:hyperlink>
          </w:p>
        </w:tc>
        <w:tc>
          <w:tcPr>
            <w:tcW w:w="8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10.8-2*</w:t>
            </w:r>
          </w:p>
        </w:tc>
        <w:tc>
          <w:tcPr>
            <w:tcW w:w="460" w:type="dxa"/>
            <w:vAlign w:val="bottom"/>
          </w:tcPr>
          <w:p>
            <w:pPr>
              <w:spacing w:after="0"/>
              <w:rPr>
                <w:sz w:val="24"/>
                <w:szCs w:val="24"/>
                <w:color w:val="auto"/>
              </w:rPr>
            </w:pPr>
          </w:p>
        </w:tc>
        <w:tc>
          <w:tcPr>
            <w:tcW w:w="9680" w:type="dxa"/>
            <w:vAlign w:val="bottom"/>
            <w:tcBorders>
              <w:bottom w:val="single" w:sz="8" w:color="0000EE"/>
            </w:tcBorders>
            <w:gridSpan w:val="23"/>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Employment Agreement, dated as of October 22, 2018, by and between MagnaChip Semiconductor Corporation and Woung Moo Lee</w:t>
              </w:r>
            </w:hyperlink>
          </w:p>
        </w:tc>
        <w:tc>
          <w:tcPr>
            <w:tcW w:w="220" w:type="dxa"/>
            <w:vAlign w:val="bottom"/>
            <w:gridSpan w:val="8"/>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(incorporated by reference to Exhibit 10.2 to our Current Report on Form 8-K filed on October 26, 2018).</w:t>
              </w:r>
            </w:hyperlink>
          </w:p>
        </w:tc>
        <w:tc>
          <w:tcPr>
            <w:tcW w:w="2280" w:type="dxa"/>
            <w:vAlign w:val="bottom"/>
            <w:gridSpan w:val="21"/>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9560" w:type="dxa"/>
            <w:vAlign w:val="bottom"/>
            <w:tcBorders>
              <w:bottom w:val="single" w:sz="8" w:color="0000EE"/>
            </w:tcBorders>
            <w:gridSpan w:val="19"/>
          </w:tcPr>
          <w:p>
            <w:pPr>
              <w:spacing w:after="0"/>
              <w:rPr>
                <w:rFonts w:ascii="Arial" w:cs="Arial" w:eastAsia="Arial" w:hAnsi="Arial"/>
                <w:sz w:val="18"/>
                <w:szCs w:val="18"/>
                <w:color w:val="0000EE"/>
                <w:w w:val="89"/>
              </w:rPr>
            </w:pPr>
            <w:hyperlink r:id="rId193">
              <w:r>
                <w:rPr>
                  <w:rFonts w:ascii="Arial" w:cs="Arial" w:eastAsia="Arial" w:hAnsi="Arial"/>
                  <w:sz w:val="18"/>
                  <w:szCs w:val="18"/>
                  <w:color w:val="0000EE"/>
                  <w:w w:val="89"/>
                </w:rPr>
                <w:t>Executive Service Agreement, dated as of June 1, 2020, by and between Chan Ho Park, MagnaChip Semiconductor Corporation and</w:t>
              </w:r>
            </w:hyperlink>
          </w:p>
        </w:tc>
        <w:tc>
          <w:tcPr>
            <w:tcW w:w="340" w:type="dxa"/>
            <w:vAlign w:val="bottom"/>
            <w:gridSpan w:val="12"/>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MagnaChip Semiconductor, Ltd. (incorporated by reference to Exhibit 10.9 to our Quarterly Report on Form 10-Q filed on August 7,</w:t>
              </w:r>
            </w:hyperlink>
          </w:p>
        </w:tc>
        <w:tc>
          <w:tcPr>
            <w:tcW w:w="300" w:type="dxa"/>
            <w:vAlign w:val="bottom"/>
            <w:gridSpan w:val="11"/>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93">
              <w:r>
                <w:rPr>
                  <w:rFonts w:ascii="Arial" w:cs="Arial" w:eastAsia="Arial" w:hAnsi="Arial"/>
                  <w:sz w:val="18"/>
                  <w:szCs w:val="18"/>
                  <w:color w:val="0000EE"/>
                  <w:w w:val="86"/>
                </w:rPr>
                <w:t>2020)</w:t>
              </w:r>
            </w:hyperlink>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10.10*</w:t>
            </w:r>
          </w:p>
        </w:tc>
        <w:tc>
          <w:tcPr>
            <w:tcW w:w="46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7"/>
              </w:rPr>
            </w:pPr>
            <w:hyperlink r:id="rId194">
              <w:r>
                <w:rPr>
                  <w:rFonts w:ascii="Arial" w:cs="Arial" w:eastAsia="Arial" w:hAnsi="Arial"/>
                  <w:sz w:val="18"/>
                  <w:szCs w:val="18"/>
                  <w:color w:val="0000EE"/>
                  <w:w w:val="97"/>
                </w:rPr>
                <w:t>Executive Service Agreement, effective as of February 23, 2022, by and between Shin Young Park, Magnachip Semiconductor</w:t>
              </w:r>
            </w:hyperlink>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Corporation and Magnachip Semiconductor, Ltd. (incorporated by reference to Exhibit 10.30 to our Annual Report on Form 10-K filed</w:t>
              </w:r>
            </w:hyperlink>
          </w:p>
        </w:tc>
        <w:tc>
          <w:tcPr>
            <w:tcW w:w="160" w:type="dxa"/>
            <w:vAlign w:val="bottom"/>
            <w:gridSpan w:val="6"/>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94">
              <w:r>
                <w:rPr>
                  <w:rFonts w:ascii="Arial" w:cs="Arial" w:eastAsia="Arial" w:hAnsi="Arial"/>
                  <w:sz w:val="18"/>
                  <w:szCs w:val="18"/>
                  <w:color w:val="0000EE"/>
                  <w:w w:val="89"/>
                </w:rPr>
                <w:t>on February 23, 2022)</w:t>
              </w:r>
            </w:hyperlink>
          </w:p>
        </w:tc>
        <w:tc>
          <w:tcPr>
            <w:tcW w:w="8280" w:type="dxa"/>
            <w:vAlign w:val="bottom"/>
            <w:gridSpan w:val="26"/>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10.11*</w:t>
            </w:r>
          </w:p>
        </w:tc>
        <w:tc>
          <w:tcPr>
            <w:tcW w:w="460" w:type="dxa"/>
            <w:vAlign w:val="bottom"/>
          </w:tcPr>
          <w:p>
            <w:pPr>
              <w:spacing w:after="0"/>
              <w:rPr>
                <w:sz w:val="24"/>
                <w:szCs w:val="24"/>
                <w:color w:val="auto"/>
              </w:rPr>
            </w:pPr>
          </w:p>
        </w:tc>
        <w:tc>
          <w:tcPr>
            <w:tcW w:w="9900" w:type="dxa"/>
            <w:vAlign w:val="bottom"/>
            <w:tcBorders>
              <w:bottom w:val="single" w:sz="8" w:color="0000EE"/>
            </w:tcBorders>
            <w:gridSpan w:val="31"/>
          </w:tcPr>
          <w:p>
            <w:pPr>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MagnaChip Semiconductor LLC Profit Sharing Plan as adopted on December 31, 2009 and amended on February 15, 2010 (incorporated</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by reference to Exhibit 10.54 to our Quarterly Report on Form 10-Q filed on August 5, 2011).</w:t>
              </w:r>
            </w:hyperlink>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0" w:type="dxa"/>
            <w:vAlign w:val="bottom"/>
            <w:gridSpan w:val="4"/>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10.12*</w:t>
            </w:r>
          </w:p>
        </w:tc>
        <w:tc>
          <w:tcPr>
            <w:tcW w:w="46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1"/>
              </w:rPr>
            </w:pPr>
            <w:hyperlink r:id="rId196">
              <w:r>
                <w:rPr>
                  <w:rFonts w:ascii="Arial" w:cs="Arial" w:eastAsia="Arial" w:hAnsi="Arial"/>
                  <w:sz w:val="18"/>
                  <w:szCs w:val="18"/>
                  <w:color w:val="0000EE"/>
                  <w:w w:val="91"/>
                </w:rPr>
                <w:t>MagnaChip Semiconductor Corporation 2011 Form of Stock Option Agreement (U.S. Participants) (incorporated by reference to Exhibit</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60" w:type="dxa"/>
            <w:vAlign w:val="bottom"/>
            <w:tcBorders>
              <w:top w:val="single" w:sz="8" w:color="0000EE"/>
            </w:tcBorders>
            <w:gridSpan w:val="30"/>
          </w:tcPr>
          <w:p>
            <w:pPr>
              <w:spacing w:after="0" w:line="196" w:lineRule="exact"/>
              <w:rPr>
                <w:rFonts w:ascii="Arial" w:cs="Arial" w:eastAsia="Arial" w:hAnsi="Arial"/>
                <w:sz w:val="18"/>
                <w:szCs w:val="18"/>
                <w:color w:val="0000EE"/>
                <w:w w:val="93"/>
              </w:rPr>
            </w:pPr>
            <w:hyperlink r:id="rId196">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55</w:t>
              </w:r>
              <w:r>
                <w:rPr>
                  <w:rFonts w:ascii="Arial" w:cs="Arial" w:eastAsia="Arial" w:hAnsi="Arial"/>
                  <w:sz w:val="18"/>
                  <w:szCs w:val="18"/>
                  <w:color w:val="0000EE"/>
                  <w:w w:val="93"/>
                </w:rPr>
                <w:t xml:space="preserve"> to our Amendment No 9 to the Registration Statement on Form S-1 filed on February 18, 2011 (Registration No. 333-165467)).</w:t>
              </w:r>
            </w:hyperlink>
          </w:p>
        </w:tc>
        <w:tc>
          <w:tcPr>
            <w:tcW w:w="40" w:type="dxa"/>
            <w:vAlign w:val="bottom"/>
          </w:tcPr>
          <w:p>
            <w:pPr>
              <w:spacing w:after="0"/>
              <w:rPr>
                <w:sz w:val="17"/>
                <w:szCs w:val="17"/>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10.13*</w:t>
            </w:r>
          </w:p>
        </w:tc>
        <w:tc>
          <w:tcPr>
            <w:tcW w:w="46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3"/>
              </w:rPr>
            </w:pPr>
            <w:hyperlink r:id="rId197">
              <w:r>
                <w:rPr>
                  <w:rFonts w:ascii="Arial" w:cs="Arial" w:eastAsia="Arial" w:hAnsi="Arial"/>
                  <w:sz w:val="18"/>
                  <w:szCs w:val="18"/>
                  <w:color w:val="0000EE"/>
                  <w:w w:val="93"/>
                </w:rPr>
                <w:t>MagnaChip Semiconductor Corporation 2011 Form of Stock Option Agreement (Non-U.S. Participants) (incorporated by reference to</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60" w:type="dxa"/>
            <w:vAlign w:val="bottom"/>
            <w:tcBorders>
              <w:top w:val="single" w:sz="8" w:color="0000EE"/>
            </w:tcBorders>
            <w:gridSpan w:val="22"/>
          </w:tcPr>
          <w:p>
            <w:pPr>
              <w:spacing w:after="0" w:line="196" w:lineRule="exact"/>
              <w:rPr>
                <w:rFonts w:ascii="Arial" w:cs="Arial" w:eastAsia="Arial" w:hAnsi="Arial"/>
                <w:sz w:val="18"/>
                <w:szCs w:val="18"/>
                <w:color w:val="0000EE"/>
                <w:w w:val="99"/>
              </w:rPr>
            </w:pPr>
            <w:hyperlink r:id="rId197">
              <w:r>
                <w:rPr>
                  <w:rFonts w:ascii="Arial" w:cs="Arial" w:eastAsia="Arial" w:hAnsi="Arial"/>
                  <w:sz w:val="18"/>
                  <w:szCs w:val="18"/>
                  <w:color w:val="0000EE"/>
                  <w:w w:val="99"/>
                </w:rPr>
                <w:t>Exhibit 10.56 to our Amendment No 9 to the Registration Statement on Form S-1 filed on February 18, 2011 (Registration</w:t>
              </w:r>
            </w:hyperlink>
          </w:p>
        </w:tc>
        <w:tc>
          <w:tcPr>
            <w:tcW w:w="240" w:type="dxa"/>
            <w:vAlign w:val="bottom"/>
            <w:gridSpan w:val="9"/>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No. 333-165467)).</w:t>
              </w:r>
            </w:hyperlink>
          </w:p>
        </w:tc>
        <w:tc>
          <w:tcPr>
            <w:tcW w:w="7460" w:type="dxa"/>
            <w:vAlign w:val="bottom"/>
            <w:tcBorders>
              <w:top w:val="single" w:sz="8" w:color="0000EE"/>
            </w:tcBorders>
            <w:gridSpan w:val="7"/>
          </w:tcPr>
          <w:p>
            <w:pPr>
              <w:spacing w:after="0"/>
              <w:rPr>
                <w:sz w:val="17"/>
                <w:szCs w:val="17"/>
                <w:color w:val="auto"/>
              </w:rPr>
            </w:pPr>
          </w:p>
        </w:tc>
        <w:tc>
          <w:tcPr>
            <w:tcW w:w="1080" w:type="dxa"/>
            <w:vAlign w:val="bottom"/>
            <w:gridSpan w:val="20"/>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10.14*</w:t>
            </w:r>
          </w:p>
        </w:tc>
        <w:tc>
          <w:tcPr>
            <w:tcW w:w="46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2"/>
              </w:rPr>
            </w:pPr>
            <w:hyperlink r:id="rId198">
              <w:r>
                <w:rPr>
                  <w:rFonts w:ascii="Arial" w:cs="Arial" w:eastAsia="Arial" w:hAnsi="Arial"/>
                  <w:sz w:val="18"/>
                  <w:szCs w:val="18"/>
                  <w:color w:val="0000EE"/>
                  <w:w w:val="92"/>
                </w:rPr>
                <w:t>MagnaChip Semiconductor Corporation 2011 Form of Restricted Stock Units Agreement (U.S. Participants) (incorporated by reference</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to Exhibit 10.57 to our Amendment No 9 to the Registration Statement on Form S-1 filed on February 18, 2011 (Registration</w:t>
              </w:r>
            </w:hyperlink>
          </w:p>
        </w:tc>
        <w:tc>
          <w:tcPr>
            <w:tcW w:w="740" w:type="dxa"/>
            <w:vAlign w:val="bottom"/>
            <w:tcBorders>
              <w:top w:val="single" w:sz="8" w:color="0000EE"/>
            </w:tcBorders>
            <w:gridSpan w:val="14"/>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No. 333-165467)).</w:t>
              </w:r>
            </w:hyperlink>
          </w:p>
        </w:tc>
        <w:tc>
          <w:tcPr>
            <w:tcW w:w="8540" w:type="dxa"/>
            <w:vAlign w:val="bottom"/>
            <w:gridSpan w:val="27"/>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10.15*</w:t>
            </w:r>
          </w:p>
        </w:tc>
        <w:tc>
          <w:tcPr>
            <w:tcW w:w="46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6"/>
              </w:rPr>
            </w:pPr>
            <w:hyperlink r:id="rId199">
              <w:r>
                <w:rPr>
                  <w:rFonts w:ascii="Arial" w:cs="Arial" w:eastAsia="Arial" w:hAnsi="Arial"/>
                  <w:sz w:val="18"/>
                  <w:szCs w:val="18"/>
                  <w:color w:val="0000EE"/>
                  <w:w w:val="96"/>
                </w:rPr>
                <w:t>MagnaChip Semiconductor Corporation 2011 Form of Restricted Stock Units Agreement (Non-U.S. Participants) (incorporated by</w:t>
              </w:r>
            </w:hyperlink>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8080" w:type="dxa"/>
            <w:vAlign w:val="bottom"/>
            <w:gridSpan w:val="13"/>
            <w:shd w:val="clear" w:color="auto" w:fill="0000EE"/>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reference to Exhibit 10.58 to our Amendment No 9 to the Registration Statement on Form S-1 filed on February 18, 2011 (Registration</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No. 333-165467)).</w:t>
              </w:r>
            </w:hyperlink>
          </w:p>
        </w:tc>
        <w:tc>
          <w:tcPr>
            <w:tcW w:w="180" w:type="dxa"/>
            <w:vAlign w:val="bottom"/>
            <w:gridSpan w:val="7"/>
          </w:tcPr>
          <w:p>
            <w:pPr>
              <w:spacing w:after="0"/>
              <w:rPr>
                <w:sz w:val="17"/>
                <w:szCs w:val="17"/>
                <w:color w:val="auto"/>
              </w:rPr>
            </w:pPr>
          </w:p>
        </w:tc>
      </w:tr>
      <w:tr>
        <w:trPr>
          <w:trHeight w:val="38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Borders>
              <w:top w:val="single" w:sz="8" w:color="0000EE"/>
            </w:tcBorders>
            <w:gridSpan w:val="3"/>
          </w:tcPr>
          <w:p>
            <w:pPr>
              <w:spacing w:after="0"/>
              <w:rPr>
                <w:sz w:val="24"/>
                <w:szCs w:val="24"/>
                <w:color w:val="auto"/>
              </w:rPr>
            </w:pPr>
          </w:p>
        </w:tc>
        <w:tc>
          <w:tcPr>
            <w:tcW w:w="4220" w:type="dxa"/>
            <w:vAlign w:val="bottom"/>
            <w:gridSpan w:val="4"/>
          </w:tcPr>
          <w:p>
            <w:pPr>
              <w:jc w:val="right"/>
              <w:ind w:right="948"/>
              <w:spacing w:after="0"/>
              <w:rPr>
                <w:sz w:val="20"/>
                <w:szCs w:val="20"/>
                <w:color w:val="auto"/>
              </w:rPr>
            </w:pPr>
            <w:r>
              <w:rPr>
                <w:rFonts w:ascii="Arial" w:cs="Arial" w:eastAsia="Arial" w:hAnsi="Arial"/>
                <w:sz w:val="18"/>
                <w:szCs w:val="18"/>
                <w:color w:val="auto"/>
              </w:rPr>
              <w:t>115</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20"/>
          </w:cols>
          <w:pgMar w:left="320" w:top="486" w:right="459" w:bottom="1440" w:gutter="0" w:footer="0" w:header="0"/>
        </w:sectPr>
      </w:pPr>
    </w:p>
    <w:p>
      <w:pPr>
        <w:spacing w:after="0" w:line="324"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5080</wp:posOffset>
            </wp:positionV>
            <wp:extent cx="3257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Exhibit Description</w:t>
      </w:r>
    </w:p>
    <w:p>
      <w:pPr>
        <w:spacing w:after="0" w:line="117" w:lineRule="exact"/>
        <w:rPr>
          <w:sz w:val="20"/>
          <w:szCs w:val="20"/>
          <w:color w:val="auto"/>
        </w:rPr>
      </w:pPr>
    </w:p>
    <w:p>
      <w:pPr>
        <w:ind w:right="380"/>
        <w:spacing w:after="0" w:line="263" w:lineRule="auto"/>
        <w:rPr>
          <w:rFonts w:ascii="Arial" w:cs="Arial" w:eastAsia="Arial" w:hAnsi="Arial"/>
          <w:sz w:val="18"/>
          <w:szCs w:val="18"/>
          <w:u w:val="single" w:color="auto"/>
          <w:color w:val="0000EE"/>
        </w:rPr>
      </w:pPr>
      <w:hyperlink r:id="rId202">
        <w:r>
          <w:rPr>
            <w:rFonts w:ascii="Arial" w:cs="Arial" w:eastAsia="Arial" w:hAnsi="Arial"/>
            <w:sz w:val="18"/>
            <w:szCs w:val="18"/>
            <w:u w:val="single" w:color="auto"/>
            <w:color w:val="0000EE"/>
          </w:rPr>
          <w:t>MagnaChip Semiconductor Corporation 2011 Form of Restricted Stock Agreement (U.S. Participants) (incorporated by reference to</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Exhibit 10.59 to our Amendment No 9 to the Registration Statement on Form S-1 filed on February 18, 2011 (Registration</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No. 333-165467)).</w:t>
        </w:r>
      </w:hyperlink>
    </w:p>
    <w:p>
      <w:pPr>
        <w:spacing w:after="0" w:line="76" w:lineRule="exact"/>
        <w:rPr>
          <w:rFonts w:ascii="Arial" w:cs="Arial" w:eastAsia="Arial" w:hAnsi="Arial"/>
          <w:sz w:val="18"/>
          <w:szCs w:val="18"/>
          <w:u w:val="single" w:color="auto"/>
          <w:color w:val="0000EE"/>
        </w:rPr>
      </w:pPr>
    </w:p>
    <w:p>
      <w:pPr>
        <w:sectPr>
          <w:pgSz w:w="11900" w:h="16838" w:orient="portrait"/>
          <w:cols w:equalWidth="0" w:num="2">
            <w:col w:w="700" w:space="520"/>
            <w:col w:w="9900"/>
          </w:cols>
          <w:pgMar w:left="320" w:top="486" w:right="459" w:bottom="1440" w:gutter="0" w:footer="0" w:header="0"/>
          <w:type w:val="continuous"/>
        </w:sectPr>
      </w:pPr>
    </w:p>
    <w:p>
      <w:pPr>
        <w:ind w:left="20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203">
        <w:r>
          <w:rPr>
            <w:rFonts w:ascii="Arial" w:cs="Arial" w:eastAsia="Arial" w:hAnsi="Arial"/>
            <w:sz w:val="16"/>
            <w:szCs w:val="16"/>
            <w:u w:val="single" w:color="auto"/>
            <w:color w:val="0000EE"/>
          </w:rPr>
          <w:t>MagnaChip Semiconductor Corporation 2011 Form of Restricted Stock Agreement (Non-U.S. Participants) (incorporated by reference to</w:t>
        </w:r>
      </w:hyperlink>
    </w:p>
    <w:p>
      <w:pPr>
        <w:spacing w:after="0" w:line="23" w:lineRule="exact"/>
        <w:rPr>
          <w:rFonts w:ascii="Arial" w:cs="Arial" w:eastAsia="Arial" w:hAnsi="Arial"/>
          <w:sz w:val="18"/>
          <w:szCs w:val="18"/>
          <w:u w:val="single" w:color="auto"/>
          <w:color w:val="0000EE"/>
        </w:rPr>
      </w:pPr>
    </w:p>
    <w:p>
      <w:pPr>
        <w:ind w:left="1220" w:right="1080"/>
        <w:spacing w:after="0" w:line="260" w:lineRule="auto"/>
        <w:rPr>
          <w:rFonts w:ascii="Arial" w:cs="Arial" w:eastAsia="Arial" w:hAnsi="Arial"/>
          <w:sz w:val="18"/>
          <w:szCs w:val="18"/>
          <w:u w:val="single" w:color="auto"/>
          <w:color w:val="0000EE"/>
        </w:rPr>
      </w:pPr>
      <w:hyperlink r:id="rId203">
        <w:r>
          <w:rPr>
            <w:rFonts w:ascii="Arial" w:cs="Arial" w:eastAsia="Arial" w:hAnsi="Arial"/>
            <w:sz w:val="18"/>
            <w:szCs w:val="18"/>
            <w:u w:val="single" w:color="auto"/>
            <w:color w:val="0000EE"/>
          </w:rPr>
          <w:t>Exhibit 10.60 to our Amendment No 9 to the Registration Statement on Form S-1 filed on February 18, 2011 (Registration</w:t>
        </w:r>
      </w:hyperlink>
      <w:r>
        <w:rPr>
          <w:rFonts w:ascii="Arial" w:cs="Arial" w:eastAsia="Arial" w:hAnsi="Arial"/>
          <w:sz w:val="18"/>
          <w:szCs w:val="18"/>
          <w:u w:val="single" w:color="auto"/>
          <w:color w:val="0000EE"/>
        </w:rPr>
        <w:t xml:space="preserve"> </w:t>
      </w:r>
      <w:hyperlink r:id="rId203">
        <w:r>
          <w:rPr>
            <w:rFonts w:ascii="Arial" w:cs="Arial" w:eastAsia="Arial" w:hAnsi="Arial"/>
            <w:sz w:val="18"/>
            <w:szCs w:val="18"/>
            <w:u w:val="single" w:color="auto"/>
            <w:color w:val="0000EE"/>
          </w:rPr>
          <w:t>No. 333-165467)).</w:t>
        </w:r>
      </w:hyperlink>
    </w:p>
    <w:p>
      <w:pPr>
        <w:spacing w:after="0" w:line="77" w:lineRule="exact"/>
        <w:rPr>
          <w:sz w:val="20"/>
          <w:szCs w:val="20"/>
          <w:color w:val="auto"/>
        </w:rPr>
      </w:pPr>
    </w:p>
    <w:p>
      <w:pPr>
        <w:ind w:left="1220" w:right="40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204">
        <w:r>
          <w:rPr>
            <w:rFonts w:ascii="Arial" w:cs="Arial" w:eastAsia="Arial" w:hAnsi="Arial"/>
            <w:sz w:val="18"/>
            <w:szCs w:val="18"/>
            <w:u w:val="single" w:color="auto"/>
            <w:color w:val="0000EE"/>
          </w:rPr>
          <w:t>MagnaChip Semiconductor Corporation 2011 Form of Restricted Stock Units Agreement (Nonemployee Director) (incorporated by</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reference to Exhibit 10.1 to our Quarterly Report on Form 10-Q filed on May 6, 2016).</w:t>
        </w:r>
      </w:hyperlink>
    </w:p>
    <w:p>
      <w:pPr>
        <w:spacing w:after="0" w:line="62" w:lineRule="exact"/>
        <w:rPr>
          <w:sz w:val="20"/>
          <w:szCs w:val="20"/>
          <w:color w:val="auto"/>
        </w:rPr>
      </w:pPr>
    </w:p>
    <w:p>
      <w:pPr>
        <w:ind w:left="1220" w:right="54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205">
        <w:r>
          <w:rPr>
            <w:rFonts w:ascii="Arial" w:cs="Arial" w:eastAsia="Arial" w:hAnsi="Arial"/>
            <w:sz w:val="18"/>
            <w:szCs w:val="18"/>
            <w:u w:val="single" w:color="auto"/>
            <w:color w:val="0000EE"/>
          </w:rPr>
          <w:t>Form of Restricted Stock Units Agreement (incorporated by reference to Exhibit 10.3 to our Current Report on Form 8-K filed on</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October 26, 2018).</w:t>
        </w:r>
      </w:hyperlink>
    </w:p>
    <w:p>
      <w:pPr>
        <w:spacing w:after="0" w:line="62" w:lineRule="exact"/>
        <w:rPr>
          <w:sz w:val="20"/>
          <w:szCs w:val="20"/>
          <w:color w:val="auto"/>
        </w:rPr>
      </w:pPr>
    </w:p>
    <w:p>
      <w:pPr>
        <w:ind w:left="20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206">
        <w:r>
          <w:rPr>
            <w:rFonts w:ascii="Arial" w:cs="Arial" w:eastAsia="Arial" w:hAnsi="Arial"/>
            <w:sz w:val="16"/>
            <w:szCs w:val="16"/>
            <w:u w:val="single" w:color="auto"/>
            <w:color w:val="0000EE"/>
          </w:rPr>
          <w:t>Form of Restricted Stock Units Agreement (TSR Performance) (incorporated by reference to Exhibit 10.4 to our Current Report on Form</w:t>
        </w:r>
      </w:hyperlink>
    </w:p>
    <w:p>
      <w:pPr>
        <w:spacing w:after="0" w:line="23" w:lineRule="exact"/>
        <w:rPr>
          <w:sz w:val="20"/>
          <w:szCs w:val="20"/>
          <w:color w:val="auto"/>
        </w:rPr>
      </w:pPr>
    </w:p>
    <w:p>
      <w:pPr>
        <w:ind w:left="1220"/>
        <w:spacing w:after="0"/>
        <w:rPr>
          <w:rFonts w:ascii="Arial" w:cs="Arial" w:eastAsia="Arial" w:hAnsi="Arial"/>
          <w:sz w:val="18"/>
          <w:szCs w:val="18"/>
          <w:u w:val="single" w:color="auto"/>
          <w:color w:val="0000EE"/>
        </w:rPr>
      </w:pPr>
      <w:hyperlink r:id="rId206">
        <w:r>
          <w:rPr>
            <w:rFonts w:ascii="Arial" w:cs="Arial" w:eastAsia="Arial" w:hAnsi="Arial"/>
            <w:sz w:val="18"/>
            <w:szCs w:val="18"/>
            <w:u w:val="single" w:color="auto"/>
            <w:color w:val="0000EE"/>
          </w:rPr>
          <w:t>8-K filed on October 26, 2018).</w:t>
        </w:r>
      </w:hyperlink>
    </w:p>
    <w:p>
      <w:pPr>
        <w:spacing w:after="0" w:line="103" w:lineRule="exact"/>
        <w:rPr>
          <w:sz w:val="20"/>
          <w:szCs w:val="20"/>
          <w:color w:val="auto"/>
        </w:rPr>
      </w:pPr>
    </w:p>
    <w:p>
      <w:pPr>
        <w:ind w:left="1220" w:right="42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207">
        <w:r>
          <w:rPr>
            <w:rFonts w:ascii="Arial" w:cs="Arial" w:eastAsia="Arial" w:hAnsi="Arial"/>
            <w:sz w:val="18"/>
            <w:szCs w:val="18"/>
            <w:u w:val="single" w:color="auto"/>
            <w:color w:val="0000EE"/>
          </w:rPr>
          <w:t>Form of Restricted Stock Units Agreement (AOP Performance) (incorporated by reference to Exhibit 10.5 to our Current Report on</w:t>
        </w:r>
      </w:hyperlink>
      <w:r>
        <w:rPr>
          <w:rFonts w:ascii="Arial" w:cs="Arial" w:eastAsia="Arial" w:hAnsi="Arial"/>
          <w:sz w:val="18"/>
          <w:szCs w:val="18"/>
          <w:u w:val="single" w:color="auto"/>
          <w:color w:val="0000EE"/>
        </w:rPr>
        <w:t xml:space="preserve"> </w:t>
      </w:r>
      <w:hyperlink r:id="rId207">
        <w:r>
          <w:rPr>
            <w:rFonts w:ascii="Arial" w:cs="Arial" w:eastAsia="Arial" w:hAnsi="Arial"/>
            <w:sz w:val="18"/>
            <w:szCs w:val="18"/>
            <w:u w:val="single" w:color="auto"/>
            <w:color w:val="0000EE"/>
          </w:rPr>
          <w:t>Form 8-K filed on October 26, 2018).</w:t>
        </w:r>
      </w:hyperlink>
    </w:p>
    <w:p>
      <w:pPr>
        <w:spacing w:after="0" w:line="62" w:lineRule="exact"/>
        <w:rPr>
          <w:sz w:val="20"/>
          <w:szCs w:val="20"/>
          <w:color w:val="auto"/>
        </w:rPr>
      </w:pPr>
    </w:p>
    <w:p>
      <w:pPr>
        <w:ind w:left="1220" w:right="26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208">
        <w:r>
          <w:rPr>
            <w:rFonts w:ascii="Arial" w:cs="Arial" w:eastAsia="Arial" w:hAnsi="Arial"/>
            <w:sz w:val="18"/>
            <w:szCs w:val="18"/>
            <w:u w:val="single" w:color="auto"/>
            <w:color w:val="0000EE"/>
          </w:rPr>
          <w:t>MagnaChip Semiconductor Corporation 2020 Form of Restricted Stock Units Agreement (Non-employee Directors) (incorporated by</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reference to Exhibit 99.2 to our Registration Statement on Form S-8 filed on July 15, 2020)</w:t>
        </w:r>
      </w:hyperlink>
    </w:p>
    <w:p>
      <w:pPr>
        <w:spacing w:after="0" w:line="62" w:lineRule="exact"/>
        <w:rPr>
          <w:sz w:val="20"/>
          <w:szCs w:val="20"/>
          <w:color w:val="auto"/>
        </w:rPr>
      </w:pPr>
    </w:p>
    <w:p>
      <w:pPr>
        <w:ind w:left="1220" w:right="66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209">
        <w:r>
          <w:rPr>
            <w:rFonts w:ascii="Arial" w:cs="Arial" w:eastAsia="Arial" w:hAnsi="Arial"/>
            <w:sz w:val="18"/>
            <w:szCs w:val="18"/>
            <w:u w:val="single" w:color="auto"/>
            <w:color w:val="0000EE"/>
          </w:rPr>
          <w:t>MagnaChip Semiconductor Corporation 2020 Form of Restricted Stock Units Agreement (Section 16 Officers) (incorporated by</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reference to Exhibit 99.3 to our Registration Statement on Form S-8 filed on July 15, 2020).</w:t>
        </w:r>
      </w:hyperlink>
    </w:p>
    <w:p>
      <w:pPr>
        <w:spacing w:after="0" w:line="62" w:lineRule="exact"/>
        <w:rPr>
          <w:sz w:val="20"/>
          <w:szCs w:val="20"/>
          <w:color w:val="auto"/>
        </w:rPr>
      </w:pPr>
    </w:p>
    <w:p>
      <w:pPr>
        <w:ind w:left="1220" w:right="10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210">
        <w:r>
          <w:rPr>
            <w:rFonts w:ascii="Arial" w:cs="Arial" w:eastAsia="Arial" w:hAnsi="Arial"/>
            <w:sz w:val="18"/>
            <w:szCs w:val="18"/>
            <w:u w:val="single" w:color="auto"/>
            <w:color w:val="0000EE"/>
          </w:rPr>
          <w:t>MagnaChip Semiconductor Corporation 2020 Form of Restricted Stock Units Agreement—Financial Performance (CEO) (incorporated</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by reference to Exhibit 99.4 to our Registration Statement on Form S-8 filed on July 15, 2020).</w:t>
        </w:r>
      </w:hyperlink>
    </w:p>
    <w:p>
      <w:pPr>
        <w:spacing w:after="0" w:line="62" w:lineRule="exact"/>
        <w:rPr>
          <w:sz w:val="20"/>
          <w:szCs w:val="20"/>
          <w:color w:val="auto"/>
        </w:rPr>
      </w:pPr>
    </w:p>
    <w:p>
      <w:pPr>
        <w:ind w:left="1220" w:hanging="1016"/>
        <w:spacing w:after="0" w:line="308" w:lineRule="auto"/>
        <w:tabs>
          <w:tab w:leader="none" w:pos="1200" w:val="left"/>
        </w:tabs>
        <w:rPr>
          <w:rFonts w:ascii="Arial" w:cs="Arial" w:eastAsia="Arial" w:hAnsi="Arial"/>
          <w:sz w:val="17"/>
          <w:szCs w:val="17"/>
          <w:u w:val="single" w:color="auto"/>
          <w:color w:val="0000EE"/>
        </w:rPr>
      </w:pPr>
      <w:r>
        <w:rPr>
          <w:rFonts w:ascii="Arial" w:cs="Arial" w:eastAsia="Arial" w:hAnsi="Arial"/>
          <w:sz w:val="18"/>
          <w:szCs w:val="18"/>
          <w:color w:val="auto"/>
        </w:rPr>
        <w:t>10.25*</w:t>
      </w:r>
      <w:r>
        <w:rPr>
          <w:sz w:val="20"/>
          <w:szCs w:val="20"/>
          <w:color w:val="auto"/>
        </w:rPr>
        <w:tab/>
      </w:r>
      <w:hyperlink r:id="rId211">
        <w:r>
          <w:rPr>
            <w:rFonts w:ascii="Arial" w:cs="Arial" w:eastAsia="Arial" w:hAnsi="Arial"/>
            <w:sz w:val="17"/>
            <w:szCs w:val="17"/>
            <w:u w:val="single" w:color="auto"/>
            <w:color w:val="0000EE"/>
          </w:rPr>
          <w:t>MagnaChip Semiconductor Corporation 2020 Form of Restricted Stock Units Agreement—Financial Performance (Non-CEO Section 16</w:t>
        </w:r>
      </w:hyperlink>
      <w:r>
        <w:rPr>
          <w:rFonts w:ascii="Arial" w:cs="Arial" w:eastAsia="Arial" w:hAnsi="Arial"/>
          <w:sz w:val="17"/>
          <w:szCs w:val="17"/>
          <w:u w:val="single" w:color="auto"/>
          <w:color w:val="0000EE"/>
        </w:rPr>
        <w:t xml:space="preserve"> </w:t>
      </w:r>
      <w:hyperlink r:id="rId211">
        <w:r>
          <w:rPr>
            <w:rFonts w:ascii="Arial" w:cs="Arial" w:eastAsia="Arial" w:hAnsi="Arial"/>
            <w:sz w:val="17"/>
            <w:szCs w:val="17"/>
            <w:u w:val="single" w:color="auto"/>
            <w:color w:val="0000EE"/>
          </w:rPr>
          <w:t>Officers) (incorporated by reference to Exhibit 99.5 to our Registration Statement on Form S-8 filed on July 15, 2020).</w:t>
        </w:r>
      </w:hyperlink>
    </w:p>
    <w:p>
      <w:pPr>
        <w:spacing w:after="0" w:line="38" w:lineRule="exact"/>
        <w:rPr>
          <w:sz w:val="20"/>
          <w:szCs w:val="20"/>
          <w:color w:val="auto"/>
        </w:rPr>
      </w:pPr>
    </w:p>
    <w:p>
      <w:pPr>
        <w:ind w:left="1220" w:right="22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212">
        <w:r>
          <w:rPr>
            <w:rFonts w:ascii="Arial" w:cs="Arial" w:eastAsia="Arial" w:hAnsi="Arial"/>
            <w:sz w:val="18"/>
            <w:szCs w:val="18"/>
            <w:u w:val="single" w:color="auto"/>
            <w:color w:val="0000EE"/>
          </w:rPr>
          <w:t>MagnaChip Semiconductor Corporation 2020 Form of Restricted Stock Units Agreement—TSR Performance (CEO) (incorporated by</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reference to Exhibit 99.6 to our Registration Statement on Form S-8 filed on July 15, 2020).</w:t>
        </w:r>
      </w:hyperlink>
    </w:p>
    <w:p>
      <w:pPr>
        <w:spacing w:after="0" w:line="62" w:lineRule="exact"/>
        <w:rPr>
          <w:sz w:val="20"/>
          <w:szCs w:val="20"/>
          <w:color w:val="auto"/>
        </w:rPr>
      </w:pPr>
    </w:p>
    <w:p>
      <w:pPr>
        <w:ind w:left="20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10.27*</w:t>
      </w:r>
      <w:r>
        <w:rPr>
          <w:sz w:val="20"/>
          <w:szCs w:val="20"/>
          <w:color w:val="auto"/>
        </w:rPr>
        <w:tab/>
      </w:r>
      <w:hyperlink r:id="rId213">
        <w:r>
          <w:rPr>
            <w:rFonts w:ascii="Arial" w:cs="Arial" w:eastAsia="Arial" w:hAnsi="Arial"/>
            <w:sz w:val="16"/>
            <w:szCs w:val="16"/>
            <w:u w:val="single" w:color="auto"/>
            <w:color w:val="0000EE"/>
          </w:rPr>
          <w:t>MagnaChip Semiconductor Corporation 2020 Form of Restricted Stock Units Agreement—TSR Performance (Non-CEO Section 16</w:t>
        </w:r>
      </w:hyperlink>
    </w:p>
    <w:p>
      <w:pPr>
        <w:spacing w:after="0" w:line="23" w:lineRule="exact"/>
        <w:rPr>
          <w:sz w:val="20"/>
          <w:szCs w:val="20"/>
          <w:color w:val="auto"/>
        </w:rPr>
      </w:pPr>
    </w:p>
    <w:p>
      <w:pPr>
        <w:jc w:val="center"/>
        <w:ind w:right="120"/>
        <w:spacing w:after="0"/>
        <w:rPr>
          <w:rFonts w:ascii="Arial" w:cs="Arial" w:eastAsia="Arial" w:hAnsi="Arial"/>
          <w:sz w:val="18"/>
          <w:szCs w:val="18"/>
          <w:u w:val="single" w:color="auto"/>
          <w:color w:val="0000EE"/>
        </w:rPr>
      </w:pPr>
      <w:hyperlink r:id="rId213">
        <w:r>
          <w:rPr>
            <w:rFonts w:ascii="Arial" w:cs="Arial" w:eastAsia="Arial" w:hAnsi="Arial"/>
            <w:sz w:val="18"/>
            <w:szCs w:val="18"/>
            <w:u w:val="single" w:color="auto"/>
            <w:color w:val="0000EE"/>
          </w:rPr>
          <w:t>Officers) (incorporated by reference to Exhibit 99.7 to our Registration Statement on Form S-8 filed on July 15, 2020).</w:t>
        </w:r>
      </w:hyperlink>
    </w:p>
    <w:p>
      <w:pPr>
        <w:spacing w:after="0" w:line="103" w:lineRule="exact"/>
        <w:rPr>
          <w:sz w:val="20"/>
          <w:szCs w:val="20"/>
          <w:color w:val="auto"/>
        </w:rPr>
      </w:pPr>
    </w:p>
    <w:p>
      <w:pPr>
        <w:ind w:left="1220" w:right="100" w:hanging="1016"/>
        <w:spacing w:after="0" w:line="342" w:lineRule="auto"/>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214">
        <w:r>
          <w:rPr>
            <w:rFonts w:ascii="Arial" w:cs="Arial" w:eastAsia="Arial" w:hAnsi="Arial"/>
            <w:sz w:val="16"/>
            <w:szCs w:val="16"/>
            <w:u w:val="single" w:color="auto"/>
            <w:color w:val="0000EE"/>
          </w:rPr>
          <w:t>Patent Cross-License Agreement, with an effective date as of June 15, 2017, by and between Infineon Technologies AG and Magnachip</w:t>
        </w:r>
      </w:hyperlink>
      <w:r>
        <w:rPr>
          <w:rFonts w:ascii="Arial" w:cs="Arial" w:eastAsia="Arial" w:hAnsi="Arial"/>
          <w:sz w:val="16"/>
          <w:szCs w:val="16"/>
          <w:u w:val="single" w:color="auto"/>
          <w:color w:val="0000EE"/>
        </w:rPr>
        <w:t xml:space="preserve"> </w:t>
      </w:r>
      <w:hyperlink r:id="rId214">
        <w:r>
          <w:rPr>
            <w:rFonts w:ascii="Arial" w:cs="Arial" w:eastAsia="Arial" w:hAnsi="Arial"/>
            <w:sz w:val="16"/>
            <w:szCs w:val="16"/>
            <w:u w:val="single" w:color="auto"/>
            <w:color w:val="0000EE"/>
          </w:rPr>
          <w:t>Semiconductor, Ltd. (incorporated by reference to Exhibit 10.8 to our Quarterly Report on Form 10-Q filed on November 4, 2022)</w:t>
        </w:r>
      </w:hyperlink>
    </w:p>
    <w:p>
      <w:pPr>
        <w:spacing w:after="0" w:line="16" w:lineRule="exact"/>
        <w:rPr>
          <w:sz w:val="20"/>
          <w:szCs w:val="20"/>
          <w:color w:val="auto"/>
        </w:rPr>
      </w:pPr>
    </w:p>
    <w:p>
      <w:pPr>
        <w:ind w:left="1220" w:right="80" w:hanging="1016"/>
        <w:spacing w:after="0" w:line="263"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215">
        <w:r>
          <w:rPr>
            <w:rFonts w:ascii="Arial" w:cs="Arial" w:eastAsia="Arial" w:hAnsi="Arial"/>
            <w:sz w:val="18"/>
            <w:szCs w:val="18"/>
            <w:u w:val="single" w:color="auto"/>
            <w:color w:val="0000EE"/>
          </w:rPr>
          <w:t>First Amendment to the Patent Cross-License Agreement, with an effective date as of January 1, 2022, by and between Infineon</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Technologies AG and Magnachip Semiconductor, Ltd. (incorporated by reference to Exhibit 10.9 to our Quarterly Report on Form 10-Q</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filed on November 4, 2022)</w:t>
        </w:r>
      </w:hyperlink>
    </w:p>
    <w:p>
      <w:pPr>
        <w:spacing w:after="0" w:line="76" w:lineRule="exact"/>
        <w:rPr>
          <w:rFonts w:ascii="Arial" w:cs="Arial" w:eastAsia="Arial" w:hAnsi="Arial"/>
          <w:sz w:val="18"/>
          <w:szCs w:val="18"/>
          <w:u w:val="single" w:color="auto"/>
          <w:color w:val="0000EE"/>
        </w:rPr>
      </w:pPr>
    </w:p>
    <w:p>
      <w:pPr>
        <w:ind w:left="1220" w:right="54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216">
        <w:r>
          <w:rPr>
            <w:rFonts w:ascii="Arial" w:cs="Arial" w:eastAsia="Arial" w:hAnsi="Arial"/>
            <w:sz w:val="18"/>
            <w:szCs w:val="18"/>
            <w:u w:val="single" w:color="auto"/>
            <w:color w:val="0000EE"/>
          </w:rPr>
          <w:t>Form of 2020 Plan Restricted Stock Units Agreement (Non-employee Directors) (incorporated by reference to Exhibit 10.1 to our</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Quarterly Report on Form 10-Q filed on November 4, 2022)</w:t>
        </w:r>
      </w:hyperlink>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86" w:right="45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20"/>
          </w:cols>
          <w:pgMar w:left="320" w:top="486" w:right="459" w:bottom="1440" w:gutter="0" w:footer="0" w:header="0"/>
        </w:sectPr>
      </w:pPr>
    </w:p>
    <w:p>
      <w:pPr>
        <w:spacing w:after="0" w:line="324"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5080</wp:posOffset>
            </wp:positionV>
            <wp:extent cx="3168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316865" cy="8890"/>
                    </a:xfrm>
                    <a:prstGeom prst="rect">
                      <a:avLst/>
                    </a:prstGeom>
                    <a:noFill/>
                  </pic:spPr>
                </pic:pic>
              </a:graphicData>
            </a:graphic>
          </wp:anchor>
        </w:drawing>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Exhibit Description</w:t>
      </w:r>
    </w:p>
    <w:p>
      <w:pPr>
        <w:spacing w:after="0" w:line="117" w:lineRule="exact"/>
        <w:rPr>
          <w:sz w:val="20"/>
          <w:szCs w:val="20"/>
          <w:color w:val="auto"/>
        </w:rPr>
      </w:pPr>
    </w:p>
    <w:p>
      <w:pPr>
        <w:ind w:right="200"/>
        <w:spacing w:after="0" w:line="277" w:lineRule="auto"/>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Form of 2020 Plan Restricted Stock Units Agreement (CEO and other Section 16 Officers) (incorporated by reference to Exhibit</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10.2 to our Quarterly Report on Form 10-Q filed on November 4, 2022)</w:t>
        </w:r>
      </w:hyperlink>
    </w:p>
    <w:p>
      <w:pPr>
        <w:spacing w:after="0" w:line="45" w:lineRule="exact"/>
        <w:rPr>
          <w:sz w:val="20"/>
          <w:szCs w:val="20"/>
          <w:color w:val="auto"/>
        </w:rPr>
      </w:pPr>
    </w:p>
    <w:p>
      <w:pPr>
        <w:sectPr>
          <w:pgSz w:w="11900" w:h="16838" w:orient="portrait"/>
          <w:cols w:equalWidth="0" w:num="2">
            <w:col w:w="940" w:space="720"/>
            <w:col w:w="9460"/>
          </w:cols>
          <w:pgMar w:left="320" w:top="486" w:right="45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10.32*</w:t>
            </w:r>
          </w:p>
        </w:tc>
        <w:tc>
          <w:tcPr>
            <w:tcW w:w="9460" w:type="dxa"/>
            <w:vAlign w:val="bottom"/>
            <w:tcBorders>
              <w:bottom w:val="single" w:sz="8" w:color="0000EE"/>
            </w:tcBorders>
            <w:gridSpan w:val="12"/>
          </w:tcPr>
          <w:p>
            <w:pPr>
              <w:spacing w:after="0"/>
              <w:rPr>
                <w:rFonts w:ascii="Arial" w:cs="Arial" w:eastAsia="Arial" w:hAnsi="Arial"/>
                <w:sz w:val="18"/>
                <w:szCs w:val="18"/>
                <w:color w:val="0000EE"/>
                <w:w w:val="91"/>
              </w:rPr>
            </w:pPr>
            <w:hyperlink r:id="rId220">
              <w:r>
                <w:rPr>
                  <w:rFonts w:ascii="Arial" w:cs="Arial" w:eastAsia="Arial" w:hAnsi="Arial"/>
                  <w:sz w:val="18"/>
                  <w:szCs w:val="18"/>
                  <w:color w:val="0000EE"/>
                  <w:w w:val="91"/>
                </w:rPr>
                <w:t>Form of 2020 Plan Restricted Stock Units Agreement—Financial Performance (CEO) (incorporated by reference to Exhibit 10.3 to</w:t>
              </w:r>
            </w:hyperlink>
          </w:p>
        </w:tc>
      </w:tr>
      <w:tr>
        <w:trPr>
          <w:trHeight w:val="196"/>
        </w:trPr>
        <w:tc>
          <w:tcPr>
            <w:tcW w:w="1460" w:type="dxa"/>
            <w:vAlign w:val="bottom"/>
          </w:tcPr>
          <w:p>
            <w:pPr>
              <w:spacing w:after="0"/>
              <w:rPr>
                <w:sz w:val="17"/>
                <w:szCs w:val="17"/>
                <w:color w:val="auto"/>
              </w:rPr>
            </w:pPr>
          </w:p>
        </w:tc>
        <w:tc>
          <w:tcPr>
            <w:tcW w:w="9460" w:type="dxa"/>
            <w:vAlign w:val="bottom"/>
            <w:gridSpan w:val="12"/>
          </w:tcPr>
          <w:p>
            <w:pPr>
              <w:spacing w:after="0" w:line="196" w:lineRule="exact"/>
              <w:rPr>
                <w:rFonts w:ascii="Arial" w:cs="Arial" w:eastAsia="Arial" w:hAnsi="Arial"/>
                <w:sz w:val="18"/>
                <w:szCs w:val="18"/>
                <w:color w:val="0000EE"/>
              </w:rPr>
            </w:pPr>
            <w:hyperlink r:id="rId220">
              <w:r>
                <w:rPr>
                  <w:rFonts w:ascii="Arial" w:cs="Arial" w:eastAsia="Arial" w:hAnsi="Arial"/>
                  <w:sz w:val="18"/>
                  <w:szCs w:val="18"/>
                  <w:color w:val="0000EE"/>
                </w:rPr>
                <w:t>our Quarterly Report on Form 10-Q filed on November 4, 2022)</w:t>
              </w:r>
            </w:hyperlink>
          </w:p>
        </w:tc>
      </w:tr>
      <w:tr>
        <w:trPr>
          <w:trHeight w:val="20"/>
        </w:trPr>
        <w:tc>
          <w:tcPr>
            <w:tcW w:w="14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10.33*</w:t>
            </w:r>
          </w:p>
        </w:tc>
        <w:tc>
          <w:tcPr>
            <w:tcW w:w="9260" w:type="dxa"/>
            <w:vAlign w:val="bottom"/>
            <w:tcBorders>
              <w:bottom w:val="single" w:sz="8" w:color="0000EE"/>
            </w:tcBorders>
            <w:gridSpan w:val="9"/>
          </w:tcPr>
          <w:p>
            <w:pPr>
              <w:spacing w:after="0"/>
              <w:rPr>
                <w:rFonts w:ascii="Arial" w:cs="Arial" w:eastAsia="Arial" w:hAnsi="Arial"/>
                <w:sz w:val="18"/>
                <w:szCs w:val="18"/>
                <w:color w:val="0000EE"/>
                <w:w w:val="91"/>
              </w:rPr>
            </w:pPr>
            <w:hyperlink r:id="rId221">
              <w:r>
                <w:rPr>
                  <w:rFonts w:ascii="Arial" w:cs="Arial" w:eastAsia="Arial" w:hAnsi="Arial"/>
                  <w:sz w:val="18"/>
                  <w:szCs w:val="18"/>
                  <w:color w:val="0000EE"/>
                  <w:w w:val="91"/>
                </w:rPr>
                <w:t>Form of 2020 Plan Restricted Stock Units Agreement—Financial Performance (Non-CEO Section 16 Officers) (incorporated by</w:t>
              </w:r>
            </w:hyperlink>
          </w:p>
        </w:tc>
        <w:tc>
          <w:tcPr>
            <w:tcW w:w="200" w:type="dxa"/>
            <w:vAlign w:val="bottom"/>
            <w:gridSpan w:val="3"/>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66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reference to Exhibit 10.4 to our Quarterly Report on Form 10-Q filed on November 4, 2022)</w:t>
              </w:r>
            </w:hyperlink>
          </w:p>
        </w:tc>
        <w:tc>
          <w:tcPr>
            <w:tcW w:w="2800" w:type="dxa"/>
            <w:vAlign w:val="bottom"/>
            <w:gridSpan w:val="6"/>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10.34*</w:t>
            </w:r>
          </w:p>
        </w:tc>
        <w:tc>
          <w:tcPr>
            <w:tcW w:w="9420" w:type="dxa"/>
            <w:vAlign w:val="bottom"/>
            <w:tcBorders>
              <w:bottom w:val="single" w:sz="8" w:color="0000EE"/>
            </w:tcBorders>
            <w:gridSpan w:val="11"/>
          </w:tcPr>
          <w:p>
            <w:pPr>
              <w:spacing w:after="0"/>
              <w:rPr>
                <w:rFonts w:ascii="Arial" w:cs="Arial" w:eastAsia="Arial" w:hAnsi="Arial"/>
                <w:sz w:val="18"/>
                <w:szCs w:val="18"/>
                <w:color w:val="0000EE"/>
                <w:w w:val="91"/>
              </w:rPr>
            </w:pPr>
            <w:hyperlink r:id="rId222">
              <w:r>
                <w:rPr>
                  <w:rFonts w:ascii="Arial" w:cs="Arial" w:eastAsia="Arial" w:hAnsi="Arial"/>
                  <w:sz w:val="18"/>
                  <w:szCs w:val="18"/>
                  <w:color w:val="0000EE"/>
                  <w:w w:val="91"/>
                </w:rPr>
                <w:t>Form of 2020 Plan Restricted Stock Units Agreement—TSR Performance (CEO) (incorporated by reference to Exhibit 10.5 to our</w:t>
              </w:r>
            </w:hyperlink>
          </w:p>
        </w:tc>
        <w:tc>
          <w:tcPr>
            <w:tcW w:w="4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43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222">
              <w:r>
                <w:rPr>
                  <w:rFonts w:ascii="Arial" w:cs="Arial" w:eastAsia="Arial" w:hAnsi="Arial"/>
                  <w:sz w:val="18"/>
                  <w:szCs w:val="18"/>
                  <w:color w:val="0000EE"/>
                  <w:w w:val="91"/>
                </w:rPr>
                <w:t>Quarterly Report on Form 10-Q filed on November 4, 2022)</w:t>
              </w:r>
            </w:hyperlink>
          </w:p>
        </w:tc>
        <w:tc>
          <w:tcPr>
            <w:tcW w:w="5100" w:type="dxa"/>
            <w:vAlign w:val="bottom"/>
            <w:gridSpan w:val="8"/>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10.35*</w:t>
            </w:r>
          </w:p>
        </w:tc>
        <w:tc>
          <w:tcPr>
            <w:tcW w:w="8920" w:type="dxa"/>
            <w:vAlign w:val="bottom"/>
            <w:tcBorders>
              <w:bottom w:val="single" w:sz="8" w:color="0000EE"/>
            </w:tcBorders>
            <w:gridSpan w:val="7"/>
          </w:tcPr>
          <w:p>
            <w:pPr>
              <w:spacing w:after="0"/>
              <w:rPr>
                <w:rFonts w:ascii="Arial" w:cs="Arial" w:eastAsia="Arial" w:hAnsi="Arial"/>
                <w:sz w:val="18"/>
                <w:szCs w:val="18"/>
                <w:color w:val="0000EE"/>
                <w:w w:val="91"/>
              </w:rPr>
            </w:pPr>
            <w:hyperlink r:id="rId223">
              <w:r>
                <w:rPr>
                  <w:rFonts w:ascii="Arial" w:cs="Arial" w:eastAsia="Arial" w:hAnsi="Arial"/>
                  <w:sz w:val="18"/>
                  <w:szCs w:val="18"/>
                  <w:color w:val="0000EE"/>
                  <w:w w:val="91"/>
                </w:rPr>
                <w:t>Form of 2020 Plan Restricted Stock Units Agreement—TSR Performance (Non-CEO Section 16 Officers) (incorporated by</w:t>
              </w:r>
            </w:hyperlink>
          </w:p>
        </w:tc>
        <w:tc>
          <w:tcPr>
            <w:tcW w:w="540" w:type="dxa"/>
            <w:vAlign w:val="bottom"/>
            <w:gridSpan w:val="5"/>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66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reference to Exhibit 10.6 to our Quarterly Report on Form 10-Q filed on November 4, 2022)</w:t>
              </w:r>
            </w:hyperlink>
          </w:p>
        </w:tc>
        <w:tc>
          <w:tcPr>
            <w:tcW w:w="2800" w:type="dxa"/>
            <w:vAlign w:val="bottom"/>
            <w:gridSpan w:val="6"/>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21.1</w:t>
            </w:r>
          </w:p>
        </w:tc>
        <w:tc>
          <w:tcPr>
            <w:tcW w:w="9460" w:type="dxa"/>
            <w:vAlign w:val="bottom"/>
            <w:gridSpan w:val="12"/>
          </w:tcPr>
          <w:p>
            <w:pPr>
              <w:spacing w:after="0"/>
              <w:rPr>
                <w:rFonts w:ascii="Arial" w:cs="Arial" w:eastAsia="Arial" w:hAnsi="Arial"/>
                <w:sz w:val="18"/>
                <w:szCs w:val="18"/>
                <w:color w:val="0000EE"/>
                <w:w w:val="94"/>
              </w:rPr>
            </w:pPr>
            <w:hyperlink r:id="rId224">
              <w:r>
                <w:rPr>
                  <w:rFonts w:ascii="Arial" w:cs="Arial" w:eastAsia="Arial" w:hAnsi="Arial"/>
                  <w:sz w:val="18"/>
                  <w:szCs w:val="18"/>
                  <w:color w:val="0000EE"/>
                  <w:w w:val="94"/>
                </w:rPr>
                <w:t>Subsidiaries of the Registrant (incorporated by reference to Exhibit 21.1 to our Annual Report on Form 10-K filed on March 9,</w:t>
              </w:r>
            </w:hyperlink>
          </w:p>
        </w:tc>
      </w:tr>
      <w:tr>
        <w:trPr>
          <w:trHeight w:val="196"/>
        </w:trPr>
        <w:tc>
          <w:tcPr>
            <w:tcW w:w="146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224">
              <w:r>
                <w:rPr>
                  <w:rFonts w:ascii="Arial" w:cs="Arial" w:eastAsia="Arial" w:hAnsi="Arial"/>
                  <w:sz w:val="18"/>
                  <w:szCs w:val="18"/>
                  <w:color w:val="0000EE"/>
                  <w:w w:val="86"/>
                </w:rPr>
                <w:t>2021)</w:t>
              </w:r>
            </w:hyperlink>
          </w:p>
        </w:tc>
        <w:tc>
          <w:tcPr>
            <w:tcW w:w="26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23.1#</w:t>
            </w:r>
          </w:p>
        </w:tc>
        <w:tc>
          <w:tcPr>
            <w:tcW w:w="31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Consent of Samil PricewaterhouseCoopers</w:t>
            </w:r>
          </w:p>
        </w:tc>
        <w:tc>
          <w:tcPr>
            <w:tcW w:w="6360" w:type="dxa"/>
            <w:vAlign w:val="bottom"/>
            <w:gridSpan w:val="9"/>
          </w:tcPr>
          <w:p>
            <w:pPr>
              <w:spacing w:after="0"/>
              <w:rPr>
                <w:sz w:val="24"/>
                <w:szCs w:val="24"/>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31.1#</w:t>
            </w:r>
          </w:p>
        </w:tc>
        <w:tc>
          <w:tcPr>
            <w:tcW w:w="9460" w:type="dxa"/>
            <w:vAlign w:val="bottom"/>
            <w:gridSpan w:val="12"/>
          </w:tcPr>
          <w:p>
            <w:pPr>
              <w:spacing w:after="0"/>
              <w:rPr>
                <w:sz w:val="20"/>
                <w:szCs w:val="20"/>
                <w:color w:val="auto"/>
              </w:rPr>
            </w:pPr>
            <w:r>
              <w:rPr>
                <w:rFonts w:ascii="Arial" w:cs="Arial" w:eastAsia="Arial" w:hAnsi="Arial"/>
                <w:sz w:val="18"/>
                <w:szCs w:val="18"/>
                <w:color w:val="0000EE"/>
                <w:w w:val="93"/>
              </w:rPr>
              <w:t>Certification of Chief Executive Officer required by Rule 13(a)-14(a), as adopted pursuant to § 302 of the Sarbanes-Oxley Act of</w:t>
            </w:r>
          </w:p>
        </w:tc>
      </w:tr>
      <w:tr>
        <w:trPr>
          <w:trHeight w:val="196"/>
        </w:trPr>
        <w:tc>
          <w:tcPr>
            <w:tcW w:w="14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6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31.2#</w:t>
            </w:r>
          </w:p>
        </w:tc>
        <w:tc>
          <w:tcPr>
            <w:tcW w:w="9460" w:type="dxa"/>
            <w:vAlign w:val="bottom"/>
            <w:gridSpan w:val="12"/>
          </w:tcPr>
          <w:p>
            <w:pPr>
              <w:spacing w:after="0"/>
              <w:rPr>
                <w:sz w:val="20"/>
                <w:szCs w:val="20"/>
                <w:color w:val="auto"/>
              </w:rPr>
            </w:pPr>
            <w:r>
              <w:rPr>
                <w:rFonts w:ascii="Arial" w:cs="Arial" w:eastAsia="Arial" w:hAnsi="Arial"/>
                <w:sz w:val="18"/>
                <w:szCs w:val="18"/>
                <w:color w:val="0000EE"/>
                <w:w w:val="93"/>
              </w:rPr>
              <w:t>Certification of Chief Financial Officer required by Rule 13(a)-14(a), as adopted pursuant to § 302 of the Sarbanes-Oxley Act of</w:t>
            </w:r>
          </w:p>
        </w:tc>
      </w:tr>
      <w:tr>
        <w:trPr>
          <w:trHeight w:val="196"/>
        </w:trPr>
        <w:tc>
          <w:tcPr>
            <w:tcW w:w="14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6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32.1†</w:t>
            </w:r>
          </w:p>
        </w:tc>
        <w:tc>
          <w:tcPr>
            <w:tcW w:w="9460" w:type="dxa"/>
            <w:vAlign w:val="bottom"/>
            <w:gridSpan w:val="12"/>
          </w:tcPr>
          <w:p>
            <w:pPr>
              <w:spacing w:after="0"/>
              <w:rPr>
                <w:sz w:val="20"/>
                <w:szCs w:val="20"/>
                <w:color w:val="auto"/>
              </w:rPr>
            </w:pPr>
            <w:r>
              <w:rPr>
                <w:rFonts w:ascii="Arial" w:cs="Arial" w:eastAsia="Arial" w:hAnsi="Arial"/>
                <w:sz w:val="18"/>
                <w:szCs w:val="18"/>
                <w:color w:val="0000EE"/>
                <w:w w:val="92"/>
              </w:rPr>
              <w:t>Certification of Chief Executive Officer required by 18 U.S.C § 1350, as adopted pursuant to § 906 of the Sarbanes-Oxley Act of</w:t>
            </w:r>
          </w:p>
        </w:tc>
      </w:tr>
      <w:tr>
        <w:trPr>
          <w:trHeight w:val="196"/>
        </w:trPr>
        <w:tc>
          <w:tcPr>
            <w:tcW w:w="14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6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32.2†</w:t>
            </w:r>
          </w:p>
        </w:tc>
        <w:tc>
          <w:tcPr>
            <w:tcW w:w="9460" w:type="dxa"/>
            <w:vAlign w:val="bottom"/>
            <w:gridSpan w:val="12"/>
          </w:tcPr>
          <w:p>
            <w:pPr>
              <w:spacing w:after="0"/>
              <w:rPr>
                <w:sz w:val="20"/>
                <w:szCs w:val="20"/>
                <w:color w:val="auto"/>
              </w:rPr>
            </w:pPr>
            <w:r>
              <w:rPr>
                <w:rFonts w:ascii="Arial" w:cs="Arial" w:eastAsia="Arial" w:hAnsi="Arial"/>
                <w:sz w:val="18"/>
                <w:szCs w:val="18"/>
                <w:color w:val="0000EE"/>
                <w:w w:val="93"/>
              </w:rPr>
              <w:t>Certification of Chief Financial Officer required by 18 U.S.C. § 1350, as adopted pursuant to § 906 of the Sarbanes-Oxley Act of</w:t>
            </w:r>
          </w:p>
        </w:tc>
      </w:tr>
      <w:tr>
        <w:trPr>
          <w:trHeight w:val="196"/>
        </w:trPr>
        <w:tc>
          <w:tcPr>
            <w:tcW w:w="14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6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101.INS#</w:t>
            </w:r>
          </w:p>
        </w:tc>
        <w:tc>
          <w:tcPr>
            <w:tcW w:w="946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101.SCH#</w:t>
            </w:r>
          </w:p>
        </w:tc>
        <w:tc>
          <w:tcPr>
            <w:tcW w:w="94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101.CAL#</w:t>
            </w:r>
          </w:p>
        </w:tc>
        <w:tc>
          <w:tcPr>
            <w:tcW w:w="94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101.DEF#</w:t>
            </w:r>
          </w:p>
        </w:tc>
        <w:tc>
          <w:tcPr>
            <w:tcW w:w="94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101.LAB#</w:t>
            </w:r>
          </w:p>
        </w:tc>
        <w:tc>
          <w:tcPr>
            <w:tcW w:w="94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101.PRE#</w:t>
            </w:r>
          </w:p>
        </w:tc>
        <w:tc>
          <w:tcPr>
            <w:tcW w:w="94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104</w:t>
            </w:r>
          </w:p>
        </w:tc>
        <w:tc>
          <w:tcPr>
            <w:tcW w:w="946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120" w:right="2660" w:hanging="4"/>
        <w:spacing w:after="0" w:line="258" w:lineRule="auto"/>
        <w:tabs>
          <w:tab w:leader="none" w:pos="5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grant of confidential treatment by the SEC. * Management contract, compensatory plan or arrangement</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86" w:right="45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56"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19202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Title:</w:t>
        <w:tab/>
        <w:t>Chief Executive Officer and Director</w:t>
      </w:r>
    </w:p>
    <w:p>
      <w:pPr>
        <w:spacing w:after="0" w:line="9"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Date:</w:t>
        <w:tab/>
        <w:t>February 22, 2023</w:t>
      </w:r>
    </w:p>
    <w:p>
      <w:pPr>
        <w:spacing w:after="0" w:line="21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00"/>
          </w:cols>
          <w:pgMar w:left="320" w:top="486" w:right="47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7">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Young-Joon Kim, </w:t>
      </w:r>
      <w:r>
        <w:rPr>
          <w:rFonts w:ascii="Arial" w:cs="Arial" w:eastAsia="Arial" w:hAnsi="Arial"/>
          <w:sz w:val="16"/>
          <w:szCs w:val="16"/>
          <w:i w:val="1"/>
          <w:iCs w:val="1"/>
          <w:color w:val="auto"/>
        </w:rPr>
        <w:t>Chief Executive Officer and Director (Principal Executive Officer)</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8">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16" w:lineRule="exact"/>
        <w:rPr>
          <w:sz w:val="20"/>
          <w:szCs w:val="20"/>
          <w:color w:val="auto"/>
        </w:rPr>
      </w:pPr>
    </w:p>
    <w:p>
      <w:pPr>
        <w:ind w:left="120" w:right="1580"/>
        <w:spacing w:after="0" w:line="277" w:lineRule="auto"/>
        <w:rPr>
          <w:sz w:val="20"/>
          <w:szCs w:val="20"/>
          <w:color w:val="auto"/>
        </w:rPr>
      </w:pPr>
      <w:r>
        <w:rPr>
          <w:rFonts w:ascii="Arial" w:cs="Arial" w:eastAsia="Arial" w:hAnsi="Arial"/>
          <w:sz w:val="18"/>
          <w:szCs w:val="18"/>
          <w:color w:val="auto"/>
        </w:rPr>
        <w:t xml:space="preserve">Shin Young Park, </w:t>
      </w:r>
      <w:r>
        <w:rPr>
          <w:rFonts w:ascii="Arial" w:cs="Arial" w:eastAsia="Arial" w:hAnsi="Arial"/>
          <w:sz w:val="18"/>
          <w:szCs w:val="18"/>
          <w:i w:val="1"/>
          <w:iCs w:val="1"/>
          <w:color w:val="auto"/>
        </w:rPr>
        <w:t>Chief Financial Officer (Principal Financial Officer and 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Officer)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Melvin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9">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Melvin Keating,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Ilbok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0">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Ilbok Lee,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1">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Camillo Martino, </w:t>
      </w:r>
      <w:r>
        <w:rPr>
          <w:rFonts w:ascii="Arial" w:cs="Arial" w:eastAsia="Arial" w:hAnsi="Arial"/>
          <w:sz w:val="18"/>
          <w:szCs w:val="18"/>
          <w:i w:val="1"/>
          <w:iCs w:val="1"/>
          <w:color w:val="auto"/>
        </w:rPr>
        <w:t>Non-Executive Chairman of the Board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Gary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2">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Gary Tanner,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Liz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3">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Liz Chung,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Date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2023</w:t>
      </w:r>
    </w:p>
    <w:p>
      <w:pPr>
        <w:spacing w:after="0" w:line="438" w:lineRule="exact"/>
        <w:rPr>
          <w:sz w:val="20"/>
          <w:szCs w:val="20"/>
          <w:color w:val="auto"/>
        </w:rPr>
      </w:pPr>
    </w:p>
    <w:p>
      <w:pPr>
        <w:sectPr>
          <w:pgSz w:w="11900" w:h="16838" w:orient="portrait"/>
          <w:cols w:equalWidth="0" w:num="2">
            <w:col w:w="7820" w:space="720"/>
            <w:col w:w="2560"/>
          </w:cols>
          <w:pgMar w:left="320" w:top="486" w:right="479" w:bottom="1440" w:gutter="0" w:footer="0" w:header="0"/>
          <w:type w:val="continuous"/>
        </w:sectPr>
      </w:pP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100"/>
          </w:cols>
          <w:pgMar w:left="320" w:top="486" w:right="47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29" w:lineRule="exact"/>
        <w:rPr>
          <w:sz w:val="20"/>
          <w:szCs w:val="20"/>
          <w:color w:val="auto"/>
        </w:rPr>
      </w:pPr>
    </w:p>
    <w:p>
      <w:pPr>
        <w:ind w:right="460" w:firstLine="440"/>
        <w:spacing w:after="0" w:line="257" w:lineRule="auto"/>
        <w:rPr>
          <w:sz w:val="20"/>
          <w:szCs w:val="20"/>
          <w:color w:val="auto"/>
        </w:rPr>
      </w:pPr>
      <w:r>
        <w:rPr>
          <w:rFonts w:ascii="Arial" w:cs="Arial" w:eastAsia="Arial" w:hAnsi="Arial"/>
          <w:sz w:val="18"/>
          <w:szCs w:val="18"/>
          <w:color w:val="auto"/>
        </w:rPr>
        <w:t>The following brief description of the capital stock of Magnachip Semiconductor Corporation (“us”, “our”, “we”, or the “Company”) is a summary. This summary is not complete and is subject to and qualified in its entirety by reference to the complete text of our Certificate of Incorporation (“Certificate of Incorporation”), and our Amended and Restated Bylaws (“Bylaws”) previously filed with the U.S. Securities and Exchange Commission and incorporated by reference as an exhibit to this Annual Report on Form 10-K of which this Exhibit 4.1 forms a part. We encourage you to read the Certificate of Incorporation and Bylaws carefully.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520" w:firstLine="440"/>
        <w:spacing w:after="0" w:line="342" w:lineRule="auto"/>
        <w:rPr>
          <w:sz w:val="20"/>
          <w:szCs w:val="20"/>
          <w:color w:val="auto"/>
        </w:rPr>
      </w:pPr>
      <w:r>
        <w:rPr>
          <w:rFonts w:ascii="Arial" w:cs="Arial" w:eastAsia="Arial" w:hAnsi="Arial"/>
          <w:sz w:val="16"/>
          <w:szCs w:val="16"/>
          <w:color w:val="auto"/>
        </w:rPr>
        <w:t>The Certificate of Incorporation provides that the Company may issue 155,000,000 shares of capital stock, of which 150,000,000 shares are designated as common stock, par value $0.01 per share, and 5,000,000 shares are designated as of preferred stock, par value $0.01 per share.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p>
    <w:p>
      <w:pPr>
        <w:spacing w:after="0" w:line="117"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In the event of our liquidation, dissolution or winding up, holders of our common stock are entitled to share ratably in all of our assets remaining after we pay our liabilities and any liquidation preferences granted to the holders of outstanding shares of preferred stock.</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Holders of our common stock have no preemptive or other subscription or conversion rights.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redemption or sinking fund provisions applicable to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The Certificate of Incorporation authorizes the issuance of 5,000,000 shares of blank check preferred stock with such designation, rights and preferences as may be determined from time to time by our board of directors.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440" w:firstLine="440"/>
        <w:spacing w:after="0" w:line="257" w:lineRule="auto"/>
        <w:rPr>
          <w:sz w:val="20"/>
          <w:szCs w:val="20"/>
          <w:color w:val="auto"/>
        </w:rPr>
      </w:pPr>
      <w:r>
        <w:rPr>
          <w:rFonts w:ascii="Arial" w:cs="Arial" w:eastAsia="Arial" w:hAnsi="Arial"/>
          <w:sz w:val="18"/>
          <w:szCs w:val="18"/>
          <w:color w:val="auto"/>
        </w:rPr>
        <w:t>We are subject to the provisions of Section 203 of the Delaware General Corporation Law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93" w:lineRule="exact"/>
        <w:rPr>
          <w:sz w:val="20"/>
          <w:szCs w:val="20"/>
          <w:color w:val="auto"/>
        </w:rPr>
      </w:pPr>
    </w:p>
    <w:p>
      <w:pPr>
        <w:ind w:left="5460" w:right="1860" w:hanging="4924"/>
        <w:spacing w:after="0" w:line="449" w:lineRule="auto"/>
        <w:tabs>
          <w:tab w:leader="none" w:pos="9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 1</w:t>
      </w:r>
    </w:p>
    <w:p>
      <w:pPr>
        <w:sectPr>
          <w:pgSz w:w="11900" w:h="16838" w:orient="portrait"/>
          <w:cols w:equalWidth="0" w:num="1">
            <w:col w:w="11020"/>
          </w:cols>
          <w:pgMar w:left="440" w:top="121" w:right="439" w:bottom="1440" w:gutter="0" w:footer="0" w:header="0"/>
        </w:sectPr>
      </w:pPr>
    </w:p>
    <w:bookmarkStart w:id="121" w:name="page122"/>
    <w:bookmarkEnd w:id="121"/>
    <w:p>
      <w:pPr>
        <w:ind w:left="960" w:right="320" w:hanging="424"/>
        <w:spacing w:after="0" w:line="308" w:lineRule="auto"/>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960" w:right="160" w:hanging="424"/>
        <w:spacing w:after="0" w:line="308" w:lineRule="auto"/>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DGCL Section 203 defines a business combination to include the following:</w:t>
      </w:r>
    </w:p>
    <w:p>
      <w:pPr>
        <w:spacing w:after="0" w:line="131" w:lineRule="exact"/>
        <w:rPr>
          <w:sz w:val="20"/>
          <w:szCs w:val="20"/>
          <w:color w:val="auto"/>
        </w:rPr>
      </w:pPr>
    </w:p>
    <w:p>
      <w:pPr>
        <w:ind w:left="960" w:hanging="42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960" w:hanging="424"/>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46"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the Certificate of Incorporation and Bylaws</w:t>
      </w:r>
    </w:p>
    <w:p>
      <w:pPr>
        <w:spacing w:after="0" w:line="12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Provisions in the Certificate of Incorporation and Bylaws may have the effect of delaying or preventing a change of control or changes in our management. Among other things, the Certificate of Incorporation and Bylaws:</w:t>
      </w:r>
    </w:p>
    <w:p>
      <w:pPr>
        <w:spacing w:after="0" w:line="76" w:lineRule="exact"/>
        <w:rPr>
          <w:sz w:val="20"/>
          <w:szCs w:val="20"/>
          <w:color w:val="auto"/>
        </w:rPr>
      </w:pPr>
    </w:p>
    <w:p>
      <w:pPr>
        <w:ind w:left="960" w:right="440" w:hanging="424"/>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stockholder approval, preferred stock with such terms as our board of directors may determine;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action by written consent of our stockholders;</w:t>
      </w:r>
    </w:p>
    <w:p>
      <w:pPr>
        <w:spacing w:after="0" w:line="130" w:lineRule="exact"/>
        <w:rPr>
          <w:rFonts w:ascii="Arial" w:cs="Arial" w:eastAsia="Arial" w:hAnsi="Arial"/>
          <w:sz w:val="18"/>
          <w:szCs w:val="18"/>
          <w:color w:val="auto"/>
        </w:rPr>
      </w:pPr>
    </w:p>
    <w:p>
      <w:pPr>
        <w:jc w:val="both"/>
        <w:ind w:left="960" w:right="140" w:hanging="424"/>
        <w:spacing w:after="0" w:line="263"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specify advance notice requirements for stockholder proposals and director nominations.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New York Stock Exchange under the symbol “MX.”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333-172864, 333-180696, 333-186789, 333-202120, 333-209756, 333-216204, 333-223155, 333-229811, 333-236565 and 333-239872) of Magnachip Semiconductor Corporation of our report dated February 22, 2023 relating to the financial statements and the effectiveness of internal control over financial reporting, which appears in this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ectPr>
          <w:pgSz w:w="11900" w:h="16838" w:orient="portrait"/>
          <w:cols w:equalWidth="0" w:num="1">
            <w:col w:w="11020"/>
          </w:cols>
          <w:pgMar w:left="440" w:top="121" w:right="4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Young-Joon Kim, certify that:</w:t>
      </w:r>
    </w:p>
    <w:p>
      <w:pPr>
        <w:spacing w:after="0" w:line="131" w:lineRule="exact"/>
        <w:rPr>
          <w:sz w:val="20"/>
          <w:szCs w:val="20"/>
          <w:color w:val="auto"/>
        </w:rPr>
      </w:pPr>
    </w:p>
    <w:p>
      <w:pPr>
        <w:ind w:left="424" w:hanging="424"/>
        <w:spacing w:after="0"/>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February 22, 2023</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Shin Young Park, certify that:</w:t>
      </w:r>
    </w:p>
    <w:p>
      <w:pPr>
        <w:spacing w:after="0" w:line="131" w:lineRule="exact"/>
        <w:rPr>
          <w:sz w:val="20"/>
          <w:szCs w:val="20"/>
          <w:color w:val="auto"/>
        </w:rPr>
      </w:pPr>
    </w:p>
    <w:p>
      <w:pPr>
        <w:ind w:left="424" w:hanging="424"/>
        <w:spacing w:after="0"/>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February 22, 2023</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Shin Young Park</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024"/>
          </w:cols>
          <w:pgMar w:left="436" w:top="121" w:right="4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“Company”) hereby certifies, to such officer’s knowledge, that:</w:t>
      </w:r>
    </w:p>
    <w:p>
      <w:pPr>
        <w:spacing w:after="0" w:line="62" w:lineRule="exact"/>
        <w:rPr>
          <w:sz w:val="20"/>
          <w:szCs w:val="20"/>
          <w:color w:val="auto"/>
        </w:rPr>
      </w:pPr>
    </w:p>
    <w:p>
      <w:pPr>
        <w:ind w:left="660" w:hanging="224"/>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2022 as filed with the Securities and Exchange</w:t>
      </w:r>
    </w:p>
    <w:p>
      <w:pPr>
        <w:spacing w:after="0" w:line="34" w:lineRule="exact"/>
        <w:rPr>
          <w:rFonts w:ascii="Arial" w:cs="Arial" w:eastAsia="Arial" w:hAnsi="Arial"/>
          <w:sz w:val="17"/>
          <w:szCs w:val="17"/>
          <w:color w:val="auto"/>
        </w:rPr>
      </w:pPr>
    </w:p>
    <w:p>
      <w:pPr>
        <w:ind w:right="300"/>
        <w:spacing w:after="0" w:line="260" w:lineRule="auto"/>
        <w:rPr>
          <w:rFonts w:ascii="Arial" w:cs="Arial" w:eastAsia="Arial" w:hAnsi="Arial"/>
          <w:sz w:val="17"/>
          <w:szCs w:val="17"/>
          <w:color w:val="auto"/>
        </w:rPr>
      </w:pPr>
      <w:r>
        <w:rPr>
          <w:rFonts w:ascii="Arial" w:cs="Arial" w:eastAsia="Arial" w:hAnsi="Arial"/>
          <w:sz w:val="18"/>
          <w:szCs w:val="18"/>
          <w:color w:val="auto"/>
        </w:rPr>
        <w:t>Commission on the date hereof (the “Report”) fully complies with the requirements of Section 13(a) or Section 15(d), as applicable, of the Securities Exchange Act of 1934, as amended; and</w:t>
      </w:r>
    </w:p>
    <w:p>
      <w:pPr>
        <w:spacing w:after="0" w:line="77" w:lineRule="exact"/>
        <w:rPr>
          <w:rFonts w:ascii="Arial" w:cs="Arial" w:eastAsia="Arial" w:hAnsi="Arial"/>
          <w:sz w:val="17"/>
          <w:szCs w:val="17"/>
          <w:color w:val="auto"/>
        </w:rPr>
      </w:pPr>
    </w:p>
    <w:p>
      <w:pPr>
        <w:ind w:right="720" w:firstLine="436"/>
        <w:spacing w:after="0" w:line="277"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“Company”) hereby certifies, to such officer’s knowledge, that:</w:t>
      </w:r>
    </w:p>
    <w:p>
      <w:pPr>
        <w:spacing w:after="0" w:line="62" w:lineRule="exact"/>
        <w:rPr>
          <w:sz w:val="20"/>
          <w:szCs w:val="20"/>
          <w:color w:val="auto"/>
        </w:rPr>
      </w:pPr>
    </w:p>
    <w:p>
      <w:pPr>
        <w:ind w:left="660" w:hanging="224"/>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2022 as filed with the Securities and Exchange</w:t>
      </w:r>
    </w:p>
    <w:p>
      <w:pPr>
        <w:spacing w:after="0" w:line="34" w:lineRule="exact"/>
        <w:rPr>
          <w:rFonts w:ascii="Arial" w:cs="Arial" w:eastAsia="Arial" w:hAnsi="Arial"/>
          <w:sz w:val="17"/>
          <w:szCs w:val="17"/>
          <w:color w:val="auto"/>
        </w:rPr>
      </w:pPr>
    </w:p>
    <w:p>
      <w:pPr>
        <w:ind w:right="300"/>
        <w:spacing w:after="0" w:line="260" w:lineRule="auto"/>
        <w:rPr>
          <w:rFonts w:ascii="Arial" w:cs="Arial" w:eastAsia="Arial" w:hAnsi="Arial"/>
          <w:sz w:val="17"/>
          <w:szCs w:val="17"/>
          <w:color w:val="auto"/>
        </w:rPr>
      </w:pPr>
      <w:r>
        <w:rPr>
          <w:rFonts w:ascii="Arial" w:cs="Arial" w:eastAsia="Arial" w:hAnsi="Arial"/>
          <w:sz w:val="18"/>
          <w:szCs w:val="18"/>
          <w:color w:val="auto"/>
        </w:rPr>
        <w:t>Commission on the date hereof (the “Report”) fully complies with the requirements of Section 13(a) or Section 15(d), as applicable, of the Securities Exchange Act of 1934, as amended; and</w:t>
      </w:r>
    </w:p>
    <w:p>
      <w:pPr>
        <w:spacing w:after="0" w:line="77" w:lineRule="exact"/>
        <w:rPr>
          <w:rFonts w:ascii="Arial" w:cs="Arial" w:eastAsia="Arial" w:hAnsi="Arial"/>
          <w:sz w:val="17"/>
          <w:szCs w:val="17"/>
          <w:color w:val="auto"/>
        </w:rPr>
      </w:pPr>
    </w:p>
    <w:p>
      <w:pPr>
        <w:ind w:right="720" w:firstLine="436"/>
        <w:spacing w:after="0" w:line="277"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Shin Young Park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5"/>
    </w:lvl>
    <w:lvl w:ilvl="1">
      <w:lvlJc w:val="left"/>
      <w:lvlText w:val="•"/>
      <w:numFmt w:val="bullet"/>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5"/>
    </w:lvl>
    <w:lvl w:ilvl="1">
      <w:lvlJc w:val="left"/>
      <w:lvlText w:val="•"/>
      <w:numFmt w:val="bullet"/>
      <w:start w:val="1"/>
    </w:lvl>
  </w:abstractNum>
  <w:abstractNum w:abstractNumId="28">
    <w:nsid w:val="5577F8E1"/>
    <w:multiLevelType w:val="hybridMultilevel"/>
    <w:lvl w:ilvl="0">
      <w:lvlJc w:val="left"/>
      <w:lvlText w:val="(%1)"/>
      <w:numFmt w:val="lowerRoman"/>
      <w:start w:val="3"/>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endash "/>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lowerRoman"/>
      <w:start w:val="1"/>
    </w:lvl>
  </w:abstractNum>
  <w:abstractNum w:abstractNumId="40">
    <w:nsid w:val="153EA43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71" Type="http://schemas.openxmlformats.org/officeDocument/2006/relationships/image" Target="media/image154.png"/><Relationship Id="rId185"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25" Type="http://schemas.openxmlformats.org/officeDocument/2006/relationships/image" Target="media/image160.png"/><Relationship Id="rId226" Type="http://schemas.openxmlformats.org/officeDocument/2006/relationships/image" Target="media/image161.png"/><Relationship Id="rId227" Type="http://schemas.openxmlformats.org/officeDocument/2006/relationships/image" Target="media/image162.png"/><Relationship Id="rId228" Type="http://schemas.openxmlformats.org/officeDocument/2006/relationships/image" Target="media/image163.png"/><Relationship Id="rId229" Type="http://schemas.openxmlformats.org/officeDocument/2006/relationships/image" Target="media/image164.png"/><Relationship Id="rId230" Type="http://schemas.openxmlformats.org/officeDocument/2006/relationships/image" Target="media/image165.png"/><Relationship Id="rId231" Type="http://schemas.openxmlformats.org/officeDocument/2006/relationships/image" Target="media/image166.png"/><Relationship Id="rId232" Type="http://schemas.openxmlformats.org/officeDocument/2006/relationships/image" Target="media/image167.png"/><Relationship Id="rId233" Type="http://schemas.openxmlformats.org/officeDocument/2006/relationships/image" Target="media/image168.png"/><Relationship Id="rId234" Type="http://schemas.openxmlformats.org/officeDocument/2006/relationships/image" Target="media/image169.png"/><Relationship Id="rId235" Type="http://schemas.openxmlformats.org/officeDocument/2006/relationships/image" Target="media/image170.png"/><Relationship Id="rId236" Type="http://schemas.openxmlformats.org/officeDocument/2006/relationships/image" Target="media/image171.png"/><Relationship Id="rId237" Type="http://schemas.openxmlformats.org/officeDocument/2006/relationships/image" Target="media/image172.png"/><Relationship Id="rId238" Type="http://schemas.openxmlformats.org/officeDocument/2006/relationships/image" Target="media/image173.png"/><Relationship Id="rId239" Type="http://schemas.openxmlformats.org/officeDocument/2006/relationships/image" Target="media/image174.png"/><Relationship Id="rId161" Type="http://schemas.openxmlformats.org/officeDocument/2006/relationships/hyperlink" Target="http://www.sec.gov/Archives/edgar/data/1325702/000119312520091932/d908763dex101.htm" TargetMode="External"/><Relationship Id="rId162" Type="http://schemas.openxmlformats.org/officeDocument/2006/relationships/hyperlink" Target="http://www.sec.gov/Archives/edgar/data/1325702/000119312521097514/d159514dex21.htm" TargetMode="External"/><Relationship Id="rId163" Type="http://schemas.openxmlformats.org/officeDocument/2006/relationships/hyperlink" Target="http://www.sec.gov/Archives/edgar/data/1325702/000119312521189259/d153829dex21.htm" TargetMode="External"/><Relationship Id="rId164" Type="http://schemas.openxmlformats.org/officeDocument/2006/relationships/hyperlink" Target="http://www.sec.gov/Archives/edgar/data/1325702/000119312521254078/d214342dex21.htm" TargetMode="External"/><Relationship Id="rId165" Type="http://schemas.openxmlformats.org/officeDocument/2006/relationships/hyperlink" Target="http://www.sec.gov/Archives/edgar/data/1325702/000119312521355865/d152828dex101.htm" TargetMode="External"/><Relationship Id="rId166" Type="http://schemas.openxmlformats.org/officeDocument/2006/relationships/hyperlink" Target="http://www.sec.gov/Archives/edgar/data/1325702/000119312522097445/d347902dex101.htm" TargetMode="External"/><Relationship Id="rId167" Type="http://schemas.openxmlformats.org/officeDocument/2006/relationships/hyperlink" Target="http://www.sec.gov/Archives/edgar/data/0001325702/000119312522280137/d306034dex107.htm" TargetMode="External"/><Relationship Id="rId168" Type="http://schemas.openxmlformats.org/officeDocument/2006/relationships/hyperlink" Target="http://www.sec.gov/Archives/edgar/data/1325702/000119312511062703/dex31.htm" TargetMode="External"/><Relationship Id="rId169" Type="http://schemas.openxmlformats.org/officeDocument/2006/relationships/hyperlink" Target="http://www.sec.gov/Archives/edgar/data/1325702/000119312511062703/dex32.htm" TargetMode="External"/><Relationship Id="rId170" Type="http://schemas.openxmlformats.org/officeDocument/2006/relationships/hyperlink" Target="http://www.sec.gov/Archives/edgar/data/1325702/000119312520329844/d85816dex31.htm" TargetMode="External"/><Relationship Id="rId172" Type="http://schemas.openxmlformats.org/officeDocument/2006/relationships/hyperlink" Target="http://www.sec.gov/Archives/edgar/data/1325702/000119312516582070/d161114dex31.htm" TargetMode="External"/><Relationship Id="rId173" Type="http://schemas.openxmlformats.org/officeDocument/2006/relationships/hyperlink" Target="http://www.sec.gov/Archives/edgar/data/1325702/000095012310047545/f54652a2exv3w6.htm" TargetMode="External"/><Relationship Id="rId174" Type="http://schemas.openxmlformats.org/officeDocument/2006/relationships/hyperlink" Target="http://www.sec.gov/Archives/edgar/data/1325702/000095014215000541/eh1500371_ex0301.htm" TargetMode="External"/><Relationship Id="rId175" Type="http://schemas.openxmlformats.org/officeDocument/2006/relationships/hyperlink" Target="http://www.sec.gov/Archives/edgar/data/1325702/000119312521355865/d152828dex31.htm" TargetMode="External"/><Relationship Id="rId176" Type="http://schemas.openxmlformats.org/officeDocument/2006/relationships/hyperlink" Target="http://www.sec.gov/Archives/edgar/data/1325702/000095012310036061/f54652a1exv10w2.htm" TargetMode="External"/><Relationship Id="rId177" Type="http://schemas.openxmlformats.org/officeDocument/2006/relationships/hyperlink" Target="http://www.sec.gov/Archives/edgar/data/1325702/000119312519048327/d695091dex1024.htm" TargetMode="External"/><Relationship Id="rId178" Type="http://schemas.openxmlformats.org/officeDocument/2006/relationships/hyperlink" Target="http://www.sec.gov/Archives/edgar/data/1325702/000119312520171326/d922566dex101.htm" TargetMode="External"/><Relationship Id="rId179" Type="http://schemas.openxmlformats.org/officeDocument/2006/relationships/hyperlink" Target="http://www.sec.gov/Archives/edgar/data/1325702/000119312511039495/dex1026.htm" TargetMode="External"/><Relationship Id="rId180" Type="http://schemas.openxmlformats.org/officeDocument/2006/relationships/hyperlink" Target="http://www.sec.gov/Archives/edgar/data/1325702/000095012310024348/f54652orexv10w49.htm" TargetMode="External"/><Relationship Id="rId181" Type="http://schemas.openxmlformats.org/officeDocument/2006/relationships/hyperlink" Target="http://www.sec.gov/Archives/edgar/data/1325702/000119312515046730/d655531dex1036.htm" TargetMode="External"/><Relationship Id="rId182" Type="http://schemas.openxmlformats.org/officeDocument/2006/relationships/hyperlink" Target="http://www.sec.gov/Archives/edgar/data/1325702/000119312515370252/d78736dex101.htm" TargetMode="External"/><Relationship Id="rId183" Type="http://schemas.openxmlformats.org/officeDocument/2006/relationships/hyperlink" Target="http://www.sec.gov/Archives/edgar/data/1325702/000119312515370252/d78736dex102.htm" TargetMode="External"/><Relationship Id="rId184" Type="http://schemas.openxmlformats.org/officeDocument/2006/relationships/hyperlink" Target="http://www.sec.gov/Archives/edgar/data/1325702/000119312518138973/d571231dex101.htm" TargetMode="External"/><Relationship Id="rId186" Type="http://schemas.openxmlformats.org/officeDocument/2006/relationships/hyperlink" Target="http://www.sec.gov/Archives/edgar/data/1325702/000119312519048327/d695091dex10294.htm" TargetMode="External"/><Relationship Id="rId187" Type="http://schemas.openxmlformats.org/officeDocument/2006/relationships/hyperlink" Target="http://www.sec.gov/Archives/edgar/data/1325702/000119312515046730/d655531dex1037.htm" TargetMode="External"/><Relationship Id="rId188" Type="http://schemas.openxmlformats.org/officeDocument/2006/relationships/hyperlink" Target="http://www.sec.gov/Archives/edgar/data/1325702/000119312515370252/d78736dex104.htm" TargetMode="External"/><Relationship Id="rId189" Type="http://schemas.openxmlformats.org/officeDocument/2006/relationships/hyperlink" Target="http://www.sec.gov/Archives/edgar/data/1325702/000119312518309120/d645333dex101.htm" TargetMode="External"/><Relationship Id="rId190" Type="http://schemas.openxmlformats.org/officeDocument/2006/relationships/hyperlink" Target="http://www.sec.gov/Archives/edgar/data/1325702/000119312516470674/d103672dex1036.htm" TargetMode="External"/><Relationship Id="rId191" Type="http://schemas.openxmlformats.org/officeDocument/2006/relationships/hyperlink" Target="http://www.sec.gov/Archives/edgar/data/1325702/000119312515370252/d78736dex106.htm" TargetMode="External"/><Relationship Id="rId192" Type="http://schemas.openxmlformats.org/officeDocument/2006/relationships/hyperlink" Target="http://www.sec.gov/Archives/edgar/data/1325702/000119312518309120/d645333dex102.htm" TargetMode="External"/><Relationship Id="rId193" Type="http://schemas.openxmlformats.org/officeDocument/2006/relationships/hyperlink" Target="http://www.sec.gov/Archives/edgar/data/1325702/000119312520212439/d53649dex109.htm" TargetMode="External"/><Relationship Id="rId194" Type="http://schemas.openxmlformats.org/officeDocument/2006/relationships/hyperlink" Target="http://www.sec.gov/Archives/edgar/data/1325702/000119312522050017/d282977dex1030.htm" TargetMode="External"/><Relationship Id="rId195" Type="http://schemas.openxmlformats.org/officeDocument/2006/relationships/hyperlink" Target="http://www.sec.gov/Archives/edgar/data/1325702/000119312511211470/dex1054.htm" TargetMode="External"/><Relationship Id="rId196" Type="http://schemas.openxmlformats.org/officeDocument/2006/relationships/hyperlink" Target="http://www.sec.gov/Archives/edgar/data/1325702/000119312511039495/dex1055.htm" TargetMode="External"/><Relationship Id="rId197" Type="http://schemas.openxmlformats.org/officeDocument/2006/relationships/hyperlink" Target="http://www.sec.gov/Archives/edgar/data/1325702/000119312511039495/dex1056.htm" TargetMode="External"/><Relationship Id="rId198" Type="http://schemas.openxmlformats.org/officeDocument/2006/relationships/hyperlink" Target="http://www.sec.gov/Archives/edgar/data/1325702/000119312511039495/dex1057.htm" TargetMode="External"/><Relationship Id="rId199" Type="http://schemas.openxmlformats.org/officeDocument/2006/relationships/hyperlink" Target="http://www.sec.gov/Archives/edgar/data/1325702/000119312511039495/dex1058.htm" TargetMode="External"/><Relationship Id="rId202" Type="http://schemas.openxmlformats.org/officeDocument/2006/relationships/hyperlink" Target="http://www.sec.gov/Archives/edgar/data/1325702/000119312511039495/dex1059.htm" TargetMode="External"/><Relationship Id="rId203" Type="http://schemas.openxmlformats.org/officeDocument/2006/relationships/hyperlink" Target="http://www.sec.gov/Archives/edgar/data/1325702/000119312511039495/dex1060.htm" TargetMode="External"/><Relationship Id="rId204" Type="http://schemas.openxmlformats.org/officeDocument/2006/relationships/hyperlink" Target="http://www.sec.gov/Archives/edgar/data/1325702/000119312516580819/d184718dex101.htm" TargetMode="External"/><Relationship Id="rId205" Type="http://schemas.openxmlformats.org/officeDocument/2006/relationships/hyperlink" Target="http://www.sec.gov/Archives/edgar/data/1325702/000119312518309120/d645333dex103.htm" TargetMode="External"/><Relationship Id="rId206" Type="http://schemas.openxmlformats.org/officeDocument/2006/relationships/hyperlink" Target="http://www.sec.gov/Archives/edgar/data/1325702/000119312518309120/d645333dex104.htm" TargetMode="External"/><Relationship Id="rId207" Type="http://schemas.openxmlformats.org/officeDocument/2006/relationships/hyperlink" Target="http://www.sec.gov/Archives/edgar/data/1325702/000119312518309120/d645333dex105.htm" TargetMode="External"/><Relationship Id="rId208" Type="http://schemas.openxmlformats.org/officeDocument/2006/relationships/hyperlink" Target="http://www.sec.gov/Archives/edgar/data/1325702/000119312520193326/d945107dex992.htm" TargetMode="External"/><Relationship Id="rId209" Type="http://schemas.openxmlformats.org/officeDocument/2006/relationships/hyperlink" Target="http://www.sec.gov/Archives/edgar/data/1325702/000119312520193326/d945107dex993.htm" TargetMode="External"/><Relationship Id="rId210" Type="http://schemas.openxmlformats.org/officeDocument/2006/relationships/hyperlink" Target="http://www.sec.gov/Archives/edgar/data/1325702/000119312520193326/d945107dex994.htm" TargetMode="External"/><Relationship Id="rId211" Type="http://schemas.openxmlformats.org/officeDocument/2006/relationships/hyperlink" Target="http://www.sec.gov/Archives/edgar/data/1325702/000119312520193326/d945107dex995.htm" TargetMode="External"/><Relationship Id="rId212" Type="http://schemas.openxmlformats.org/officeDocument/2006/relationships/hyperlink" Target="http://www.sec.gov/Archives/edgar/data/1325702/000119312520193326/d945107dex996.htm" TargetMode="External"/><Relationship Id="rId213" Type="http://schemas.openxmlformats.org/officeDocument/2006/relationships/hyperlink" Target="http://www.sec.gov/Archives/edgar/data/1325702/000119312520193326/d945107dex997.htm" TargetMode="External"/><Relationship Id="rId214" Type="http://schemas.openxmlformats.org/officeDocument/2006/relationships/hyperlink" Target="http://www.sec.gov/Archives/edgar/data/1325702/000119312522280137/d306034dex108.htm" TargetMode="External"/><Relationship Id="rId215" Type="http://schemas.openxmlformats.org/officeDocument/2006/relationships/hyperlink" Target="http://www.sec.gov/Archives/edgar/data/1325702/000119312522280137/d306034dex109.htm" TargetMode="External"/><Relationship Id="rId216" Type="http://schemas.openxmlformats.org/officeDocument/2006/relationships/hyperlink" Target="http://www.sec.gov/Archives/edgar/data/1325702/000119312522280137/d306034dex101.htm" TargetMode="External"/><Relationship Id="rId219" Type="http://schemas.openxmlformats.org/officeDocument/2006/relationships/hyperlink" Target="http://www.sec.gov/Archives/edgar/data/1325702/000119312522280137/d306034dex102.htm" TargetMode="External"/><Relationship Id="rId220" Type="http://schemas.openxmlformats.org/officeDocument/2006/relationships/hyperlink" Target="http://www.sec.gov/Archives/edgar/data/1325702/000119312522280137/d306034dex103.htm" TargetMode="External"/><Relationship Id="rId221" Type="http://schemas.openxmlformats.org/officeDocument/2006/relationships/hyperlink" Target="http://www.sec.gov/Archives/edgar/data/1325702/000119312522280137/d306034dex104.htm" TargetMode="External"/><Relationship Id="rId222" Type="http://schemas.openxmlformats.org/officeDocument/2006/relationships/hyperlink" Target="http://www.sec.gov/Archives/edgar/data/1325702/000119312522280137/d306034dex105.htm" TargetMode="External"/><Relationship Id="rId223" Type="http://schemas.openxmlformats.org/officeDocument/2006/relationships/hyperlink" Target="http://www.sec.gov/Archives/edgar/data/1325702/000119312522280137/d306034dex106.htm" TargetMode="External"/><Relationship Id="rId224" Type="http://schemas.openxmlformats.org/officeDocument/2006/relationships/hyperlink" Target="http://www.sec.gov/Archives/edgar/data/1325702/000119312521073817/d846606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2023-02-22T19:11:44Z</dcterms:created>
  <dcterms:modified xsi:type="dcterms:W3CDTF">2023-02-22T19:11:44Z</dcterms:modified>
</cp:coreProperties>
</file>