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August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As previously disclosed, on May 26, 2021, outside legal counsel of each of the Company and Parent received an e-mail from the U.S. Department of Treasury on behalf of the Staff Chairperson of the Committee on Foreign Investment in the United States (“CFIUS”). In the e-mail, the CFIUS Staff Chairperson, acting on the recommendation of CFIUS, requested that the parties file a notice concerning the Merger and thereby undergo formal CFIUS review of the Merger. The Company and Parent filed such notice with CFIUS on June 11, 2021.</w:t>
      </w:r>
    </w:p>
    <w:p>
      <w:pPr>
        <w:spacing w:after="0" w:line="171"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As previously disclosed, on June 15, 2021, outside legal counsel of each of the Company and Parent received a letter attaching an “Order Establishing Interim Mitigation Measures” (the “Interim Order”) from the U.S. Department of Treasury on behalf of CFIUS. The Interim Order imposes the following interim measures, effective as of June 15, 2021, on the Company and Parent: (i) neither of the Company or Parent shall take any action, directly or indirectly, to close, consummate, complete, or effectuate the purpose of the Merger, including: (a) the transfer, lease, license, or sale of any asset or subsidiary of the Company to Parent or any affiliate thereof, (b) the merger of Parent or any affiliate thereof with or into the Company or any affiliate thereof, or (c) the acquisition of any equity or other ownership interest in the Company or any affiliate thereof by Parent or any subsidiary thereof; (ii) Parent shall not take, and shall ensure that none of its subsidiaries take, any security interest in the Company or any affiliate thereof; and</w:t>
      </w:r>
    </w:p>
    <w:p>
      <w:pPr>
        <w:spacing w:after="0" w:line="2" w:lineRule="exact"/>
        <w:rPr>
          <w:sz w:val="20"/>
          <w:szCs w:val="20"/>
          <w:color w:val="auto"/>
        </w:rPr>
      </w:pPr>
    </w:p>
    <w:p>
      <w:pPr>
        <w:ind w:left="4" w:right="80" w:hanging="4"/>
        <w:spacing w:after="0" w:line="253" w:lineRule="auto"/>
        <w:tabs>
          <w:tab w:leader="none" w:pos="31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shall not take any action to: (a) change its state of incorporation from Delaware to any other jurisdiction or (b) delist from, or modify the existing listing of the Company on, the New York Stock Exchange. The Interim Order is to remain in effect until (1) CFIUS concludes action under Section 721 of the Defense Production Act of 1950, as amended (the “DPA”) with respect to the Merger, (2) the President of the United States takes action or declines to take action under Section 721 of the DPA with respect to the Merger or (3) CFIUS or the President revokes or terminates the Interim Order.</w:t>
      </w:r>
    </w:p>
    <w:p>
      <w:pPr>
        <w:spacing w:after="0" w:line="191" w:lineRule="exact"/>
        <w:rPr>
          <w:sz w:val="20"/>
          <w:szCs w:val="20"/>
          <w:color w:val="auto"/>
        </w:rPr>
      </w:pPr>
    </w:p>
    <w:p>
      <w:pPr>
        <w:ind w:left="4" w:right="180" w:firstLine="440"/>
        <w:spacing w:after="0" w:line="271" w:lineRule="auto"/>
        <w:rPr>
          <w:sz w:val="20"/>
          <w:szCs w:val="20"/>
          <w:color w:val="auto"/>
        </w:rPr>
      </w:pPr>
      <w:r>
        <w:rPr>
          <w:rFonts w:ascii="Arial" w:cs="Arial" w:eastAsia="Arial" w:hAnsi="Arial"/>
          <w:sz w:val="17"/>
          <w:szCs w:val="17"/>
          <w:color w:val="auto"/>
        </w:rPr>
        <w:t>On August 27, 2021, outside legal counsel for each of the Company and Parent received a letter from the Department of Treasury on behalf of CFIUS indicating that (i) CFIUS has identified risks to the national security of the United States arising as a result of the Merger, (ii) CFIUS has not identified any mitigation measures, including those proposed jointly by the Company and Parent, that CFIUS believes would adequately mitigate the identified risks, (iii) absent new information arising during the investigation period that alters CFIUS’s assessment of the national security risks or the feasibility of mitigation measures to resolve those risks, CFIUS anticipates that it will refer the matter to the President for decision, and (iv) the Company and Parent could provide additional information to CFIUS for consideration, including proposals to permanently mitigate the identified national security risks. In light of the foregoing, the Company and Parent are assessing next steps. There can be no assurance that the Company and Parent will develop or agree to any proposals that would result in CFIUS clearance.</w:t>
      </w:r>
    </w:p>
    <w:p>
      <w:pPr>
        <w:sectPr>
          <w:pgSz w:w="11900" w:h="16838" w:orient="portrait"/>
          <w:cols w:equalWidth="0" w:num="1">
            <w:col w:w="10964"/>
          </w:cols>
          <w:pgMar w:left="436" w:top="297"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the Interim Order from the U.S. Department of Treasury on behalf of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2021</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14605</wp:posOffset>
            </wp:positionV>
            <wp:extent cx="266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jc w:val="right"/>
        <w:spacing w:after="0"/>
        <w:tabs>
          <w:tab w:leader="none" w:pos="4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2021-08-30T05:19:36Z</dcterms:created>
  <dcterms:modified xsi:type="dcterms:W3CDTF">2021-08-30T05:19:36Z</dcterms:modified>
</cp:coreProperties>
</file>