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83-0406195</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Luxembourg, 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(352) 45-62-62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8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8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October 31, 2017, the registrant had 34,138,289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7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20" w:type="dxa"/>
            <w:vAlign w:val="bottom"/>
            <w:gridSpan w:val="2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5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156"/>
        </w:trPr>
        <w:tc>
          <w:tcPr>
            <w:tcW w:w="10820" w:type="dxa"/>
            <w:vAlign w:val="bottom"/>
            <w:gridSpan w:val="24"/>
            <w:vMerge w:val="continue"/>
          </w:tcPr>
          <w:p>
            <w:pPr>
              <w:spacing w:after="0"/>
              <w:rPr>
                <w:sz w:val="13"/>
                <w:szCs w:val="13"/>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4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Consolidated Financial Statements (Unaudited)</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4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MagnaChip Semiconductor Corporation and Subsidiaries Consolidated Balance Sheets as of September 30, 2017 and</w:t>
              </w:r>
            </w:hyperlink>
          </w:p>
        </w:tc>
        <w:tc>
          <w:tcPr>
            <w:tcW w:w="104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December 31, 2016</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MagnaChip Semiconductor Corporation and Subsidiaries Consolidated Statements of Operations for the Three and Nine</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Months Ended September 30, 2017 and 2016</w:t>
              </w:r>
            </w:hyperlink>
          </w:p>
        </w:tc>
        <w:tc>
          <w:tcPr>
            <w:tcW w:w="820" w:type="dxa"/>
            <w:vAlign w:val="bottom"/>
            <w:gridSpan w:val="4"/>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MagnaChip Semiconductor Corporation and Subsidiaries Consolidated Statements of Comprehensive Income for the Three</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7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Nine Months Ended September 30, 2017 and 2016</w:t>
              </w:r>
            </w:hyperlink>
          </w:p>
        </w:tc>
        <w:tc>
          <w:tcPr>
            <w:tcW w:w="60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80" w:type="dxa"/>
            <w:vAlign w:val="bottom"/>
            <w:gridSpan w:val="22"/>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MagnaChip Semiconductor Corporation and Subsidiaries Consolidated Statements of Changes in Stockholders’ Equity for the</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9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Nine Months Ended September 30, 2017 and 2016</w:t>
              </w:r>
            </w:hyperlink>
          </w:p>
        </w:tc>
        <w:tc>
          <w:tcPr>
            <w:tcW w:w="4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MagnaChip Semiconductor Corporation and Subsidiaries Consolidated Statements of Cash Flows for the Nine Months Ended</w:t>
              </w:r>
            </w:hyperlink>
          </w:p>
        </w:tc>
        <w:tc>
          <w:tcPr>
            <w:tcW w:w="42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30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2017 and 2016</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MagnaChip Semiconductor Corporation and Subsidiaries Notes to Consolidated Financial Statements</w:t>
              </w:r>
            </w:hyperlink>
          </w:p>
        </w:tc>
        <w:tc>
          <w:tcPr>
            <w:tcW w:w="2160" w:type="dxa"/>
            <w:vAlign w:val="bottom"/>
            <w:gridSpan w:val="6"/>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020" w:type="dxa"/>
            <w:vAlign w:val="bottom"/>
            <w:gridSpan w:val="7"/>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Quantitative and Qualitative Disclosures About Market Risk</w:t>
              </w:r>
            </w:hyperlink>
          </w:p>
        </w:tc>
        <w:tc>
          <w:tcPr>
            <w:tcW w:w="5120" w:type="dxa"/>
            <w:vAlign w:val="bottom"/>
            <w:gridSpan w:val="8"/>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9480" w:type="dxa"/>
            <w:vAlign w:val="bottom"/>
            <w:gridSpan w:val="2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720" w:type="dxa"/>
            <w:vAlign w:val="bottom"/>
            <w:gridSpan w:val="1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PART II OTHER INFORMATION</w:t>
              </w:r>
            </w:hyperlink>
          </w:p>
        </w:tc>
        <w:tc>
          <w:tcPr>
            <w:tcW w:w="8280" w:type="dxa"/>
            <w:vAlign w:val="bottom"/>
            <w:gridSpan w:val="18"/>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948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60" w:type="dxa"/>
            <w:vAlign w:val="bottom"/>
            <w:gridSpan w:val="17"/>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34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48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340" w:type="dxa"/>
            <w:vAlign w:val="bottom"/>
            <w:gridSpan w:val="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1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5"/>
          </w:tcPr>
          <w:p>
            <w:pPr>
              <w:ind w:left="43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tcPr>
          <w:p>
            <w:pPr>
              <w:jc w:val="center"/>
              <w:ind w:left="1930"/>
              <w:spacing w:after="0"/>
              <w:rPr>
                <w:sz w:val="20"/>
                <w:szCs w:val="20"/>
                <w:color w:val="auto"/>
              </w:rPr>
            </w:pPr>
            <w:r>
              <w:rPr>
                <w:rFonts w:ascii="Arial" w:cs="Arial" w:eastAsia="Arial" w:hAnsi="Arial"/>
                <w:sz w:val="18"/>
                <w:szCs w:val="18"/>
                <w:b w:val="1"/>
                <w:bCs w:val="1"/>
                <w:color w:val="auto"/>
              </w:rPr>
              <w:t>PART I—FINANCIAL INFORMATION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340" w:type="dxa"/>
            <w:vAlign w:val="bottom"/>
          </w:tcPr>
          <w:p>
            <w:pPr>
              <w:ind w:left="380"/>
              <w:spacing w:after="0"/>
              <w:rPr>
                <w:sz w:val="20"/>
                <w:szCs w:val="20"/>
                <w:color w:val="auto"/>
              </w:rPr>
            </w:pPr>
            <w:r>
              <w:rPr>
                <w:rFonts w:ascii="Arial" w:cs="Arial" w:eastAsia="Arial" w:hAnsi="Arial"/>
                <w:sz w:val="18"/>
                <w:szCs w:val="18"/>
                <w:b w:val="1"/>
                <w:bCs w:val="1"/>
                <w:color w:val="auto"/>
              </w:rPr>
              <w:t>Interim Consolidated Financial Statements (Unaudited)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40" w:type="dxa"/>
            <w:vAlign w:val="bottom"/>
          </w:tcPr>
          <w:p>
            <w:pPr>
              <w:jc w:val="center"/>
              <w:ind w:left="1910"/>
              <w:spacing w:after="0"/>
              <w:rPr>
                <w:sz w:val="20"/>
                <w:szCs w:val="20"/>
                <w:color w:val="auto"/>
              </w:rPr>
            </w:pPr>
            <w:r>
              <w:rPr>
                <w:rFonts w:ascii="Arial" w:cs="Arial" w:eastAsia="Arial" w:hAnsi="Arial"/>
                <w:sz w:val="18"/>
                <w:szCs w:val="18"/>
                <w:b w:val="1"/>
                <w:bCs w:val="1"/>
                <w:color w:val="auto"/>
              </w:rPr>
              <w:t>MAGNACHIP SEMICONDUCTOR CORPORATION AND SUBSIDIARIES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tcPr>
          <w:p>
            <w:pPr>
              <w:jc w:val="center"/>
              <w:ind w:left="1910"/>
              <w:spacing w:after="0"/>
              <w:rPr>
                <w:sz w:val="20"/>
                <w:szCs w:val="20"/>
                <w:color w:val="auto"/>
              </w:rPr>
            </w:pPr>
            <w:r>
              <w:rPr>
                <w:rFonts w:ascii="Arial" w:cs="Arial" w:eastAsia="Arial" w:hAnsi="Arial"/>
                <w:sz w:val="18"/>
                <w:szCs w:val="18"/>
                <w:b w:val="1"/>
                <w:bCs w:val="1"/>
                <w:color w:val="auto"/>
                <w:w w:val="97"/>
              </w:rPr>
              <w:t>CONSOLIDATED BALANCE SHEETS (Unaudited)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4"/>
          </w:tcPr>
          <w:p>
            <w:pPr>
              <w:jc w:val="center"/>
              <w:ind w:right="91"/>
              <w:spacing w:after="0" w:line="119" w:lineRule="exact"/>
              <w:rPr>
                <w:sz w:val="20"/>
                <w:szCs w:val="20"/>
                <w:color w:val="auto"/>
              </w:rPr>
            </w:pPr>
            <w:r>
              <w:rPr>
                <w:rFonts w:ascii="Arial" w:cs="Arial" w:eastAsia="Arial" w:hAnsi="Arial"/>
                <w:sz w:val="13"/>
                <w:szCs w:val="13"/>
                <w:b w:val="1"/>
                <w:bCs w:val="1"/>
                <w:color w:val="auto"/>
                <w:w w:val="98"/>
              </w:rPr>
              <w:t>(In thousands of US dollars,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4"/>
              </w:rPr>
              <w:t>Assets</w:t>
            </w:r>
          </w:p>
        </w:tc>
        <w:tc>
          <w:tcPr>
            <w:tcW w:w="8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128,425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Restricted cash (Note 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86,046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57,162</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12,654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3,641</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300,392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242,693</w:t>
            </w:r>
          </w:p>
        </w:tc>
        <w:tc>
          <w:tcPr>
            <w:tcW w:w="0" w:type="dxa"/>
            <w:vAlign w:val="bottom"/>
          </w:tcPr>
          <w:p>
            <w:pPr>
              <w:spacing w:after="0"/>
              <w:rPr>
                <w:sz w:val="1"/>
                <w:szCs w:val="1"/>
                <w:color w:val="auto"/>
              </w:rPr>
            </w:pPr>
          </w:p>
        </w:tc>
      </w:tr>
      <w:tr>
        <w:trPr>
          <w:trHeight w:val="223"/>
        </w:trPr>
        <w:tc>
          <w:tcPr>
            <w:tcW w:w="88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186,390</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Long-term prepaid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13,074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4,805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508,683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441,952</w:t>
            </w:r>
          </w:p>
        </w:tc>
        <w:tc>
          <w:tcPr>
            <w:tcW w:w="0" w:type="dxa"/>
            <w:vAlign w:val="bottom"/>
          </w:tcPr>
          <w:p>
            <w:pPr>
              <w:spacing w:after="0"/>
              <w:rPr>
                <w:sz w:val="1"/>
                <w:szCs w:val="1"/>
                <w:color w:val="auto"/>
              </w:rPr>
            </w:pPr>
          </w:p>
        </w:tc>
      </w:tr>
      <w:tr>
        <w:trPr>
          <w:trHeight w:val="20"/>
        </w:trPr>
        <w:tc>
          <w:tcPr>
            <w:tcW w:w="8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54,304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45,324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9,465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Deposits received (Note 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2,321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123,997</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302,894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Accrued severance benefits,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132,288</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10,632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569,811</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514,066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stock, $0.01 par value, 150,000,000 shares authorized, 42,512,498 shares issued and 34,138,289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w w:val="93"/>
              </w:rPr>
              <w:t>outstanding at September 30, 2017 and 41,627,103 shares issued and 35,048,338 outstanding at December 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135,185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(84,542)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340"/>
              <w:spacing w:after="0"/>
              <w:rPr>
                <w:sz w:val="20"/>
                <w:szCs w:val="20"/>
                <w:color w:val="auto"/>
              </w:rPr>
            </w:pPr>
            <w:r>
              <w:rPr>
                <w:rFonts w:ascii="Arial" w:cs="Arial" w:eastAsia="Arial" w:hAnsi="Arial"/>
                <w:sz w:val="18"/>
                <w:szCs w:val="18"/>
                <w:color w:val="auto"/>
              </w:rPr>
              <w:t>Treasury stock, 8,374,209 shares at September 30, 2017 and 6,578,765 shares at December 31, 2016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(102,319)</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(9,877)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340" w:type="dxa"/>
            <w:vAlign w:val="bottom"/>
          </w:tcPr>
          <w:p>
            <w:pPr>
              <w:ind w:left="180"/>
              <w:spacing w:after="0"/>
              <w:rPr>
                <w:sz w:val="20"/>
                <w:szCs w:val="20"/>
                <w:color w:val="auto"/>
              </w:rPr>
            </w:pPr>
            <w:r>
              <w:rPr>
                <w:rFonts w:ascii="Arial" w:cs="Arial" w:eastAsia="Arial" w:hAnsi="Arial"/>
                <w:sz w:val="18"/>
                <w:szCs w:val="18"/>
                <w:color w:val="auto"/>
              </w:rPr>
              <w:t>Total stockholders’ deficit</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(61,128)</w:t>
            </w:r>
          </w:p>
        </w:tc>
        <w:tc>
          <w:tcPr>
            <w:tcW w:w="5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508,683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8"/>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(In thousands of US dollars, except share data)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176,697</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192,296</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505,092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126,387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153,157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366,550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397,370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110,137</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17,554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18,439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52,440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 (gain),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Early termination charges</w:t>
            </w:r>
          </w:p>
        </w:tc>
        <w:tc>
          <w:tcPr>
            <w:tcW w:w="8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38,521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106,943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112,629</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(3,662)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33,174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26,219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0.16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0.86</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34,103,029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34,849,805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33,907,581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34,755,276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45,542,418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35,302,706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44,438,871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35,077,315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September 30,</w:t>
            </w:r>
          </w:p>
        </w:tc>
        <w:tc>
          <w:tcPr>
            <w:tcW w:w="56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w w:val="96"/>
              </w:rPr>
              <w:t>(In thousands of US dollars)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29,866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41,283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(27,340)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Derivative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valuation of derivatives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700"/>
              <w:spacing w:after="0" w:line="201" w:lineRule="exact"/>
              <w:rPr>
                <w:sz w:val="20"/>
                <w:szCs w:val="20"/>
                <w:color w:val="auto"/>
              </w:rPr>
            </w:pPr>
            <w:r>
              <w:rPr>
                <w:rFonts w:ascii="Arial" w:cs="Arial" w:eastAsia="Arial" w:hAnsi="Arial"/>
                <w:sz w:val="18"/>
                <w:szCs w:val="18"/>
                <w:color w:val="auto"/>
              </w:rPr>
              <w:t>Reclassification adjustment for gain on derivatives included in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880"/>
              <w:spacing w:after="0"/>
              <w:rPr>
                <w:sz w:val="20"/>
                <w:szCs w:val="20"/>
                <w:color w:val="auto"/>
              </w:rPr>
            </w:pPr>
            <w:r>
              <w:rPr>
                <w:rFonts w:ascii="Arial" w:cs="Arial" w:eastAsia="Arial" w:hAnsi="Arial"/>
                <w:sz w:val="18"/>
                <w:szCs w:val="18"/>
                <w:color w:val="auto"/>
              </w:rPr>
              <w:t>income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(27,423)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(27,235)</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34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91"/>
              </w:rPr>
              <w:t>Treasury</w:t>
            </w:r>
          </w:p>
        </w:tc>
        <w:tc>
          <w:tcPr>
            <w:tcW w:w="12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4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1"/>
        </w:trPr>
        <w:tc>
          <w:tcPr>
            <w:tcW w:w="4480" w:type="dxa"/>
            <w:vAlign w:val="bottom"/>
            <w:gridSpan w:val="3"/>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Income (Loss)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Nine Months Ended September 30, 2017:</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1, 2017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35,048,338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416</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$130,189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(125,825)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(90,918)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14,024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(72,114)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487,873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5</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3,386</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Acquisition of treasury stock</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(1,795,444)</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(11,401)</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(23,901)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34,138,289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425</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(102,319)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(9,877)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(61,128)</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Nine Months Ended September 30, 2016: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34,568,942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411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$124,618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162,812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loss, net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(27,235)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34,987,254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415</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129,083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18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6"/>
          </w:tcPr>
          <w:p>
            <w:pPr>
              <w:jc w:val="right"/>
              <w:ind w:right="190"/>
              <w:spacing w:after="0" w:line="142" w:lineRule="exact"/>
              <w:rPr>
                <w:sz w:val="20"/>
                <w:szCs w:val="20"/>
                <w:color w:val="auto"/>
              </w:rPr>
            </w:pPr>
            <w:r>
              <w:rPr>
                <w:rFonts w:ascii="Arial" w:cs="Arial" w:eastAsia="Arial" w:hAnsi="Arial"/>
                <w:sz w:val="14"/>
                <w:szCs w:val="14"/>
                <w:b w:val="1"/>
                <w:bCs w:val="1"/>
                <w:color w:val="auto"/>
                <w:w w:val="96"/>
              </w:rPr>
              <w:t>(In thousands of US dollars)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41,283</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20,689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foreign currency, net</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(30,615)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Restructuring gain and other</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(17,010)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(20,241)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(8,378)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(16,459)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(2,243)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(19,578)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(22,505)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disposal of plant, property and equipment</w:t>
            </w:r>
          </w:p>
        </w:tc>
        <w:tc>
          <w:tcPr>
            <w:tcW w:w="2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18,753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plant, property and equipment</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(19,269)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Collection of guarantee deposits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8,556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hedge collateral</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(14,839)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Payment of guarantee deposits</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issuance of senior notes</w:t>
            </w:r>
          </w:p>
        </w:tc>
        <w:tc>
          <w:tcPr>
            <w:tcW w:w="2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86,250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3,391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72,338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2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83,355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90,882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75,428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17,590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Insurance proceeds in restricted cash reclassified from other receivables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plant and equipment additions in other accounts payable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2,092</w:t>
            </w:r>
          </w:p>
        </w:tc>
        <w:tc>
          <w:tcPr>
            <w:tcW w:w="28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270, </w:t>
      </w:r>
      <w:r>
        <w:rPr>
          <w:rFonts w:ascii="Arial" w:cs="Arial" w:eastAsia="Arial" w:hAnsi="Arial"/>
          <w:sz w:val="17"/>
          <w:szCs w:val="17"/>
          <w:i w:val="1"/>
          <w:iCs w:val="1"/>
          <w:color w:val="auto"/>
        </w:rPr>
        <w:t>“Interim Reporting”</w:t>
      </w:r>
      <w:r>
        <w:rPr>
          <w:rFonts w:ascii="Arial" w:cs="Arial" w:eastAsia="Arial" w:hAnsi="Arial"/>
          <w:sz w:val="17"/>
          <w:szCs w:val="17"/>
          <w:color w:val="auto"/>
        </w:rPr>
        <w:t xml:space="preserve"> and, accordingly, do not include all of the information and note disclosures required by US GAAP for complete financial statements. The results of operations for the three and nine months ended September 30, 2017 are not necessarily indicative of the results to be expected for a full year or for any other periods.</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December 31, 2016 balance sheet data was derived from the Company’s audited financial statements, but does not include all disclosures required by US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Certain charges related to the closure of the Company’s 6-inch fab and headcount reduction during 2016, previously included in selling, general and administrative expenses in the consolidated statements of operations, have been reclassified to restructuring and other charges (gain), net and early termination charges, respectively, to conform to the Company’s current year presentation. These reclassifications had no impact on the Company’s net income (loss), the consolidated balance sheets, the consolidated statements of comprehensive income (loss) and the consolidated statements of cash flows as previously reported.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August 2017, the Financial Accounting Standards Board (“FASB”) issued Accounting Standards Update No. 2017-12, “Derivatives and Hedging (Topic 815): Targeted Improvements to Accounting for Hedging Activities” (“ASU 2017-12”). ASU 2017-12 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ASU 2017-12 is effective for interim and annual periods for the Company on January 1, 2019, with early adoption permitted. The Company is currently evaluating the impact of adoption of ASU 2017-12 on its consolidated financial statements.</w:t>
      </w:r>
    </w:p>
    <w:p>
      <w:pPr>
        <w:spacing w:after="0" w:line="18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ASU 2017-11 are effective for fiscal years, and interim periods within those fiscal years, beginning after December 15, 2018. The Company is currently evaluating the impact of adoption of ASU 2017-11 on its consolidated financial statements.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In May 2017, the FASB issued Accounting Standards Update No. 2017-09, “Compensation-Stock Compensation (Topic 718): Scope of Modification Accounting” (“ASU 2017-09”). ASU 2017-09 provides clarity and reduces both (i) diversity in practice and (ii) cost and complexity when applying the guidance in Topic 718 to a change to the terms or conditions of a share-based payment award. The amendments in ASU 2017-09 provide guidance about which changes to the terms or conditions of a share-based payment award require an entity to apply modification accounting in Topic 718. ASU 2017-09 is effective for fiscal years beginning after December 15, 2017, and interim periods within those years and early adoption is permitted. The Company does not expect the adoption of ASU 2017-09 to have a material effect on the Company’s consolidated financial statements.</w:t>
      </w:r>
    </w:p>
    <w:p>
      <w:pPr>
        <w:spacing w:after="0" w:line="16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August 2016, the FASB issued Accounting Standards Update No. 2016-15, “Statement of Cash Flows (Topic 230), Classification of Certain Cash Receipts and Cash Payments” (“ASU 2016-15”). ASU 2016-15 reduces the existing diversity in practice in financial reporting across all industries by clarifying certain existing principles in ASC 230, Statement of Cash Flows (“ASC 230”), including providing additional guidance on how and what an entity should consider in determining the classification of certain cash flows. In addition, in November 2016, the FASB issued ASU 2016-18, Statement of Cash Flows (Topic 230), Restricted Cash (“ASU 2016-18”). ASU 2016-18 clarifies certain existing principles in ASC 230, including providing additional guidance related to transfers between cash and restricted cash and how entities present, in their statement of cash flows, the cash receipts and cash payments that directly affect the restricted cash accounts. These ASUs are effective for fiscal years beginning after December 15, 2017, and interim periods within those fiscal years. Early adoption is permitted. The Company does not expect the adoption of ASU 2016-15 to have a material effect on the Company’s consolidated financial statements. The adoption of ASU 2016-18 will impact the Company’s current disclosures as it will require including restricted cash within cash and cash equivalents on the statement of cash flows. These ASUs will be adopted in the first quarter of 2018.</w:t>
      </w:r>
    </w:p>
    <w:p>
      <w:pPr>
        <w:spacing w:after="0" w:line="169" w:lineRule="exact"/>
        <w:rPr>
          <w:sz w:val="20"/>
          <w:szCs w:val="20"/>
          <w:color w:val="auto"/>
        </w:rPr>
      </w:pPr>
    </w:p>
    <w:p>
      <w:pPr>
        <w:ind w:right="280" w:firstLine="456"/>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should recognize a liability to make lease payments and a right-of-use asset representing its right to use the underlying asset for the lease term on the balance sheet. ASU 2016-02 is effective for fiscal years beginning after December 15, 2018, including interim periods within those reporting periods using a modified retrospective approach and early adoption is permitted. The Company is performing a preliminary review of its contracts that are expected to be applied under the new guidance.</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May 2014, the FASB issued Accounting Standards Update No. 2014-09, “Revenue from Contracts with Customers (Topic 606)”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2017, including interim periods within that reporting period. Subsequently, the FASB approved a deferral included in ASU 2015-14 that permits public entities to apply the amendments in ASU 2014-09 for annual reporting periods beginning after December 15, 2017, including interim reporting periods therein, and that would also permit public entities to elect to adopt the amendments as of the original effective date as applicable to reporting periods beginning after December 15, 2016. The new guidance allows for the amendments to be applied either retrospectively to each prior reporting period presented or retrospectively as a cumulative-effect adjustment as of the date of adoption. In March 2016, the FASB issued ASU 2016-08, which clarifies the implementation guidance on principal versus agent considerations. In April 2016, the FASB issued ASU 2016-10, which clarifies identifying performance obligations and the licensing implementation guidance. In May 2016, the FASB issued ASU 2016-12, which improves certain aspects of ASC Topic 606 “Revenue from Contracts with Customers.” In December 2016, the FASB issued ASU 2016-20, which improves certain aspects of ASC Topic 606 “Revenue from Contracts with Customers.” The effective date and transition requirements for ASU 2016-08, ASU 2016-10, ASU 2016-12 and ASU 2016-20 are the same as the effective date and transition requirements of ASU 2014-09 (collectively, the “new revenue standard”).</w:t>
      </w:r>
    </w:p>
    <w:p>
      <w:pPr>
        <w:spacing w:after="0" w:line="1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started analyzing the potential impact of applying the new guidance by reviewing its current accounting policies, customer arrangements and practices. The Company has assigned internal resources in addition to the engagement of third party service providers to assist in the evaluation. The Company’s in-progress analysis includes an evaluation of the terms of foundry services contracts and other arrangements that could potentially change the point in time revenue recognition to over time in proportion of wafer-manufacturing, which could have a material impact to the Company’s consolidated financial statements. The Company has not yet completed its assessment. As the Company continues its assessment, it is also identifying and preparing to implement appropriate changes to accounting policies, business processes and internal controls to support the new revenue standard and related disclosure requirements. The Company will adopt the new revenue standard on a modified retrospective basis on January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July 2015, the FASB issued Accounting Standards Update No. 2015-11, “Simplifying the Measurement of Inventory” (“ASU 2015-11”). Under ASU 2015-11, inventory will be measured at the lower of cost and net realizable value, and options that currently exist for market value will be eliminated. Net realizable value is defined as the estimated selling prices in the ordinary course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business, less reasonably predictable costs of completion, disposal, and transportation. No other changes were made to the current guidance on inventory measurement. The Company adopted ASU 2015-11 in the first quarter of 2017, and the adoption of ASU 2015-11 did not impact the Company’s consolidated financial statements.</w:t>
      </w:r>
    </w:p>
    <w:p>
      <w:pPr>
        <w:spacing w:after="0" w:line="18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November 2015, the FASB issued Accounting Standards Update No. 2015-17, “Income Taxes (Topic 740): Balance Sheet Classification of Deferred Taxes” (“ASU 2015-17”). The amendments in ASU 2015-17 require an entity to classify all deferred tax assets and liabilities as noncurrent. The Company adopted ASU 2015-17 in the first quarter of 2017, and the impact on the Company’s consolidated financial statements is immaterial.</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March 2016, the FASB issued Accounting Standards Update No. 2016-09, “Improvements to Employee Share-Based Payment Accounting” (“ASU 2016-09”). ASU 2016-09 simplifies several aspects of the accounting for share-based payment transactions, including the income tax consequences, classification of awards as either equity or liabilities and classification on the statement of cash flows. The primary impact of adoption is the recognition of excess tax benefits within income tax provision rather than within stockholders’ equity. The Company adopted ASU 2016-09 in the first quarter of 2017, and the adoption of ASU 2016-09 did not have a material impact to the Company’s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Sales of Accounts Receivable and Receivable Discount Program</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$16,180 thousand and $17,984 thousand for the nine months ended September 30, 2017 and 2016, respectively, and these sales resulted in pre-tax losses of $47 thousand and $56 thousand for the nine months ended September 30, 2017 and 2016, respectively, which are included in selling, general and administrative expenses in the consolidated statements of operations. Net proceeds of this accounts receivable sale program are recognized in the consolidated statements of cash flows as part of operating cash flows.</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September 30, 2017 and December 31, 2016 consist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39,898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46,653</w:t>
            </w: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Materials in-transit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(7,177)</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57,048</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inventory reserve for the three and nine months ended September 30, 2017 and 2016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c>
          <w:tcPr>
            <w:tcW w:w="2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Nine Months</w:t>
            </w:r>
          </w:p>
        </w:tc>
      </w:tr>
      <w:tr>
        <w:trPr>
          <w:trHeight w:val="171"/>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Ended</w:t>
            </w:r>
          </w:p>
        </w:tc>
      </w:tr>
      <w:tr>
        <w:trPr>
          <w:trHeight w:val="142"/>
        </w:trPr>
        <w:tc>
          <w:tcPr>
            <w:tcW w:w="43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100" w:type="dxa"/>
            <w:vAlign w:val="bottom"/>
            <w:tcBorders>
              <w:top w:val="single" w:sz="8" w:color="auto"/>
              <w:bottom w:val="single" w:sz="8" w:color="auto"/>
            </w:tcBorders>
            <w:gridSpan w:val="5"/>
          </w:tcPr>
          <w:p>
            <w:pPr>
              <w:jc w:val="right"/>
              <w:ind w:right="472"/>
              <w:spacing w:after="0" w:line="142" w:lineRule="exact"/>
              <w:rPr>
                <w:sz w:val="20"/>
                <w:szCs w:val="20"/>
                <w:color w:val="auto"/>
              </w:rPr>
            </w:pPr>
            <w:r>
              <w:rPr>
                <w:rFonts w:ascii="Arial" w:cs="Arial" w:eastAsia="Arial" w:hAnsi="Arial"/>
                <w:sz w:val="14"/>
                <w:szCs w:val="14"/>
                <w:b w:val="1"/>
                <w:bCs w:val="1"/>
                <w:color w:val="auto"/>
              </w:rPr>
              <w:t>September 30, 2017</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140" w:type="dxa"/>
            <w:vAlign w:val="bottom"/>
            <w:tcBorders>
              <w:top w:val="single" w:sz="8" w:color="auto"/>
              <w:bottom w:val="single" w:sz="8" w:color="auto"/>
            </w:tcBorders>
            <w:gridSpan w:val="4"/>
          </w:tcPr>
          <w:p>
            <w:pPr>
              <w:jc w:val="right"/>
              <w:ind w:right="472"/>
              <w:spacing w:after="0" w:line="142" w:lineRule="exact"/>
              <w:rPr>
                <w:sz w:val="20"/>
                <w:szCs w:val="20"/>
                <w:color w:val="auto"/>
              </w:rPr>
            </w:pPr>
            <w:r>
              <w:rPr>
                <w:rFonts w:ascii="Arial" w:cs="Arial" w:eastAsia="Arial" w:hAnsi="Arial"/>
                <w:sz w:val="14"/>
                <w:szCs w:val="14"/>
                <w:b w:val="1"/>
                <w:bCs w:val="1"/>
                <w:color w:val="auto"/>
              </w:rPr>
              <w:t>September 30, 2016</w:t>
            </w:r>
          </w:p>
        </w:tc>
        <w:tc>
          <w:tcPr>
            <w:tcW w:w="10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(14,997)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(16,033)</w:t>
            </w:r>
          </w:p>
        </w:tc>
        <w:tc>
          <w:tcPr>
            <w:tcW w:w="100" w:type="dxa"/>
            <w:vAlign w:val="bottom"/>
            <w:shd w:val="clear" w:color="auto" w:fill="CCEEFF"/>
          </w:tcPr>
          <w:p>
            <w:pPr>
              <w:spacing w:after="0"/>
              <w:rPr>
                <w:sz w:val="18"/>
                <w:szCs w:val="18"/>
                <w:color w:val="auto"/>
              </w:rPr>
            </w:pPr>
          </w:p>
        </w:tc>
      </w:tr>
      <w:tr>
        <w:trPr>
          <w:trHeight w:val="324"/>
        </w:trPr>
        <w:tc>
          <w:tcPr>
            <w:tcW w:w="4300" w:type="dxa"/>
            <w:vAlign w:val="bottom"/>
          </w:tcPr>
          <w:p>
            <w:pPr>
              <w:spacing w:after="0"/>
              <w:rPr>
                <w:sz w:val="20"/>
                <w:szCs w:val="20"/>
                <w:color w:val="auto"/>
              </w:rPr>
            </w:pPr>
            <w:r>
              <w:rPr>
                <w:rFonts w:ascii="Arial" w:cs="Arial" w:eastAsia="Arial" w:hAnsi="Arial"/>
                <w:sz w:val="18"/>
                <w:szCs w:val="18"/>
                <w:color w:val="auto"/>
              </w:rPr>
              <w:t>Change in reserve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 reserve charged to costs of sales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(3,459)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23"/>
        </w:trPr>
        <w:tc>
          <w:tcPr>
            <w:tcW w:w="4300" w:type="dxa"/>
            <w:vAlign w:val="bottom"/>
          </w:tcPr>
          <w:p>
            <w:pPr>
              <w:ind w:left="360"/>
              <w:spacing w:after="0"/>
              <w:rPr>
                <w:sz w:val="20"/>
                <w:szCs w:val="20"/>
                <w:color w:val="auto"/>
              </w:rPr>
            </w:pPr>
            <w:r>
              <w:rPr>
                <w:rFonts w:ascii="Arial" w:cs="Arial" w:eastAsia="Arial" w:hAnsi="Arial"/>
                <w:sz w:val="18"/>
                <w:szCs w:val="18"/>
                <w:color w:val="auto"/>
              </w:rPr>
              <w:t>Sale of previously reserved inventory</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1,566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r>
      <w:tr>
        <w:trPr>
          <w:trHeight w:val="324"/>
        </w:trPr>
        <w:tc>
          <w:tcPr>
            <w:tcW w:w="4300" w:type="dxa"/>
            <w:vAlign w:val="bottom"/>
          </w:tcPr>
          <w:p>
            <w:pPr>
              <w:spacing w:after="0"/>
              <w:rPr>
                <w:sz w:val="20"/>
                <w:szCs w:val="20"/>
                <w:color w:val="auto"/>
              </w:rPr>
            </w:pPr>
            <w:r>
              <w:rPr>
                <w:rFonts w:ascii="Arial" w:cs="Arial" w:eastAsia="Arial" w:hAnsi="Arial"/>
                <w:sz w:val="18"/>
                <w:szCs w:val="18"/>
                <w:color w:val="auto"/>
              </w:rPr>
              <w:t>Write off</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5,710</w:t>
            </w:r>
          </w:p>
        </w:tc>
        <w:tc>
          <w:tcPr>
            <w:tcW w:w="1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7,850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Ending balance</w:t>
            </w:r>
          </w:p>
        </w:tc>
        <w:tc>
          <w:tcPr>
            <w:tcW w:w="8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300" w:type="dxa"/>
            <w:vAlign w:val="bottom"/>
          </w:tcPr>
          <w:p>
            <w:pPr>
              <w:spacing w:after="0"/>
              <w:rPr>
                <w:sz w:val="24"/>
                <w:szCs w:val="24"/>
                <w:color w:val="auto"/>
              </w:rPr>
            </w:pPr>
          </w:p>
        </w:tc>
        <w:tc>
          <w:tcPr>
            <w:tcW w:w="1080" w:type="dxa"/>
            <w:vAlign w:val="bottom"/>
            <w:gridSpan w:val="2"/>
          </w:tcPr>
          <w:p>
            <w:pPr>
              <w:ind w:left="860"/>
              <w:spacing w:after="0"/>
              <w:rPr>
                <w:sz w:val="20"/>
                <w:szCs w:val="20"/>
                <w:color w:val="auto"/>
              </w:rPr>
            </w:pPr>
            <w:r>
              <w:rPr>
                <w:rFonts w:ascii="Arial" w:cs="Arial" w:eastAsia="Arial" w:hAnsi="Arial"/>
                <w:sz w:val="18"/>
                <w:szCs w:val="18"/>
                <w:color w:val="auto"/>
                <w:w w:val="99"/>
              </w:rPr>
              <w:t>10</w:t>
            </w: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and work-in-process. Write off of this reserve is recognized only when the related inventory has been disposed or scrapped.</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Interim inventory reserves attributable to lower of cost or market caused by changes in market conditions may be reduced in subsequent interim periods within the same fiscal year to reflect recovery in market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as of September 30, 2017 and December 31, 2016 are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080" w:type="dxa"/>
            <w:vAlign w:val="bottom"/>
            <w:gridSpan w:val="4"/>
          </w:tcPr>
          <w:p>
            <w:pPr>
              <w:ind w:left="186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279,614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255,618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380,596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350,049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(209,240)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(184,521)</w:t>
            </w: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Land</w:t>
            </w: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186,390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179,793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Aggregate depreciation expenses totaled $20,224 thousand and $18,448 thousand for the nine months ended September 30, 2017 and 2016,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September 30, 2017 and December 31, 2016 are comprised of the following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4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4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$18,868</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(18,868)</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27,098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(27,098)</w:t>
            </w: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10,401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3,748</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56,367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(52,619</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3,748</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6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4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4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r>
      <w:tr>
        <w:trPr>
          <w:trHeight w:val="17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4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$17,903</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(17,903)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25,712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(25,712)</w:t>
            </w:r>
          </w:p>
        </w:tc>
        <w:tc>
          <w:tcPr>
            <w:tcW w:w="100" w:type="dxa"/>
            <w:vAlign w:val="bottom"/>
          </w:tcPr>
          <w:p>
            <w:pPr>
              <w:spacing w:after="0"/>
              <w:rPr>
                <w:sz w:val="18"/>
                <w:szCs w:val="18"/>
                <w:color w:val="auto"/>
              </w:rPr>
            </w:pP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9,026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(5,941)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3,085</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52,641</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(49,556</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3,085</w:t>
            </w:r>
          </w:p>
        </w:tc>
        <w:tc>
          <w:tcPr>
            <w:tcW w:w="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Aggregate amortization expenses for intangible assets totaled $465 thousand and $343 thousand for the nine months ended September 30, 2017 and 2016,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as of September 30, 2017 and December 31, 2016 are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Payroll, benefits and related taxes, excluding severance benefits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17,402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15,573</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Outside service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4,423</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6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45,324</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60,365</w:t>
            </w:r>
          </w:p>
        </w:tc>
        <w:tc>
          <w:tcPr>
            <w:tcW w:w="6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Financial Instruments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derivative contracts as of September 30, 2017 are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 of derivative</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notional amount</w:t>
            </w:r>
          </w:p>
        </w:tc>
        <w:tc>
          <w:tcPr>
            <w:tcW w:w="260" w:type="dxa"/>
            <w:vAlign w:val="bottom"/>
          </w:tcPr>
          <w:p>
            <w:pPr>
              <w:spacing w:after="0"/>
              <w:rPr>
                <w:sz w:val="16"/>
                <w:szCs w:val="16"/>
                <w:color w:val="auto"/>
              </w:rPr>
            </w:pPr>
          </w:p>
        </w:tc>
        <w:tc>
          <w:tcPr>
            <w:tcW w:w="2740" w:type="dxa"/>
            <w:vAlign w:val="bottom"/>
          </w:tcPr>
          <w:p>
            <w:pPr>
              <w:ind w:left="760"/>
              <w:spacing w:after="0"/>
              <w:rPr>
                <w:sz w:val="20"/>
                <w:szCs w:val="20"/>
                <w:color w:val="auto"/>
              </w:rPr>
            </w:pPr>
            <w:r>
              <w:rPr>
                <w:rFonts w:ascii="Arial" w:cs="Arial" w:eastAsia="Arial" w:hAnsi="Arial"/>
                <w:sz w:val="14"/>
                <w:szCs w:val="14"/>
                <w:b w:val="1"/>
                <w:bCs w:val="1"/>
                <w:color w:val="auto"/>
              </w:rPr>
              <w:t>Month of settlement</w:t>
            </w: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22, 2017</w:t>
            </w:r>
          </w:p>
        </w:tc>
        <w:tc>
          <w:tcPr>
            <w:tcW w:w="20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Zero cost collar</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2017 to February 2018</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June 22, 2017</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Forward</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15,000</w:t>
            </w:r>
          </w:p>
        </w:tc>
        <w:tc>
          <w:tcPr>
            <w:tcW w:w="3000" w:type="dxa"/>
            <w:vAlign w:val="bottom"/>
            <w:gridSpan w:val="2"/>
          </w:tcPr>
          <w:p>
            <w:pPr>
              <w:ind w:left="260"/>
              <w:spacing w:after="0"/>
              <w:rPr>
                <w:sz w:val="20"/>
                <w:szCs w:val="20"/>
                <w:color w:val="auto"/>
              </w:rPr>
            </w:pPr>
            <w:r>
              <w:rPr>
                <w:rFonts w:ascii="Arial" w:cs="Arial" w:eastAsia="Arial" w:hAnsi="Arial"/>
                <w:sz w:val="18"/>
                <w:szCs w:val="18"/>
                <w:color w:val="auto"/>
              </w:rPr>
              <w:t>October to December 2017</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2017</w:t>
            </w: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Zero cost collar</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54,000</w:t>
            </w:r>
          </w:p>
        </w:tc>
        <w:tc>
          <w:tcPr>
            <w:tcW w:w="3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January 2018 to June 2018</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28, 2017</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Forward</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36,000</w:t>
            </w:r>
          </w:p>
        </w:tc>
        <w:tc>
          <w:tcPr>
            <w:tcW w:w="3000" w:type="dxa"/>
            <w:vAlign w:val="bottom"/>
            <w:gridSpan w:val="2"/>
          </w:tcPr>
          <w:p>
            <w:pPr>
              <w:ind w:left="260"/>
              <w:spacing w:after="0"/>
              <w:rPr>
                <w:sz w:val="20"/>
                <w:szCs w:val="20"/>
                <w:color w:val="auto"/>
              </w:rPr>
            </w:pPr>
            <w:r>
              <w:rPr>
                <w:rFonts w:ascii="Arial" w:cs="Arial" w:eastAsia="Arial" w:hAnsi="Arial"/>
                <w:sz w:val="18"/>
                <w:szCs w:val="18"/>
                <w:color w:val="auto"/>
              </w:rPr>
              <w:t>January 2018 to June 2018</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derivative contracts as of December 31, 2016 are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Date of transaction</w:t>
            </w: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Type of derivative</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Total notional amount</w:t>
            </w:r>
          </w:p>
        </w:tc>
        <w:tc>
          <w:tcPr>
            <w:tcW w:w="1720" w:type="dxa"/>
            <w:vAlign w:val="bottom"/>
          </w:tcPr>
          <w:p>
            <w:pPr>
              <w:ind w:left="220"/>
              <w:spacing w:after="0"/>
              <w:rPr>
                <w:sz w:val="20"/>
                <w:szCs w:val="20"/>
                <w:color w:val="auto"/>
              </w:rPr>
            </w:pPr>
            <w:r>
              <w:rPr>
                <w:rFonts w:ascii="Arial" w:cs="Arial" w:eastAsia="Arial" w:hAnsi="Arial"/>
                <w:sz w:val="14"/>
                <w:szCs w:val="14"/>
                <w:b w:val="1"/>
                <w:bCs w:val="1"/>
                <w:color w:val="auto"/>
              </w:rPr>
              <w:t>Month of settlement</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11, 2016</w:t>
            </w:r>
          </w:p>
        </w:tc>
        <w:tc>
          <w:tcPr>
            <w:tcW w:w="1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Zero cost collar</w:t>
            </w:r>
          </w:p>
        </w:tc>
        <w:tc>
          <w:tcPr>
            <w:tcW w:w="540" w:type="dxa"/>
            <w:vAlign w:val="bottom"/>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40" w:type="dxa"/>
            <w:vAlign w:val="bottom"/>
            <w:vMerge w:val="continue"/>
            <w:shd w:val="clear" w:color="auto" w:fill="CCEEFF"/>
          </w:tcPr>
          <w:p>
            <w:pPr>
              <w:spacing w:after="0"/>
              <w:rPr>
                <w:sz w:val="18"/>
                <w:szCs w:val="18"/>
                <w:color w:val="auto"/>
              </w:rPr>
            </w:pPr>
          </w:p>
        </w:tc>
        <w:tc>
          <w:tcPr>
            <w:tcW w:w="17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1"/>
              </w:rPr>
              <w:t>March to August 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zero cost collar and forward contracts qualify as cash flow hedges under Accounting Standards Codification 815, “Derivatives and Hedging,” since at both the inception of the contracts and on an ongoing basis, the hedging relationship was and is expected to be highly effective in achieving offsetting cash flows attributable to the hedged risk during the term of the contracts. The Company is utilizing the “hypothetical derivative” method to measure the effectiveness by comparing the changes in value of the actual derivative versus the change in fair value of the “hypothetical derivative.”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Company’s outstanding zero cost collar and forward contracts recorded as assets and liabilities as of September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are as follows (in thousands):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4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Derivatives:</w:t>
            </w:r>
          </w:p>
        </w:tc>
        <w:tc>
          <w:tcPr>
            <w:tcW w:w="90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3440" w:type="dxa"/>
            <w:vAlign w:val="bottom"/>
          </w:tcPr>
          <w:p>
            <w:pPr>
              <w:ind w:left="12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1,257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453</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Derivatives:</w:t>
            </w:r>
          </w:p>
        </w:tc>
        <w:tc>
          <w:tcPr>
            <w:tcW w:w="3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gridSpan w:val="2"/>
          </w:tcPr>
          <w:p>
            <w:pPr>
              <w:ind w:left="360"/>
              <w:spacing w:after="0"/>
              <w:rPr>
                <w:sz w:val="20"/>
                <w:szCs w:val="20"/>
                <w:color w:val="auto"/>
              </w:rPr>
            </w:pPr>
            <w:r>
              <w:rPr>
                <w:rFonts w:ascii="Arial" w:cs="Arial" w:eastAsia="Arial" w:hAnsi="Arial"/>
                <w:sz w:val="18"/>
                <w:szCs w:val="18"/>
                <w:color w:val="auto"/>
              </w:rPr>
              <w:t>Forwards</w:t>
            </w:r>
          </w:p>
        </w:tc>
        <w:tc>
          <w:tcPr>
            <w:tcW w:w="3440" w:type="dxa"/>
            <w:vAlign w:val="bottom"/>
          </w:tcPr>
          <w:p>
            <w:pPr>
              <w:ind w:left="12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40" w:type="dxa"/>
            <w:vAlign w:val="bottom"/>
          </w:tcPr>
          <w:p>
            <w:pPr>
              <w:jc w:val="right"/>
              <w:ind w:right="227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Offsetting of derivative assets and liabilities as of September 30, 2017 is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Gross amounts of</w:t>
            </w:r>
          </w:p>
        </w:tc>
        <w:tc>
          <w:tcPr>
            <w:tcW w:w="22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Gross amounts</w:t>
            </w:r>
          </w:p>
        </w:tc>
        <w:tc>
          <w:tcPr>
            <w:tcW w:w="46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Net amounts of</w:t>
            </w:r>
          </w:p>
        </w:tc>
        <w:tc>
          <w:tcPr>
            <w:tcW w:w="200" w:type="dxa"/>
            <w:vAlign w:val="bottom"/>
          </w:tcPr>
          <w:p>
            <w:pPr>
              <w:spacing w:after="0"/>
              <w:rPr>
                <w:sz w:val="14"/>
                <w:szCs w:val="14"/>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5"/>
              </w:rPr>
              <w:t>Gross amounts not offset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assets/liabilities</w:t>
            </w:r>
          </w:p>
        </w:tc>
        <w:tc>
          <w:tcPr>
            <w:tcW w:w="200" w:type="dxa"/>
            <w:vAlign w:val="bottom"/>
          </w:tcPr>
          <w:p>
            <w:pPr>
              <w:spacing w:after="0"/>
              <w:rPr>
                <w:sz w:val="14"/>
                <w:szCs w:val="14"/>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in the balance sheets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September 30, 2017</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recognized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460" w:type="dxa"/>
            <w:vAlign w:val="bottom"/>
          </w:tcPr>
          <w:p>
            <w:pPr>
              <w:spacing w:after="0"/>
              <w:rPr>
                <w:sz w:val="10"/>
                <w:szCs w:val="10"/>
                <w:color w:val="auto"/>
              </w:rPr>
            </w:pPr>
          </w:p>
        </w:tc>
        <w:tc>
          <w:tcPr>
            <w:tcW w:w="14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presented in the</w:t>
            </w: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Financial</w:t>
            </w: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Cash collateral</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71"/>
        </w:trPr>
        <w:tc>
          <w:tcPr>
            <w:tcW w:w="264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assets/liabilities</w:t>
            </w:r>
          </w:p>
        </w:tc>
        <w:tc>
          <w:tcPr>
            <w:tcW w:w="2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balance sheets</w:t>
            </w:r>
          </w:p>
        </w:tc>
        <w:tc>
          <w:tcPr>
            <w:tcW w:w="46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balance sheets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1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pledged</w:t>
            </w:r>
          </w:p>
        </w:tc>
        <w:tc>
          <w:tcPr>
            <w:tcW w:w="2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8"/>
              </w:rPr>
              <w:t>Liabilities Derivatives:</w:t>
            </w:r>
          </w:p>
        </w:tc>
        <w:tc>
          <w:tcPr>
            <w:tcW w:w="10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1,257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(700)</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Derivatives: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360"/>
              <w:spacing w:after="0"/>
              <w:rPr>
                <w:sz w:val="20"/>
                <w:szCs w:val="20"/>
                <w:color w:val="auto"/>
              </w:rPr>
            </w:pPr>
            <w:r>
              <w:rPr>
                <w:rFonts w:ascii="Arial" w:cs="Arial" w:eastAsia="Arial" w:hAnsi="Arial"/>
                <w:sz w:val="18"/>
                <w:szCs w:val="18"/>
                <w:color w:val="auto"/>
              </w:rPr>
              <w:t>Forwards</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Offsetting of derivative liabilities as of December 31, 2016 is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0"/>
              </w:rPr>
              <w:t>Gross amounts of</w:t>
            </w: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Gross amounts</w:t>
            </w:r>
          </w:p>
        </w:tc>
        <w:tc>
          <w:tcPr>
            <w:tcW w:w="44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Net amounts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Gross amounts not offset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liabilities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8"/>
              </w:rPr>
              <w:t>in the balance sheets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2016</w:t>
            </w: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6"/>
              </w:rPr>
              <w:t>recognized</w:t>
            </w:r>
          </w:p>
        </w:tc>
        <w:tc>
          <w:tcPr>
            <w:tcW w:w="100" w:type="dxa"/>
            <w:vAlign w:val="bottom"/>
          </w:tcPr>
          <w:p>
            <w:pPr>
              <w:spacing w:after="0"/>
              <w:rPr>
                <w:sz w:val="10"/>
                <w:szCs w:val="10"/>
                <w:color w:val="auto"/>
              </w:rPr>
            </w:pPr>
          </w:p>
        </w:tc>
        <w:tc>
          <w:tcPr>
            <w:tcW w:w="840" w:type="dxa"/>
            <w:vAlign w:val="bottom"/>
          </w:tcPr>
          <w:p>
            <w:pPr>
              <w:jc w:val="center"/>
              <w:ind w:right="42"/>
              <w:spacing w:after="0" w:line="119" w:lineRule="exact"/>
              <w:rPr>
                <w:sz w:val="20"/>
                <w:szCs w:val="20"/>
                <w:color w:val="auto"/>
              </w:rPr>
            </w:pPr>
            <w:r>
              <w:rPr>
                <w:rFonts w:ascii="Arial" w:cs="Arial" w:eastAsia="Arial" w:hAnsi="Arial"/>
                <w:sz w:val="13"/>
                <w:szCs w:val="13"/>
                <w:b w:val="1"/>
                <w:bCs w:val="1"/>
                <w:color w:val="auto"/>
                <w:w w:val="97"/>
              </w:rPr>
              <w:t>offset in the</w:t>
            </w:r>
          </w:p>
        </w:tc>
        <w:tc>
          <w:tcPr>
            <w:tcW w:w="440" w:type="dxa"/>
            <w:vAlign w:val="bottom"/>
          </w:tcPr>
          <w:p>
            <w:pPr>
              <w:spacing w:after="0"/>
              <w:rPr>
                <w:sz w:val="10"/>
                <w:szCs w:val="10"/>
                <w:color w:val="auto"/>
              </w:rPr>
            </w:pPr>
          </w:p>
        </w:tc>
        <w:tc>
          <w:tcPr>
            <w:tcW w:w="120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presented in the</w:t>
            </w:r>
          </w:p>
        </w:tc>
        <w:tc>
          <w:tcPr>
            <w:tcW w:w="22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
              <w:spacing w:after="0" w:line="119" w:lineRule="exact"/>
              <w:rPr>
                <w:sz w:val="20"/>
                <w:szCs w:val="20"/>
                <w:color w:val="auto"/>
              </w:rPr>
            </w:pPr>
            <w:r>
              <w:rPr>
                <w:rFonts w:ascii="Arial" w:cs="Arial" w:eastAsia="Arial" w:hAnsi="Arial"/>
                <w:sz w:val="13"/>
                <w:szCs w:val="13"/>
                <w:b w:val="1"/>
                <w:bCs w:val="1"/>
                <w:color w:val="auto"/>
              </w:rPr>
              <w:t>Financial</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Cash collateral</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1"/>
        </w:trPr>
        <w:tc>
          <w:tcPr>
            <w:tcW w:w="266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liabilities</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balance sheets</w:t>
            </w:r>
          </w:p>
        </w:tc>
        <w:tc>
          <w:tcPr>
            <w:tcW w:w="44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balance sheets</w:t>
            </w:r>
          </w:p>
        </w:tc>
        <w:tc>
          <w:tcPr>
            <w:tcW w:w="2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instruments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pledged</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6"/>
              </w:rPr>
              <w:t>Liabilities Derivatives:</w:t>
            </w:r>
          </w:p>
        </w:tc>
        <w:tc>
          <w:tcPr>
            <w:tcW w:w="1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ind w:left="360"/>
              <w:spacing w:after="0"/>
              <w:rPr>
                <w:sz w:val="20"/>
                <w:szCs w:val="20"/>
                <w:color w:val="auto"/>
              </w:rPr>
            </w:pPr>
            <w:r>
              <w:rPr>
                <w:rFonts w:ascii="Arial" w:cs="Arial" w:eastAsia="Arial" w:hAnsi="Arial"/>
                <w:sz w:val="18"/>
                <w:szCs w:val="18"/>
                <w:color w:val="auto"/>
              </w:rPr>
              <w:t>Zero cost collars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 of operations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Location of</w:t>
            </w:r>
          </w:p>
        </w:tc>
        <w:tc>
          <w:tcPr>
            <w:tcW w:w="100" w:type="dxa"/>
            <w:vAlign w:val="bottom"/>
          </w:tcPr>
          <w:p>
            <w:pPr>
              <w:spacing w:after="0"/>
              <w:rPr>
                <w:sz w:val="13"/>
                <w:szCs w:val="13"/>
                <w:color w:val="auto"/>
              </w:rPr>
            </w:pPr>
          </w:p>
        </w:tc>
        <w:tc>
          <w:tcPr>
            <w:tcW w:w="1340" w:type="dxa"/>
            <w:vAlign w:val="bottom"/>
            <w:gridSpan w:val="5"/>
            <w:vMerge w:val="restart"/>
          </w:tcPr>
          <w:p>
            <w:pPr>
              <w:jc w:val="center"/>
              <w:ind w:right="10"/>
              <w:spacing w:after="0"/>
              <w:rPr>
                <w:sz w:val="20"/>
                <w:szCs w:val="20"/>
                <w:color w:val="auto"/>
              </w:rPr>
            </w:pPr>
            <w:r>
              <w:rPr>
                <w:rFonts w:ascii="Arial" w:cs="Arial" w:eastAsia="Arial" w:hAnsi="Arial"/>
                <w:sz w:val="14"/>
                <w:szCs w:val="14"/>
                <w:b w:val="1"/>
                <w:bCs w:val="1"/>
                <w:color w:val="auto"/>
                <w:w w:val="95"/>
              </w:rPr>
              <w:t>Amount of Gain</w:t>
            </w:r>
          </w:p>
        </w:tc>
        <w:tc>
          <w:tcPr>
            <w:tcW w:w="300" w:type="dxa"/>
            <w:vAlign w:val="bottom"/>
          </w:tcPr>
          <w:p>
            <w:pPr>
              <w:spacing w:after="0"/>
              <w:rPr>
                <w:sz w:val="13"/>
                <w:szCs w:val="13"/>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Location of Loss</w:t>
            </w:r>
          </w:p>
        </w:tc>
        <w:tc>
          <w:tcPr>
            <w:tcW w:w="100" w:type="dxa"/>
            <w:vAlign w:val="bottom"/>
          </w:tcPr>
          <w:p>
            <w:pPr>
              <w:spacing w:after="0"/>
              <w:rPr>
                <w:sz w:val="13"/>
                <w:szCs w:val="13"/>
                <w:color w:val="auto"/>
              </w:rPr>
            </w:pPr>
          </w:p>
        </w:tc>
        <w:tc>
          <w:tcPr>
            <w:tcW w:w="15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Amount of Loss</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20" w:type="dxa"/>
            <w:vAlign w:val="bottom"/>
            <w:gridSpan w:val="7"/>
            <w:vMerge w:val="restart"/>
          </w:tcPr>
          <w:p>
            <w:pPr>
              <w:jc w:val="center"/>
              <w:ind w:right="360"/>
              <w:spacing w:after="0"/>
              <w:rPr>
                <w:sz w:val="20"/>
                <w:szCs w:val="20"/>
                <w:color w:val="auto"/>
              </w:rPr>
            </w:pPr>
            <w:r>
              <w:rPr>
                <w:rFonts w:ascii="Arial" w:cs="Arial" w:eastAsia="Arial" w:hAnsi="Arial"/>
                <w:sz w:val="14"/>
                <w:szCs w:val="14"/>
                <w:b w:val="1"/>
                <w:bCs w:val="1"/>
                <w:color w:val="auto"/>
                <w:w w:val="92"/>
              </w:rPr>
              <w:t>Amount of Gain (Loss)</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Gain</w:t>
            </w:r>
          </w:p>
        </w:tc>
        <w:tc>
          <w:tcPr>
            <w:tcW w:w="100" w:type="dxa"/>
            <w:vAlign w:val="bottom"/>
          </w:tcPr>
          <w:p>
            <w:pPr>
              <w:spacing w:after="0"/>
              <w:rPr>
                <w:sz w:val="12"/>
                <w:szCs w:val="12"/>
                <w:color w:val="auto"/>
              </w:rPr>
            </w:pPr>
          </w:p>
        </w:tc>
        <w:tc>
          <w:tcPr>
            <w:tcW w:w="134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20" w:type="dxa"/>
            <w:vAlign w:val="bottom"/>
            <w:gridSpan w:val="7"/>
            <w:vMerge w:val="continue"/>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00" w:type="dxa"/>
            <w:vAlign w:val="bottom"/>
          </w:tcPr>
          <w:p>
            <w:pPr>
              <w:spacing w:after="0"/>
              <w:rPr>
                <w:sz w:val="12"/>
                <w:szCs w:val="12"/>
                <w:color w:val="auto"/>
              </w:rPr>
            </w:pPr>
          </w:p>
        </w:tc>
        <w:tc>
          <w:tcPr>
            <w:tcW w:w="1340" w:type="dxa"/>
            <w:vAlign w:val="bottom"/>
            <w:gridSpan w:val="5"/>
          </w:tcPr>
          <w:p>
            <w:pPr>
              <w:jc w:val="center"/>
              <w:ind w:right="1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00" w:type="dxa"/>
            <w:vAlign w:val="bottom"/>
          </w:tcPr>
          <w:p>
            <w:pPr>
              <w:spacing w:after="0"/>
              <w:rPr>
                <w:sz w:val="12"/>
                <w:szCs w:val="12"/>
                <w:color w:val="auto"/>
              </w:rPr>
            </w:pPr>
          </w:p>
        </w:tc>
        <w:tc>
          <w:tcPr>
            <w:tcW w:w="112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3"/>
              </w:rPr>
              <w:t>Derivatives in ASC 815</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AOCI into</w:t>
            </w:r>
          </w:p>
        </w:tc>
        <w:tc>
          <w:tcPr>
            <w:tcW w:w="100" w:type="dxa"/>
            <w:vAlign w:val="bottom"/>
          </w:tcPr>
          <w:p>
            <w:pPr>
              <w:spacing w:after="0"/>
              <w:rPr>
                <w:sz w:val="12"/>
                <w:szCs w:val="12"/>
                <w:color w:val="auto"/>
              </w:rPr>
            </w:pPr>
          </w:p>
        </w:tc>
        <w:tc>
          <w:tcPr>
            <w:tcW w:w="1060" w:type="dxa"/>
            <w:vAlign w:val="bottom"/>
            <w:gridSpan w:val="4"/>
          </w:tcPr>
          <w:p>
            <w:pPr>
              <w:jc w:val="center"/>
              <w:ind w:left="103"/>
              <w:spacing w:after="0" w:line="149" w:lineRule="exact"/>
              <w:rPr>
                <w:sz w:val="20"/>
                <w:szCs w:val="20"/>
                <w:color w:val="auto"/>
              </w:rPr>
            </w:pPr>
            <w:r>
              <w:rPr>
                <w:rFonts w:ascii="Arial" w:cs="Arial" w:eastAsia="Arial" w:hAnsi="Arial"/>
                <w:sz w:val="14"/>
                <w:szCs w:val="14"/>
                <w:b w:val="1"/>
                <w:bCs w:val="1"/>
                <w:color w:val="auto"/>
                <w:w w:val="99"/>
              </w:rPr>
              <w:t>AOCI into</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Operations on</w:t>
            </w:r>
          </w:p>
        </w:tc>
        <w:tc>
          <w:tcPr>
            <w:tcW w:w="100" w:type="dxa"/>
            <w:vAlign w:val="bottom"/>
          </w:tcPr>
          <w:p>
            <w:pPr>
              <w:spacing w:after="0"/>
              <w:rPr>
                <w:sz w:val="12"/>
                <w:szCs w:val="12"/>
                <w:color w:val="auto"/>
              </w:rPr>
            </w:pPr>
          </w:p>
        </w:tc>
        <w:tc>
          <w:tcPr>
            <w:tcW w:w="112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244"/>
              <w:spacing w:after="0" w:line="145" w:lineRule="exact"/>
              <w:rPr>
                <w:sz w:val="20"/>
                <w:szCs w:val="20"/>
                <w:color w:val="auto"/>
              </w:rPr>
            </w:pPr>
            <w:r>
              <w:rPr>
                <w:rFonts w:ascii="Arial" w:cs="Arial" w:eastAsia="Arial" w:hAnsi="Arial"/>
                <w:sz w:val="14"/>
                <w:szCs w:val="14"/>
                <w:b w:val="1"/>
                <w:bCs w:val="1"/>
                <w:color w:val="auto"/>
                <w:w w:val="99"/>
              </w:rPr>
              <w:t>AOCI on</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6"/>
              </w:rPr>
              <w:t>Statement of</w:t>
            </w:r>
          </w:p>
        </w:tc>
        <w:tc>
          <w:tcPr>
            <w:tcW w:w="100" w:type="dxa"/>
            <w:vAlign w:val="bottom"/>
          </w:tcPr>
          <w:p>
            <w:pPr>
              <w:spacing w:after="0"/>
              <w:rPr>
                <w:sz w:val="12"/>
                <w:szCs w:val="12"/>
                <w:color w:val="auto"/>
              </w:rPr>
            </w:pPr>
          </w:p>
        </w:tc>
        <w:tc>
          <w:tcPr>
            <w:tcW w:w="1060" w:type="dxa"/>
            <w:vAlign w:val="bottom"/>
            <w:gridSpan w:val="4"/>
          </w:tcPr>
          <w:p>
            <w:pPr>
              <w:jc w:val="center"/>
              <w:ind w:left="103"/>
              <w:spacing w:after="0" w:line="145" w:lineRule="exact"/>
              <w:rPr>
                <w:sz w:val="20"/>
                <w:szCs w:val="20"/>
                <w:color w:val="auto"/>
              </w:rPr>
            </w:pPr>
            <w:r>
              <w:rPr>
                <w:rFonts w:ascii="Arial" w:cs="Arial" w:eastAsia="Arial" w:hAnsi="Arial"/>
                <w:sz w:val="14"/>
                <w:szCs w:val="14"/>
                <w:b w:val="1"/>
                <w:bCs w:val="1"/>
                <w:color w:val="auto"/>
                <w:w w:val="94"/>
              </w:rPr>
              <w:t>Statement of</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120" w:type="dxa"/>
            <w:vAlign w:val="bottom"/>
            <w:gridSpan w:val="3"/>
          </w:tcPr>
          <w:p>
            <w:pPr>
              <w:jc w:val="center"/>
              <w:ind w:left="104"/>
              <w:spacing w:after="0" w:line="145" w:lineRule="exact"/>
              <w:rPr>
                <w:sz w:val="20"/>
                <w:szCs w:val="20"/>
                <w:color w:val="auto"/>
              </w:rPr>
            </w:pPr>
            <w:r>
              <w:rPr>
                <w:rFonts w:ascii="Arial" w:cs="Arial" w:eastAsia="Arial" w:hAnsi="Arial"/>
                <w:sz w:val="14"/>
                <w:szCs w:val="14"/>
                <w:b w:val="1"/>
                <w:bCs w:val="1"/>
                <w:color w:val="auto"/>
                <w:w w:val="94"/>
              </w:rPr>
              <w:t>Operations 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264"/>
              <w:spacing w:after="0" w:line="149" w:lineRule="exact"/>
              <w:rPr>
                <w:sz w:val="20"/>
                <w:szCs w:val="20"/>
                <w:color w:val="auto"/>
              </w:rPr>
            </w:pPr>
            <w:r>
              <w:rPr>
                <w:rFonts w:ascii="Arial" w:cs="Arial" w:eastAsia="Arial" w:hAnsi="Arial"/>
                <w:sz w:val="14"/>
                <w:szCs w:val="14"/>
                <w:b w:val="1"/>
                <w:bCs w:val="1"/>
                <w:color w:val="auto"/>
                <w:w w:val="93"/>
              </w:rPr>
              <w:t>Derivatives</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Operations</w:t>
            </w:r>
          </w:p>
        </w:tc>
        <w:tc>
          <w:tcPr>
            <w:tcW w:w="100" w:type="dxa"/>
            <w:vAlign w:val="bottom"/>
          </w:tcPr>
          <w:p>
            <w:pPr>
              <w:spacing w:after="0"/>
              <w:rPr>
                <w:sz w:val="12"/>
                <w:szCs w:val="12"/>
                <w:color w:val="auto"/>
              </w:rPr>
            </w:pPr>
          </w:p>
        </w:tc>
        <w:tc>
          <w:tcPr>
            <w:tcW w:w="1060" w:type="dxa"/>
            <w:vAlign w:val="bottom"/>
            <w:gridSpan w:val="4"/>
          </w:tcPr>
          <w:p>
            <w:pPr>
              <w:jc w:val="center"/>
              <w:ind w:left="103"/>
              <w:spacing w:after="0" w:line="149" w:lineRule="exact"/>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00" w:type="dxa"/>
            <w:vAlign w:val="bottom"/>
          </w:tcPr>
          <w:p>
            <w:pPr>
              <w:spacing w:after="0"/>
              <w:rPr>
                <w:sz w:val="12"/>
                <w:szCs w:val="12"/>
                <w:color w:val="auto"/>
              </w:rPr>
            </w:pPr>
          </w:p>
        </w:tc>
        <w:tc>
          <w:tcPr>
            <w:tcW w:w="1120" w:type="dxa"/>
            <w:vAlign w:val="bottom"/>
            <w:gridSpan w:val="3"/>
          </w:tcPr>
          <w:p>
            <w:pPr>
              <w:jc w:val="center"/>
              <w:ind w:left="104"/>
              <w:spacing w:after="0" w:line="149" w:lineRule="exact"/>
              <w:rPr>
                <w:sz w:val="20"/>
                <w:szCs w:val="20"/>
                <w:color w:val="auto"/>
              </w:rPr>
            </w:pPr>
            <w:r>
              <w:rPr>
                <w:rFonts w:ascii="Arial" w:cs="Arial" w:eastAsia="Arial" w:hAnsi="Arial"/>
                <w:sz w:val="14"/>
                <w:szCs w:val="14"/>
                <w:b w:val="1"/>
                <w:bCs w:val="1"/>
                <w:color w:val="auto"/>
                <w:w w:val="93"/>
              </w:rPr>
              <w:t>Derivatives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3"/>
              </w:rPr>
              <w:t>Hedging Relationships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jc w:val="center"/>
              <w:ind w:right="440"/>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14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2"/>
                <w:szCs w:val="12"/>
                <w:color w:val="auto"/>
              </w:rPr>
            </w:pPr>
          </w:p>
        </w:tc>
        <w:tc>
          <w:tcPr>
            <w:tcW w:w="1340" w:type="dxa"/>
            <w:vAlign w:val="bottom"/>
            <w:gridSpan w:val="5"/>
          </w:tcPr>
          <w:p>
            <w:pPr>
              <w:jc w:val="center"/>
              <w:ind w:right="30"/>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Portion)</w:t>
            </w:r>
          </w:p>
        </w:tc>
        <w:tc>
          <w:tcPr>
            <w:tcW w:w="100" w:type="dxa"/>
            <w:vAlign w:val="bottom"/>
          </w:tcPr>
          <w:p>
            <w:pPr>
              <w:spacing w:after="0"/>
              <w:rPr>
                <w:sz w:val="12"/>
                <w:szCs w:val="12"/>
                <w:color w:val="auto"/>
              </w:rPr>
            </w:pPr>
          </w:p>
        </w:tc>
        <w:tc>
          <w:tcPr>
            <w:tcW w:w="1500" w:type="dxa"/>
            <w:vAlign w:val="bottom"/>
            <w:gridSpan w:val="5"/>
          </w:tcPr>
          <w:p>
            <w:pPr>
              <w:jc w:val="center"/>
              <w:ind w:right="200"/>
              <w:spacing w:after="0" w:line="129" w:lineRule="exact"/>
              <w:rPr>
                <w:sz w:val="20"/>
                <w:szCs w:val="20"/>
                <w:color w:val="auto"/>
              </w:rPr>
            </w:pPr>
            <w:r>
              <w:rPr>
                <w:rFonts w:ascii="Arial" w:cs="Arial" w:eastAsia="Arial" w:hAnsi="Arial"/>
                <w:sz w:val="14"/>
                <w:szCs w:val="14"/>
                <w:b w:val="1"/>
                <w:bCs w:val="1"/>
                <w:color w:val="auto"/>
                <w:w w:val="95"/>
              </w:rPr>
              <w:t>(Ineffective Portion)</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5"/>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4"/>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5"/>
          </w:tcPr>
          <w:p>
            <w:pPr>
              <w:jc w:val="center"/>
              <w:ind w:right="36"/>
              <w:spacing w:after="0" w:line="106" w:lineRule="exact"/>
              <w:rPr>
                <w:sz w:val="20"/>
                <w:szCs w:val="20"/>
                <w:color w:val="auto"/>
              </w:rPr>
            </w:pPr>
            <w:r>
              <w:rPr>
                <w:rFonts w:ascii="Arial" w:cs="Arial" w:eastAsia="Arial" w:hAnsi="Arial"/>
                <w:sz w:val="12"/>
                <w:szCs w:val="12"/>
                <w:b w:val="1"/>
                <w:bCs w:val="1"/>
                <w:color w:val="auto"/>
              </w:rPr>
              <w:t>Three Months Ended</w:t>
            </w:r>
          </w:p>
        </w:tc>
        <w:tc>
          <w:tcPr>
            <w:tcW w:w="3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gridSpan w:val="6"/>
          </w:tcPr>
          <w:p>
            <w:pPr>
              <w:jc w:val="center"/>
              <w:spacing w:after="0" w:line="106" w:lineRule="exact"/>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4"/>
          </w:tcPr>
          <w:p>
            <w:pPr>
              <w:jc w:val="center"/>
              <w:ind w:right="12"/>
              <w:spacing w:after="0" w:line="106" w:lineRule="exact"/>
              <w:rPr>
                <w:sz w:val="20"/>
                <w:szCs w:val="20"/>
                <w:color w:val="auto"/>
              </w:rPr>
            </w:pPr>
            <w:r>
              <w:rPr>
                <w:rFonts w:ascii="Arial" w:cs="Arial" w:eastAsia="Arial" w:hAnsi="Arial"/>
                <w:sz w:val="12"/>
                <w:szCs w:val="12"/>
                <w:b w:val="1"/>
                <w:bCs w:val="1"/>
                <w:color w:val="auto"/>
              </w:rPr>
              <w:t>Three Months Ended</w:t>
            </w: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left="103"/>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2016</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w w:val="72"/>
              </w:rPr>
              <w:t>(83)</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1"/>
              </w:rPr>
              <w:t>(142)</w:t>
            </w: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72"/>
              </w:rPr>
              <w:t>(32)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Forwards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auto"/>
              </w:rPr>
              <w:t>Other income,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160"/>
              <w:spacing w:after="0"/>
              <w:rPr>
                <w:sz w:val="20"/>
                <w:szCs w:val="20"/>
                <w:color w:val="auto"/>
              </w:rPr>
            </w:pPr>
            <w:r>
              <w:rPr>
                <w:rFonts w:ascii="Arial" w:cs="Arial" w:eastAsia="Arial" w:hAnsi="Arial"/>
                <w:sz w:val="18"/>
                <w:szCs w:val="18"/>
                <w:color w:val="auto"/>
              </w:rPr>
              <w:t>(228)</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(83)</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impact of derivative instruments on the consolidated statement of operations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Location of Gain</w:t>
            </w:r>
          </w:p>
        </w:tc>
        <w:tc>
          <w:tcPr>
            <w:tcW w:w="120" w:type="dxa"/>
            <w:vAlign w:val="bottom"/>
          </w:tcPr>
          <w:p>
            <w:pPr>
              <w:spacing w:after="0"/>
              <w:rPr>
                <w:sz w:val="14"/>
                <w:szCs w:val="14"/>
                <w:color w:val="auto"/>
              </w:rPr>
            </w:pPr>
          </w:p>
        </w:tc>
        <w:tc>
          <w:tcPr>
            <w:tcW w:w="130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w w:val="95"/>
              </w:rPr>
              <w:t>Amount of Gain</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restart"/>
          </w:tcPr>
          <w:p>
            <w:pPr>
              <w:jc w:val="center"/>
              <w:ind w:right="10"/>
              <w:spacing w:after="0"/>
              <w:rPr>
                <w:sz w:val="20"/>
                <w:szCs w:val="20"/>
                <w:color w:val="auto"/>
              </w:rPr>
            </w:pPr>
            <w:r>
              <w:rPr>
                <w:rFonts w:ascii="Arial" w:cs="Arial" w:eastAsia="Arial" w:hAnsi="Arial"/>
                <w:sz w:val="14"/>
                <w:szCs w:val="14"/>
                <w:b w:val="1"/>
                <w:bCs w:val="1"/>
                <w:color w:val="auto"/>
                <w:w w:val="95"/>
              </w:rPr>
              <w:t>Amount of Gain</w:t>
            </w:r>
          </w:p>
        </w:tc>
        <w:tc>
          <w:tcPr>
            <w:tcW w:w="2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(Loss)</w:t>
            </w:r>
          </w:p>
        </w:tc>
        <w:tc>
          <w:tcPr>
            <w:tcW w:w="120" w:type="dxa"/>
            <w:vAlign w:val="bottom"/>
          </w:tcPr>
          <w:p>
            <w:pPr>
              <w:spacing w:after="0"/>
              <w:rPr>
                <w:sz w:val="12"/>
                <w:szCs w:val="12"/>
                <w:color w:val="auto"/>
              </w:rPr>
            </w:pPr>
          </w:p>
        </w:tc>
        <w:tc>
          <w:tcPr>
            <w:tcW w:w="13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Gain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20" w:type="dxa"/>
            <w:vAlign w:val="bottom"/>
          </w:tcPr>
          <w:p>
            <w:pPr>
              <w:spacing w:after="0"/>
              <w:rPr>
                <w:sz w:val="12"/>
                <w:szCs w:val="12"/>
                <w:color w:val="auto"/>
              </w:rPr>
            </w:pPr>
          </w:p>
        </w:tc>
        <w:tc>
          <w:tcPr>
            <w:tcW w:w="840" w:type="dxa"/>
            <w:vAlign w:val="bottom"/>
            <w:gridSpan w:val="4"/>
          </w:tcPr>
          <w:p>
            <w:pPr>
              <w:jc w:val="center"/>
              <w:ind w:left="223"/>
              <w:spacing w:after="0" w:line="149" w:lineRule="exact"/>
              <w:rPr>
                <w:sz w:val="20"/>
                <w:szCs w:val="20"/>
                <w:color w:val="auto"/>
              </w:rPr>
            </w:pPr>
            <w:r>
              <w:rPr>
                <w:rFonts w:ascii="Arial" w:cs="Arial" w:eastAsia="Arial" w:hAnsi="Arial"/>
                <w:sz w:val="14"/>
                <w:szCs w:val="14"/>
                <w:b w:val="1"/>
                <w:bCs w:val="1"/>
                <w:color w:val="auto"/>
                <w:w w:val="90"/>
              </w:rPr>
              <w:t>(Loss)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left="243"/>
              <w:spacing w:after="0" w:line="149" w:lineRule="exact"/>
              <w:rPr>
                <w:sz w:val="20"/>
                <w:szCs w:val="20"/>
                <w:color w:val="auto"/>
              </w:rPr>
            </w:pPr>
            <w:r>
              <w:rPr>
                <w:rFonts w:ascii="Arial" w:cs="Arial" w:eastAsia="Arial" w:hAnsi="Arial"/>
                <w:sz w:val="14"/>
                <w:szCs w:val="14"/>
                <w:b w:val="1"/>
                <w:bCs w:val="1"/>
                <w:color w:val="auto"/>
                <w:w w:val="90"/>
              </w:rPr>
              <w:t>(Loss)</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120" w:type="dxa"/>
            <w:vAlign w:val="bottom"/>
          </w:tcPr>
          <w:p>
            <w:pPr>
              <w:spacing w:after="0"/>
              <w:rPr>
                <w:sz w:val="12"/>
                <w:szCs w:val="12"/>
                <w:color w:val="auto"/>
              </w:rPr>
            </w:pPr>
          </w:p>
        </w:tc>
        <w:tc>
          <w:tcPr>
            <w:tcW w:w="13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 ASC</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AOCI into</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left="103"/>
              <w:spacing w:after="0" w:line="149" w:lineRule="exact"/>
              <w:rPr>
                <w:sz w:val="20"/>
                <w:szCs w:val="20"/>
                <w:color w:val="auto"/>
              </w:rPr>
            </w:pPr>
            <w:r>
              <w:rPr>
                <w:rFonts w:ascii="Arial" w:cs="Arial" w:eastAsia="Arial" w:hAnsi="Arial"/>
                <w:sz w:val="14"/>
                <w:szCs w:val="14"/>
                <w:b w:val="1"/>
                <w:bCs w:val="1"/>
                <w:color w:val="auto"/>
                <w:w w:val="99"/>
              </w:rPr>
              <w:t>AOCI into</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Operations on</w:t>
            </w:r>
          </w:p>
        </w:tc>
        <w:tc>
          <w:tcPr>
            <w:tcW w:w="120" w:type="dxa"/>
            <w:vAlign w:val="bottom"/>
          </w:tcPr>
          <w:p>
            <w:pPr>
              <w:spacing w:after="0"/>
              <w:rPr>
                <w:sz w:val="12"/>
                <w:szCs w:val="12"/>
                <w:color w:val="auto"/>
              </w:rPr>
            </w:pPr>
          </w:p>
        </w:tc>
        <w:tc>
          <w:tcPr>
            <w:tcW w:w="13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44"/>
        </w:trPr>
        <w:tc>
          <w:tcPr>
            <w:tcW w:w="266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380"/>
              <w:spacing w:after="0" w:line="145" w:lineRule="exact"/>
              <w:rPr>
                <w:sz w:val="20"/>
                <w:szCs w:val="20"/>
                <w:color w:val="auto"/>
              </w:rPr>
            </w:pPr>
            <w:r>
              <w:rPr>
                <w:rFonts w:ascii="Arial" w:cs="Arial" w:eastAsia="Arial" w:hAnsi="Arial"/>
                <w:sz w:val="14"/>
                <w:szCs w:val="14"/>
                <w:b w:val="1"/>
                <w:bCs w:val="1"/>
                <w:color w:val="auto"/>
                <w:w w:val="99"/>
              </w:rPr>
              <w:t>AOCI on</w:t>
            </w:r>
          </w:p>
        </w:tc>
        <w:tc>
          <w:tcPr>
            <w:tcW w:w="1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Statement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6"/>
              </w:rPr>
              <w:t>Statement of</w:t>
            </w:r>
          </w:p>
        </w:tc>
        <w:tc>
          <w:tcPr>
            <w:tcW w:w="240" w:type="dxa"/>
            <w:vAlign w:val="bottom"/>
          </w:tcPr>
          <w:p>
            <w:pPr>
              <w:spacing w:after="0"/>
              <w:rPr>
                <w:sz w:val="12"/>
                <w:szCs w:val="12"/>
                <w:color w:val="auto"/>
              </w:rPr>
            </w:pPr>
          </w:p>
        </w:tc>
        <w:tc>
          <w:tcPr>
            <w:tcW w:w="16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300" w:type="dxa"/>
            <w:vAlign w:val="bottom"/>
            <w:gridSpan w:val="6"/>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Operations on</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815 Cash Flow Hedging</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left="103"/>
              <w:spacing w:after="0" w:line="149" w:lineRule="exact"/>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20" w:type="dxa"/>
            <w:vAlign w:val="bottom"/>
          </w:tcPr>
          <w:p>
            <w:pPr>
              <w:spacing w:after="0"/>
              <w:rPr>
                <w:sz w:val="12"/>
                <w:szCs w:val="12"/>
                <w:color w:val="auto"/>
              </w:rPr>
            </w:pPr>
          </w:p>
        </w:tc>
        <w:tc>
          <w:tcPr>
            <w:tcW w:w="13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Relationships</w:t>
            </w:r>
          </w:p>
        </w:tc>
        <w:tc>
          <w:tcPr>
            <w:tcW w:w="1200" w:type="dxa"/>
            <w:vAlign w:val="bottom"/>
          </w:tcPr>
          <w:p>
            <w:pPr>
              <w:spacing w:after="0"/>
              <w:rPr>
                <w:sz w:val="12"/>
                <w:szCs w:val="12"/>
                <w:color w:val="auto"/>
              </w:rPr>
            </w:pPr>
          </w:p>
        </w:tc>
        <w:tc>
          <w:tcPr>
            <w:tcW w:w="1600" w:type="dxa"/>
            <w:vAlign w:val="bottom"/>
            <w:gridSpan w:val="7"/>
          </w:tcPr>
          <w:p>
            <w:pPr>
              <w:jc w:val="center"/>
              <w:ind w:right="300"/>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4"/>
              </w:rPr>
              <w:t>(Effective Portion)</w:t>
            </w:r>
          </w:p>
        </w:tc>
        <w:tc>
          <w:tcPr>
            <w:tcW w:w="240" w:type="dxa"/>
            <w:vAlign w:val="bottom"/>
          </w:tcPr>
          <w:p>
            <w:pPr>
              <w:spacing w:after="0"/>
              <w:rPr>
                <w:sz w:val="12"/>
                <w:szCs w:val="12"/>
                <w:color w:val="auto"/>
              </w:rPr>
            </w:pPr>
          </w:p>
        </w:tc>
        <w:tc>
          <w:tcPr>
            <w:tcW w:w="16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6"/>
              </w:rPr>
              <w:t>Portion)</w:t>
            </w:r>
          </w:p>
        </w:tc>
        <w:tc>
          <w:tcPr>
            <w:tcW w:w="1420" w:type="dxa"/>
            <w:vAlign w:val="bottom"/>
            <w:gridSpan w:val="7"/>
          </w:tcPr>
          <w:p>
            <w:pPr>
              <w:jc w:val="center"/>
              <w:ind w:right="60"/>
              <w:spacing w:after="0" w:line="129" w:lineRule="exact"/>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Borders>
              <w:bottom w:val="single" w:sz="8" w:color="auto"/>
            </w:tcBorders>
            <w:gridSpan w:val="6"/>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6"/>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00" w:type="dxa"/>
            <w:vAlign w:val="bottom"/>
            <w:gridSpan w:val="6"/>
          </w:tcPr>
          <w:p>
            <w:pPr>
              <w:jc w:val="center"/>
              <w:spacing w:after="0" w:line="106" w:lineRule="exact"/>
              <w:rPr>
                <w:sz w:val="20"/>
                <w:szCs w:val="20"/>
                <w:color w:val="auto"/>
              </w:rPr>
            </w:pPr>
            <w:r>
              <w:rPr>
                <w:rFonts w:ascii="Arial" w:cs="Arial" w:eastAsia="Arial" w:hAnsi="Arial"/>
                <w:sz w:val="12"/>
                <w:szCs w:val="12"/>
                <w:b w:val="1"/>
                <w:bCs w:val="1"/>
                <w:color w:val="auto"/>
              </w:rPr>
              <w:t>Nine Months Ended</w:t>
            </w:r>
          </w:p>
        </w:tc>
        <w:tc>
          <w:tcPr>
            <w:tcW w:w="3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gridSpan w:val="5"/>
          </w:tcPr>
          <w:p>
            <w:pPr>
              <w:jc w:val="center"/>
              <w:spacing w:after="0" w:line="106" w:lineRule="exact"/>
              <w:rPr>
                <w:sz w:val="20"/>
                <w:szCs w:val="20"/>
                <w:color w:val="auto"/>
              </w:rPr>
            </w:pPr>
            <w:r>
              <w:rPr>
                <w:rFonts w:ascii="Arial" w:cs="Arial" w:eastAsia="Arial" w:hAnsi="Arial"/>
                <w:sz w:val="12"/>
                <w:szCs w:val="12"/>
                <w:b w:val="1"/>
                <w:bCs w:val="1"/>
                <w:color w:val="auto"/>
              </w:rPr>
              <w:t>Nine Months Ended</w:t>
            </w: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gridSpan w:val="6"/>
          </w:tcPr>
          <w:p>
            <w:pPr>
              <w:jc w:val="center"/>
              <w:spacing w:after="0" w:line="106" w:lineRule="exact"/>
              <w:rPr>
                <w:sz w:val="20"/>
                <w:szCs w:val="20"/>
                <w:color w:val="auto"/>
              </w:rPr>
            </w:pPr>
            <w:r>
              <w:rPr>
                <w:rFonts w:ascii="Arial" w:cs="Arial" w:eastAsia="Arial" w:hAnsi="Arial"/>
                <w:sz w:val="12"/>
                <w:szCs w:val="12"/>
                <w:b w:val="1"/>
                <w:bCs w:val="1"/>
                <w:color w:val="auto"/>
              </w:rPr>
              <w:t>Nine Months Ended</w:t>
            </w: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ind w:right="1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23"/>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Zero cost collars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2"/>
              </w:rPr>
              <w:t>(42)</w:t>
            </w: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40" w:type="dxa"/>
            <w:vAlign w:val="bottom"/>
          </w:tcPr>
          <w:p>
            <w:pPr>
              <w:ind w:left="80"/>
              <w:spacing w:after="0"/>
              <w:rPr>
                <w:sz w:val="20"/>
                <w:szCs w:val="20"/>
                <w:color w:val="auto"/>
              </w:rPr>
            </w:pPr>
            <w:r>
              <w:rPr>
                <w:rFonts w:ascii="Arial" w:cs="Arial" w:eastAsia="Arial" w:hAnsi="Arial"/>
                <w:sz w:val="18"/>
                <w:szCs w:val="18"/>
                <w:color w:val="auto"/>
              </w:rPr>
              <w:t>Net sales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Other income,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(42)</w:t>
            </w:r>
          </w:p>
        </w:tc>
        <w:tc>
          <w:tcPr>
            <w:tcW w:w="1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vMerge w:val="restart"/>
          </w:tcPr>
          <w:p>
            <w:pPr>
              <w:jc w:val="right"/>
              <w:ind w:right="723"/>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September 30, 2017, the amount expected to be reclassified from accumulated other comprehensive income (loss) into loss within the next twelve months is $1,067 thousand.</w:t>
      </w:r>
    </w:p>
    <w:p>
      <w:pPr>
        <w:spacing w:after="0" w:line="170" w:lineRule="exact"/>
        <w:rPr>
          <w:sz w:val="20"/>
          <w:szCs w:val="20"/>
          <w:color w:val="auto"/>
        </w:rPr>
      </w:pPr>
    </w:p>
    <w:p>
      <w:pPr>
        <w:ind w:right="580" w:firstLine="456"/>
        <w:spacing w:after="0" w:line="286" w:lineRule="auto"/>
        <w:rPr>
          <w:sz w:val="20"/>
          <w:szCs w:val="20"/>
          <w:color w:val="auto"/>
        </w:rPr>
      </w:pPr>
      <w:r>
        <w:rPr>
          <w:rFonts w:ascii="Arial" w:cs="Arial" w:eastAsia="Arial" w:hAnsi="Arial"/>
          <w:sz w:val="17"/>
          <w:szCs w:val="17"/>
          <w:color w:val="auto"/>
        </w:rPr>
        <w:t>The Company set aside $8,700 thousand and $2,500 thousand cash deposits to the counterparty, Nomura Financial Investment (Korea) Co., Ltd. (“NFIK”) for the zero cost collar and forward contracts outstanding as of September 30, 2017 and for the zero cost collar contracts outstanding as of December 31, 2016, respectively. These cash deposits are recorded as hedge collateral on the consolidated balance sheets.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is required to deposit additional cash collateral with NFIK for any exposure in excess of $500 thousand, and $820 thousand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$650 thousand of additional cash collateral were required and recorded as hedge collateral on the consolidated balance sheets as of September 30, 2017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respectively. These outstanding zero cost collar contracts and forward contracts are subject to termination if the sum of qualified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unrestricted cash and cash equivalents held by the Company is less than $30,000 thousand on the last day of a fiscal quarter.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As of September 30, 2017,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54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Other</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4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54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Measurement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Asset (Level 1)</w:t>
            </w:r>
          </w:p>
        </w:tc>
        <w:tc>
          <w:tcPr>
            <w:tcW w:w="540" w:type="dxa"/>
            <w:vAlign w:val="bottom"/>
          </w:tcPr>
          <w:p>
            <w:pPr>
              <w:spacing w:after="0"/>
              <w:rPr>
                <w:sz w:val="14"/>
                <w:szCs w:val="14"/>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6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Derivative liabilities (other current liabilities)</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1,524</w:t>
            </w:r>
          </w:p>
        </w:tc>
        <w:tc>
          <w:tcPr>
            <w:tcW w:w="520" w:type="dxa"/>
            <w:vAlign w:val="bottom"/>
          </w:tcPr>
          <w:p>
            <w:pPr>
              <w:spacing w:after="0"/>
              <w:rPr>
                <w:sz w:val="20"/>
                <w:szCs w:val="20"/>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   1,524</w:t>
            </w:r>
          </w:p>
        </w:tc>
        <w:tc>
          <w:tcPr>
            <w:tcW w:w="540" w:type="dxa"/>
            <w:vAlign w:val="bottom"/>
          </w:tcPr>
          <w:p>
            <w:pPr>
              <w:spacing w:after="0"/>
              <w:rPr>
                <w:sz w:val="20"/>
                <w:szCs w:val="20"/>
                <w:color w:val="auto"/>
              </w:rPr>
            </w:pP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As of December 31, 2016, the following table represents the Company’s liabilities measured at fair value on a recurring basis and the basis for that measurement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Quoted Prices in</w:t>
            </w:r>
          </w:p>
        </w:tc>
        <w:tc>
          <w:tcPr>
            <w:tcW w:w="13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Significant</w:t>
            </w: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92"/>
              </w:rPr>
              <w:t>Fair Value</w:t>
            </w: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3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Inputs</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Measurement</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Asset (Level 1)</w:t>
            </w:r>
          </w:p>
        </w:tc>
        <w:tc>
          <w:tcPr>
            <w:tcW w:w="100" w:type="dxa"/>
            <w:vAlign w:val="bottom"/>
          </w:tcPr>
          <w:p>
            <w:pPr>
              <w:spacing w:after="0"/>
              <w:rPr>
                <w:sz w:val="14"/>
                <w:szCs w:val="14"/>
                <w:color w:val="auto"/>
              </w:rPr>
            </w:pPr>
          </w:p>
        </w:tc>
        <w:tc>
          <w:tcPr>
            <w:tcW w:w="12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(Level 2)</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Derivative liabilities (other current liabilities)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453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453</w:t>
            </w:r>
          </w:p>
        </w:tc>
        <w:tc>
          <w:tcPr>
            <w:tcW w:w="16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453</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Items not reflected in the table above include cash and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Borrowings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 2016</w:t>
            </w:r>
          </w:p>
        </w:tc>
      </w:tr>
      <w:tr>
        <w:trPr>
          <w:trHeight w:val="119"/>
        </w:trPr>
        <w:tc>
          <w:tcPr>
            <w:tcW w:w="4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860" w:type="dxa"/>
            <w:vAlign w:val="bottom"/>
            <w:tcBorders>
              <w:top w:val="single" w:sz="8" w:color="auto"/>
            </w:tcBorders>
          </w:tcPr>
          <w:p>
            <w:pPr>
              <w:jc w:val="center"/>
              <w:ind w:left="122"/>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60" w:type="dxa"/>
            <w:vAlign w:val="bottom"/>
          </w:tcPr>
          <w:p>
            <w:pPr>
              <w:spacing w:after="0"/>
              <w:rPr>
                <w:sz w:val="10"/>
                <w:szCs w:val="10"/>
                <w:color w:val="auto"/>
              </w:rPr>
            </w:pPr>
          </w:p>
        </w:tc>
      </w:tr>
      <w:tr>
        <w:trPr>
          <w:trHeight w:val="171"/>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4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99"/>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2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40" w:type="dxa"/>
            <w:vAlign w:val="bottom"/>
          </w:tcPr>
          <w:p>
            <w:pPr>
              <w:ind w:left="360"/>
              <w:spacing w:after="0"/>
              <w:rPr>
                <w:sz w:val="20"/>
                <w:szCs w:val="20"/>
                <w:color w:val="auto"/>
              </w:rPr>
            </w:pPr>
            <w:r>
              <w:rPr>
                <w:rFonts w:ascii="Arial" w:cs="Arial" w:eastAsia="Arial" w:hAnsi="Arial"/>
                <w:sz w:val="18"/>
                <w:szCs w:val="18"/>
                <w:color w:val="auto"/>
                <w:w w:val="95"/>
              </w:rPr>
              <w:t>5.0% Exchangeable Senior Notes due March 2021 (Level 2)</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81,247</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0"/>
              </w:rPr>
              <w:t>$130,123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6.625% Senior Notes due July 2021 (Level 2)</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221,647</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$219,656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86"/>
              </w:rPr>
              <w:t>221,082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193,500</w:t>
            </w:r>
          </w:p>
        </w:tc>
      </w:tr>
      <w:tr>
        <w:trPr>
          <w:trHeight w:val="365"/>
        </w:trPr>
        <w:tc>
          <w:tcPr>
            <w:tcW w:w="4940" w:type="dxa"/>
            <w:vAlign w:val="bottom"/>
          </w:tcPr>
          <w:p>
            <w:pPr>
              <w:spacing w:after="0"/>
              <w:rPr>
                <w:sz w:val="24"/>
                <w:szCs w:val="24"/>
                <w:color w:val="auto"/>
              </w:rPr>
            </w:pPr>
          </w:p>
        </w:tc>
        <w:tc>
          <w:tcPr>
            <w:tcW w:w="1700" w:type="dxa"/>
            <w:vAlign w:val="bottom"/>
          </w:tcPr>
          <w:p>
            <w:pPr>
              <w:jc w:val="right"/>
              <w:ind w:right="12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The Company estimates the fair value of the Exchangeable Notes using the market approach, which utilizes quoted market prices that fall under Level 2. For further description of the Exchangeable Notes, see Note 9, “Long-term Borrowings”.</w:t>
      </w:r>
    </w:p>
    <w:p>
      <w:pPr>
        <w:spacing w:after="0" w:line="15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July 18, 2013, the Company issued 6.625% senior notes due July 15, 2021 (the “2021 Notes”) of $225,000 thousand, which represents the principal amount, excluding $1,125 thousand of original issue discount and $5,120 thousand of debt issuance costs. The Company estimates the fair value of the 2021 Notes using the market approach, which utilizes quoted market prices that fall under Level 2. For further description of the 2021 Notes, see Note 9, “Long-term Borrowings”.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September 30, 2017 and 2016, the Company did not have any assets or liabilities measured at fair value on a non-recurring basis.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Borrowings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borrowings as of September 30, 2017 and December 31, 2016 are as follows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225,000</w:t>
            </w:r>
          </w:p>
        </w:tc>
        <w:tc>
          <w:tcPr>
            <w:tcW w:w="340" w:type="dxa"/>
            <w:vAlign w:val="bottom"/>
          </w:tcPr>
          <w:p>
            <w:pPr>
              <w:spacing w:after="0"/>
              <w:rPr>
                <w:sz w:val="18"/>
                <w:szCs w:val="18"/>
                <w:color w:val="auto"/>
              </w:rPr>
            </w:pP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225,000</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(3,918)</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302,894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221,082</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7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6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Exchangeable Notes Indenture contains covenants that limit the ability of the Company, MagnaChip Semiconductor S.A. and the Company’s other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8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the nine months ended September 30, 2017 was $3,942 thousand.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On July 18, 2013, the Company issued $225,000,000 aggregate principal amount of the 2021 Notes at a price of 99.5%. Interest on the 2021 Notes accrues at a rate of 6.625% per annum, payable semi-annually on January 15 and July 15 of each year, beginning on January 15, 2014.</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can optionally redeem all or a part of the 2021 Notes according to the following schedule: on or after July 15, 2017, the Company may on any one or more occasions redeem all or a part of the 2021 Notes, at a redemption price equal to 103.313%, 101.656% and 100% of the principal amount of the notes redeemed on or after July 15, 2017, 2018 and 2019, respectively, plus accrued and unpaid interest and special interest, if any, on the notes redeemed, to the applicable date of redemption.</w:t>
      </w:r>
    </w:p>
    <w:p>
      <w:pPr>
        <w:spacing w:after="0" w:line="187" w:lineRule="exact"/>
        <w:rPr>
          <w:sz w:val="20"/>
          <w:szCs w:val="20"/>
          <w:color w:val="auto"/>
        </w:rPr>
      </w:pPr>
    </w:p>
    <w:p>
      <w:pPr>
        <w:ind w:right="280" w:firstLine="456"/>
        <w:spacing w:after="0" w:line="288" w:lineRule="auto"/>
        <w:rPr>
          <w:sz w:val="20"/>
          <w:szCs w:val="20"/>
          <w:color w:val="auto"/>
        </w:rPr>
      </w:pPr>
      <w:r>
        <w:rPr>
          <w:rFonts w:ascii="Arial" w:cs="Arial" w:eastAsia="Arial" w:hAnsi="Arial"/>
          <w:sz w:val="16"/>
          <w:szCs w:val="16"/>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w:t>
      </w:r>
    </w:p>
    <w:p>
      <w:pPr>
        <w:ind w:right="360" w:firstLine="8"/>
        <w:spacing w:after="0" w:line="281"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enter into certain types of transactions with affiliates; (viii) guarantee the payment of any indebtedness; (ix) enter into sale-leaseback transactions;</w:t>
      </w:r>
    </w:p>
    <w:p>
      <w:pPr>
        <w:spacing w:after="0" w:line="20" w:lineRule="exact"/>
        <w:rPr>
          <w:rFonts w:ascii="Arial" w:cs="Arial" w:eastAsia="Arial" w:hAnsi="Arial"/>
          <w:sz w:val="17"/>
          <w:szCs w:val="17"/>
          <w:color w:val="auto"/>
        </w:rPr>
      </w:pPr>
    </w:p>
    <w:p>
      <w:pPr>
        <w:ind w:right="40" w:firstLine="8"/>
        <w:spacing w:after="0" w:line="28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designate unrestricted subsidiaries.</w:t>
      </w:r>
    </w:p>
    <w:p>
      <w:pPr>
        <w:spacing w:after="0" w:line="21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incurred original issue discount of $1,125 thousand and debt issuance costs of $5,120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expenses related to the 2021 Notes for the nine months ended September 30, 2017 and 2016 were $11,744 thousand and $11,706 thousand, respectively.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Severance Benefits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2017, 98% of employees of the Company were eligible for severance benefits.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Three</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Nine</w:t>
            </w:r>
          </w:p>
        </w:tc>
        <w:tc>
          <w:tcPr>
            <w:tcW w:w="1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Three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Nine</w:t>
            </w:r>
          </w:p>
        </w:tc>
      </w:tr>
      <w:tr>
        <w:trPr>
          <w:trHeight w:val="149"/>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Months</w:t>
            </w: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8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Months</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Months</w:t>
            </w:r>
          </w:p>
        </w:tc>
      </w:tr>
      <w:tr>
        <w:trPr>
          <w:trHeight w:val="17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6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760" w:type="dxa"/>
            <w:vAlign w:val="bottom"/>
            <w:tcBorders>
              <w:top w:val="single" w:sz="8" w:color="auto"/>
              <w:bottom w:val="single" w:sz="8" w:color="auto"/>
            </w:tcBorders>
            <w:gridSpan w:val="4"/>
          </w:tcPr>
          <w:p>
            <w:pPr>
              <w:jc w:val="right"/>
              <w:ind w:right="195"/>
              <w:spacing w:after="0" w:line="142" w:lineRule="exact"/>
              <w:rPr>
                <w:sz w:val="20"/>
                <w:szCs w:val="20"/>
                <w:color w:val="auto"/>
              </w:rPr>
            </w:pPr>
            <w:r>
              <w:rPr>
                <w:rFonts w:ascii="Arial" w:cs="Arial" w:eastAsia="Arial" w:hAnsi="Arial"/>
                <w:sz w:val="14"/>
                <w:szCs w:val="14"/>
                <w:b w:val="1"/>
                <w:bCs w:val="1"/>
                <w:color w:val="auto"/>
              </w:rPr>
              <w:t>September 30, 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780" w:type="dxa"/>
            <w:vAlign w:val="bottom"/>
            <w:tcBorders>
              <w:top w:val="single" w:sz="8" w:color="auto"/>
              <w:bottom w:val="single" w:sz="8" w:color="auto"/>
            </w:tcBorders>
            <w:gridSpan w:val="3"/>
          </w:tcPr>
          <w:p>
            <w:pPr>
              <w:jc w:val="right"/>
              <w:ind w:right="215"/>
              <w:spacing w:after="0" w:line="142" w:lineRule="exact"/>
              <w:rPr>
                <w:sz w:val="20"/>
                <w:szCs w:val="20"/>
                <w:color w:val="auto"/>
              </w:rPr>
            </w:pPr>
            <w:r>
              <w:rPr>
                <w:rFonts w:ascii="Arial" w:cs="Arial" w:eastAsia="Arial" w:hAnsi="Arial"/>
                <w:sz w:val="14"/>
                <w:szCs w:val="14"/>
                <w:b w:val="1"/>
                <w:bCs w:val="1"/>
                <w:color w:val="auto"/>
              </w:rPr>
              <w:t>September 30, 2016</w:t>
            </w:r>
          </w:p>
        </w:tc>
        <w:tc>
          <w:tcPr>
            <w:tcW w:w="10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$130,894</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$130,144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$132,800</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$135,160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Provisions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4,578</w:t>
            </w:r>
          </w:p>
        </w:tc>
        <w:tc>
          <w:tcPr>
            <w:tcW w:w="3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15,354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3,782</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13,609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(1,496)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(19,578)</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(1,076)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(852)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7,204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8,350</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9,265</w:t>
            </w:r>
          </w:p>
        </w:tc>
      </w:tr>
      <w:tr>
        <w:trPr>
          <w:trHeight w:val="27"/>
        </w:trPr>
        <w:tc>
          <w:tcPr>
            <w:tcW w:w="6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133,124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143,856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143,856</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(243)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(243)</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(305)</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Group severance insurance plan</w:t>
            </w:r>
          </w:p>
        </w:tc>
        <w:tc>
          <w:tcPr>
            <w:tcW w:w="11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(593)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132,288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132,288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142,846</w:t>
            </w: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142,846</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severance benefits funded through the Company’s National Pension Fund and group severance insurance plan will be used exclusively for payment of severance benefits to eligible employees. These amounts have been deducted from the accrued severance benefit balance.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is liable to pay the following future benefits to its non-executive employees upon their normal retirement age (in thousands):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760" w:type="dxa"/>
            <w:vAlign w:val="bottom"/>
            <w:gridSpan w:val="4"/>
          </w:tcPr>
          <w:p>
            <w:pPr>
              <w:ind w:left="2600"/>
              <w:spacing w:after="0"/>
              <w:rPr>
                <w:sz w:val="20"/>
                <w:szCs w:val="20"/>
                <w:color w:val="auto"/>
              </w:rPr>
            </w:pPr>
            <w:r>
              <w:rPr>
                <w:rFonts w:ascii="Arial" w:cs="Arial" w:eastAsia="Arial" w:hAnsi="Arial"/>
                <w:sz w:val="14"/>
                <w:szCs w:val="14"/>
                <w:b w:val="1"/>
                <w:bCs w:val="1"/>
                <w:color w:val="auto"/>
                <w:w w:val="95"/>
              </w:rPr>
              <w:t>Severance benefit</w:t>
            </w: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26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2018</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2020</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1,004</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2022</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2023 – 2027</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Korea’s mandatory retirement age is 60 under the Employment Promotion for the Aged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Foreign Currency Gain, Net</w:t>
      </w:r>
    </w:p>
    <w:p>
      <w:pPr>
        <w:spacing w:after="0" w:line="12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Net foreign currency gain or loss includes non-cash translation gain or loss associated with intercompany balances. A substantial portion of the Company’s net foreign currency gain or loss is non-cash translation gain or loss associated with intercompany long-term loans to the Company’s Korean subsidiary. The loans are denominated in U.S. dollars and are affected by changes in the exchange rate between the Korean won and the U.S. dollar. As of September 30, 2017, the outstanding intercompany loan balance including accrued interests between the Korean subsidiary and the Dutch subsidiary was $669,637 thousand. This amount includes a newly executed intercompany loan of $75,000 thousand during the first quarter of 2017, which was used to transfer a portion of the net proceeds from the Exchangeable Notes Offering from the Company’s Luxembourg’s subsidiary to its Dutch subsidiary, and then to the Korean subsidiary. The Korean won to U.S. dollar exchange rates were 1,146.7:1 and 1,208.5:1 using the first base rate as of September 30, 2017 and December 31, 2016, respectively, as quoted by the KEB Hana Bank.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 and Other Charges (Gain),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21, 2016, the Company entered into a purchase and sale agreement to sell a building located in Cheongju, South Korea. The building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has historically been used to house the Company’s six-inch fabrication facility in Cheongju, South Korea (the “6-inch fab”) and became vacant upon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closure of the fabrication facility in February 2016. As of December 31, 2015, the building was fully impaired. The Company received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$18,204 thousand, including a $1,655 thousand value-added tax, for the sale of the building in December 2016. As the Company was obligated to perform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removal construction work, it recorded the $18,204 thousand proceeds as restricted cash and $16,549 thousand as deposits received in its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sheets as of December 31, 2016. During the first quarter of 2017, the Company completed all removal construction work necessary to transfer the title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building, and the $18,204 thousand of restricted cash was fully released. Accordingly, the Company recorded $16,635 thousand as restructuring gain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statements of operations for the three months ended March 31, 2017.</w:t>
      </w:r>
    </w:p>
    <w:p>
      <w:pPr>
        <w:spacing w:after="0" w:line="21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March 2017, the Company sold its sensor product business, which was included in and reported as part of Display Solutions line of its Standard Products Group, to a third party for proceeds of $1,295 thousand, in an effort to improve our overall profitability. The Company recorded $375 thousand net gain from this sale after deducting the book values of certain assets transferred to the buyer.</w:t>
      </w:r>
    </w:p>
    <w:p>
      <w:pPr>
        <w:spacing w:after="0" w:line="18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During the first quarter of 2016, the Company completed all procedures necessary to sell all machinery in its closed 6-inch fab and recognized the $7,785 thousand of restructuring gain from the related deposit of $8,165 thousand received as of December 31, 2015, net of certain direct selling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Early Termination Charges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February 22, 2017, the Company’s Board of Directors approved the implementation of a new headcount reduction plan (the “Headcount Reduction Plan”). As of June 30, 2017, 352 employees elected to resign from the Company during the period in which the Headcount Reduction Plan was offered. The total cash cost of approximately $31 million has been fully paid. The Company recorded in its consolidated statement of operations $11.1 million and $2.3 million in termination related charges as early termination charges for the three months ended March 31, 2017 and June 30, 2017, respectively. The remaining total estimated cost relates to statutory severance benefits, which are required by law and have already been fully accrued in the Company’s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Company files income tax returns in the U.S., Korea, Japan, Taiwan and various other jurisdictions. The Company is subject to income- or non-income-based tax examinations by tax authorities of the U.S., Korea and multiple other foreign jurisdictions, where applicable, for all open tax years.</w:t>
      </w:r>
    </w:p>
    <w:p>
      <w:pPr>
        <w:spacing w:after="0" w:line="12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Company’s Korean subsidiary is the primary operating subsidiary of the Company. For the nine months ended September 30, 2017 and 2016, no income tax expense or benefit for the Korean subsidiary was recorded due to net operating loss carry-forwards available to offset taxable income and full allowance for deferred tax assets.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Income tax expense recorded for the nine months ended September 30, 2017 and 2016 was $2,328 thousand and $1,845 thousand, respectively. The increase in income tax expenses was primarily attributable to changes in unrecognized tax benefits as a result of a lapse of the applicable statute of limitations in the Korean subsidiary and an increase in accrued interests on intercompany loans.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September 2017, the Company’s Korean subsidiary was notified that the Korean National Tax Service would be examining the income- and non-income-based taxes for the Company’s Korean subsidiary for its 2012 to 2014 tax years. The Company cannot currently reasonably anticipate the results of such examinations.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 and Segment Information</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Company has two operating segments: Foundry Services Group and Standard Products Group. The Company’s chief operating decision maker is its Chief Executive Officer who allocates resources and assesses performance of the business and other activities based on gross profit.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operating segment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8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80,404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73,863</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239,460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196,152</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720"/>
              <w:spacing w:after="0"/>
              <w:rPr>
                <w:sz w:val="20"/>
                <w:szCs w:val="20"/>
                <w:color w:val="auto"/>
              </w:rPr>
            </w:pPr>
            <w:r>
              <w:rPr>
                <w:rFonts w:ascii="Arial" w:cs="Arial" w:eastAsia="Arial" w:hAnsi="Arial"/>
                <w:sz w:val="18"/>
                <w:szCs w:val="18"/>
                <w:color w:val="auto"/>
              </w:rPr>
              <w:t>Display Solutions</w:t>
            </w: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57,236</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84,706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155,868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217,171</w:t>
            </w: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Power Solutions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39,001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33,619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109,595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93,750</w:t>
            </w:r>
          </w:p>
        </w:tc>
      </w:tr>
      <w:tr>
        <w:trPr>
          <w:trHeight w:val="223"/>
        </w:trPr>
        <w:tc>
          <w:tcPr>
            <w:tcW w:w="5180" w:type="dxa"/>
            <w:vAlign w:val="bottom"/>
          </w:tcPr>
          <w:p>
            <w:pPr>
              <w:ind w:left="360"/>
              <w:spacing w:after="0"/>
              <w:rPr>
                <w:sz w:val="20"/>
                <w:szCs w:val="20"/>
                <w:color w:val="auto"/>
              </w:rPr>
            </w:pPr>
            <w:r>
              <w:rPr>
                <w:rFonts w:ascii="Arial" w:cs="Arial" w:eastAsia="Arial" w:hAnsi="Arial"/>
                <w:sz w:val="18"/>
                <w:szCs w:val="18"/>
                <w:color w:val="auto"/>
              </w:rPr>
              <w:t>Total Standard Products Group</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96,237</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118,325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6"/>
              </w:rPr>
              <w:t>265,463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310,921</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 other</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23"/>
        </w:trPr>
        <w:tc>
          <w:tcPr>
            <w:tcW w:w="5180" w:type="dxa"/>
            <w:vAlign w:val="bottom"/>
          </w:tcPr>
          <w:p>
            <w:pPr>
              <w:ind w:left="720"/>
              <w:spacing w:after="0"/>
              <w:rPr>
                <w:sz w:val="20"/>
                <w:szCs w:val="20"/>
                <w:color w:val="auto"/>
              </w:rPr>
            </w:pPr>
            <w:r>
              <w:rPr>
                <w:rFonts w:ascii="Arial" w:cs="Arial" w:eastAsia="Arial" w:hAnsi="Arial"/>
                <w:sz w:val="18"/>
                <w:szCs w:val="18"/>
                <w:color w:val="auto"/>
              </w:rPr>
              <w:t>Total net sales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176,697</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192,296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505,092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507,507</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6"/>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8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Foundry Services Group</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24,374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17,340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69,894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45,820</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Standard Products Group</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25,880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64,836</w:t>
            </w: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(519)</w:t>
            </w:r>
          </w:p>
        </w:tc>
      </w:tr>
      <w:tr>
        <w:trPr>
          <w:trHeight w:val="27"/>
        </w:trPr>
        <w:tc>
          <w:tcPr>
            <w:tcW w:w="5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profit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39,139</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138,542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110,137</w:t>
            </w: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net sales by geographic region, based on the location to which the products are billed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480" w:type="dxa"/>
            <w:vAlign w:val="bottom"/>
            <w:tcBorders>
              <w:top w:val="single" w:sz="8" w:color="auto"/>
            </w:tcBorders>
            <w:gridSpan w:val="3"/>
          </w:tcPr>
          <w:p>
            <w:pPr>
              <w:ind w:left="6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83,221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10,492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176,697</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480" w:type="dxa"/>
            <w:vAlign w:val="bottom"/>
            <w:tcBorders>
              <w:top w:val="single" w:sz="8" w:color="auto"/>
            </w:tcBorders>
            <w:gridSpan w:val="3"/>
          </w:tcPr>
          <w:p>
            <w:pPr>
              <w:ind w:left="6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239,209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Europe</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29,070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505,092</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020" w:type="dxa"/>
            <w:vAlign w:val="bottom"/>
            <w:vMerge w:val="restart"/>
          </w:tcPr>
          <w:p>
            <w:pPr>
              <w:jc w:val="right"/>
              <w:ind w:right="1750"/>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Net sales from the Company’s top ten largest customers accounted for 58% and 69% for the three months ended September 30, 2017 and 2016, respectively, and 59% and 65% for the nine months ended September 30, 2017 and 2016, respectively.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September 30, 2017, the Company had one customer that represented 16.9% of its net sales, and for the nine months ended September 30, 2017, the Company had one customer that represented 15.6% of its net sales.</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For the three months ended September 30, 2016, the Company had two customers that represented 27.8% and 11.2% of its net sales, respectively, and for the nine months ended September 30, 2016, the Company had two customers that represented 25.6% and 11.1% of its net sales,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 of the Company’s property, plant and equipment are located in Korea as of September 30,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Accumulated other comprehensive income (loss) consists of the following as of September 30, 2017 and December 31, 2016, respectively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860" w:type="dxa"/>
            <w:vAlign w:val="bottom"/>
            <w:gridSpan w:val="4"/>
          </w:tcPr>
          <w:p>
            <w:pPr>
              <w:jc w:val="center"/>
              <w:ind w:left="1119"/>
              <w:spacing w:after="0"/>
              <w:rPr>
                <w:sz w:val="20"/>
                <w:szCs w:val="20"/>
                <w:color w:val="auto"/>
              </w:rPr>
            </w:pPr>
            <w:r>
              <w:rPr>
                <w:rFonts w:ascii="Arial" w:cs="Arial" w:eastAsia="Arial" w:hAnsi="Arial"/>
                <w:sz w:val="14"/>
                <w:szCs w:val="14"/>
                <w:b w:val="1"/>
                <w:bCs w:val="1"/>
                <w:color w:val="auto"/>
                <w:w w:val="89"/>
              </w:rPr>
              <w:t>September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0"/>
              </w:rPr>
              <w:t>(8,810)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Derivative adjustments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(1,067)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(9,877)</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accumulated other comprehensive income (loss) for the three months ended September 30, 2017 and 2016 are as follows (in thousands):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2017</w:t>
            </w:r>
          </w:p>
        </w:tc>
        <w:tc>
          <w:tcPr>
            <w:tcW w:w="44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(11,502</w:t>
            </w:r>
          </w:p>
        </w:tc>
        <w:tc>
          <w:tcPr>
            <w:tcW w:w="300" w:type="dxa"/>
            <w:vAlign w:val="bottom"/>
            <w:tcBorders>
              <w:top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 2016</w:t>
            </w:r>
          </w:p>
        </w:tc>
        <w:tc>
          <w:tcPr>
            <w:tcW w:w="44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(27,340)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(27,423)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(27,340)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(27,423)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(27,383)</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(27,466)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ind w:left="470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accumulated other comprehensive income (loss) for the nine months ended September 30, 2017 and 2016 are as follows (in thousands):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2017</w:t>
            </w:r>
          </w:p>
        </w:tc>
        <w:tc>
          <w:tcPr>
            <w:tcW w:w="44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before reclassifications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(23,270)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(22,554)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(23,270)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(23,901)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(8,810)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2016</w:t>
            </w:r>
          </w:p>
        </w:tc>
        <w:tc>
          <w:tcPr>
            <w:tcW w:w="44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adjustments</w:t>
            </w:r>
          </w:p>
        </w:tc>
        <w:tc>
          <w:tcPr>
            <w:tcW w:w="2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 before reclassifications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(27,193)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(27,235)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Amounts reclassified from accumulated other comprehensive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loss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(27,193)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(27,235)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(27,383)</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(27,466)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There was no income tax impact related to changes in accumulated other comprehensive income (loss) for the three and nine months ended September 30, 2017 and 2016 due to net operating loss carry-forwards available to offset taxable income and full allowance for deferred tax assets.</w:t>
      </w:r>
    </w:p>
    <w:p>
      <w:pPr>
        <w:spacing w:after="0" w:line="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240" w:top="459" w:right="5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and diluted earnings per common share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w:t>
      </w:r>
    </w:p>
    <w:p>
      <w:pPr>
        <w:sectPr>
          <w:pgSz w:w="11900" w:h="16838" w:orient="portrait"/>
          <w:cols w:equalWidth="0" w:num="1">
            <w:col w:w="11100"/>
          </w:cols>
          <w:pgMar w:left="240" w:top="45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-119380</wp:posOffset>
            </wp:positionV>
            <wp:extent cx="55054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income</w:t>
      </w:r>
    </w:p>
    <w:p>
      <w:pPr>
        <w:spacing w:after="0" w:line="4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Basic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Basic earnings per share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Add back: Interest expense on Exchangeable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Net income allocated to common stockholders</w:t>
      </w:r>
    </w:p>
    <w:p>
      <w:pPr>
        <w:spacing w:after="0" w:line="4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Basic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effect of dilutive equity awards</w:t>
      </w:r>
    </w:p>
    <w:p>
      <w:pPr>
        <w:spacing w:after="0" w:line="9" w:lineRule="exact"/>
        <w:rPr>
          <w:sz w:val="20"/>
          <w:szCs w:val="20"/>
          <w:color w:val="auto"/>
        </w:rPr>
      </w:pPr>
    </w:p>
    <w:p>
      <w:pPr>
        <w:ind w:left="1560" w:right="20" w:hanging="179"/>
        <w:spacing w:after="0" w:line="257" w:lineRule="auto"/>
        <w:rPr>
          <w:sz w:val="20"/>
          <w:szCs w:val="20"/>
          <w:color w:val="auto"/>
        </w:rPr>
      </w:pPr>
      <w:r>
        <w:rPr>
          <w:rFonts w:ascii="Arial" w:cs="Arial" w:eastAsia="Arial" w:hAnsi="Arial"/>
          <w:sz w:val="18"/>
          <w:szCs w:val="18"/>
          <w:color w:val="auto"/>
        </w:rPr>
        <w:t>Net effect of assumed conversion of 5.0% Exchangeable Notes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-280670</wp:posOffset>
            </wp:positionV>
            <wp:extent cx="550545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ind w:left="1380" w:right="1580"/>
        <w:spacing w:after="0" w:line="277" w:lineRule="auto"/>
        <w:rPr>
          <w:sz w:val="20"/>
          <w:szCs w:val="20"/>
          <w:color w:val="auto"/>
        </w:rPr>
      </w:pPr>
      <w:r>
        <w:rPr>
          <w:rFonts w:ascii="Arial" w:cs="Arial" w:eastAsia="Arial" w:hAnsi="Arial"/>
          <w:sz w:val="18"/>
          <w:szCs w:val="18"/>
          <w:color w:val="auto"/>
        </w:rPr>
        <w:t>Diluted weighted average common stock outstanding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-156210</wp:posOffset>
            </wp:positionV>
            <wp:extent cx="55054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-119380</wp:posOffset>
            </wp:positionV>
            <wp:extent cx="55054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income</w:t>
      </w:r>
    </w:p>
    <w:p>
      <w:pPr>
        <w:spacing w:after="0" w:line="4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Basic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Basic earnings per share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Add back: Interest expense on Exchangeable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Net income allocated to common stockholders</w:t>
      </w:r>
    </w:p>
    <w:p>
      <w:pPr>
        <w:spacing w:after="0" w:line="4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Basic weighted average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effect of dilutive equity awards</w:t>
      </w:r>
    </w:p>
    <w:p>
      <w:pPr>
        <w:spacing w:after="0" w:line="9" w:lineRule="exact"/>
        <w:rPr>
          <w:sz w:val="20"/>
          <w:szCs w:val="20"/>
          <w:color w:val="auto"/>
        </w:rPr>
      </w:pPr>
    </w:p>
    <w:p>
      <w:pPr>
        <w:ind w:left="1560" w:right="20" w:hanging="179"/>
        <w:spacing w:after="0" w:line="257" w:lineRule="auto"/>
        <w:rPr>
          <w:sz w:val="20"/>
          <w:szCs w:val="20"/>
          <w:color w:val="auto"/>
        </w:rPr>
      </w:pPr>
      <w:r>
        <w:rPr>
          <w:rFonts w:ascii="Arial" w:cs="Arial" w:eastAsia="Arial" w:hAnsi="Arial"/>
          <w:sz w:val="18"/>
          <w:szCs w:val="18"/>
          <w:color w:val="auto"/>
        </w:rPr>
        <w:t>Net effect of assumed conversion of 5.0% Exchangeable Notes to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-280670</wp:posOffset>
            </wp:positionV>
            <wp:extent cx="550545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ind w:left="1380" w:right="1580"/>
        <w:spacing w:after="0" w:line="277" w:lineRule="auto"/>
        <w:rPr>
          <w:sz w:val="20"/>
          <w:szCs w:val="20"/>
          <w:color w:val="auto"/>
        </w:rPr>
      </w:pPr>
      <w:r>
        <w:rPr>
          <w:rFonts w:ascii="Arial" w:cs="Arial" w:eastAsia="Arial" w:hAnsi="Arial"/>
          <w:sz w:val="18"/>
          <w:szCs w:val="18"/>
          <w:color w:val="auto"/>
        </w:rPr>
        <w:t>Diluted weighted average common stock outstanding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-156210</wp:posOffset>
            </wp:positionV>
            <wp:extent cx="55054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w w:val="99"/>
              </w:rPr>
              <w:t>(In thousands of US dollars,</w:t>
            </w: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5,604</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29,866</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34,103,029</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34,849,805</w:t>
            </w: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418"/>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5,604</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29,866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7,004</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29,866</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34,103,029</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34,849,805</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991,176</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452,901</w:t>
            </w:r>
          </w:p>
        </w:tc>
      </w:tr>
      <w:tr>
        <w:trPr>
          <w:trHeight w:val="432"/>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10,448,213</w:t>
            </w:r>
          </w:p>
        </w:tc>
        <w:tc>
          <w:tcPr>
            <w:tcW w:w="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45,542,418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35,302,706</w:t>
            </w: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365"/>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11"/>
              <w:spacing w:after="0"/>
              <w:rPr>
                <w:sz w:val="20"/>
                <w:szCs w:val="20"/>
                <w:color w:val="auto"/>
              </w:rPr>
            </w:pPr>
            <w:r>
              <w:rPr>
                <w:rFonts w:ascii="Arial" w:cs="Arial" w:eastAsia="Arial" w:hAnsi="Arial"/>
                <w:sz w:val="14"/>
                <w:szCs w:val="14"/>
                <w:b w:val="1"/>
                <w:bCs w:val="1"/>
                <w:color w:val="auto"/>
                <w:w w:val="94"/>
              </w:rPr>
              <w:t>Nine Months Ended</w:t>
            </w:r>
          </w:p>
        </w:tc>
      </w:tr>
      <w:tr>
        <w:trPr>
          <w:trHeight w:val="119"/>
        </w:trPr>
        <w:tc>
          <w:tcPr>
            <w:tcW w:w="2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66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r>
      <w:tr>
        <w:trPr>
          <w:trHeight w:val="17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4"/>
          </w:tcPr>
          <w:p>
            <w:pPr>
              <w:jc w:val="center"/>
              <w:ind w:right="11"/>
              <w:spacing w:after="0" w:line="119" w:lineRule="exact"/>
              <w:rPr>
                <w:sz w:val="20"/>
                <w:szCs w:val="20"/>
                <w:color w:val="auto"/>
              </w:rPr>
            </w:pPr>
            <w:r>
              <w:rPr>
                <w:rFonts w:ascii="Arial" w:cs="Arial" w:eastAsia="Arial" w:hAnsi="Arial"/>
                <w:sz w:val="13"/>
                <w:szCs w:val="13"/>
                <w:b w:val="1"/>
                <w:bCs w:val="1"/>
                <w:color w:val="auto"/>
                <w:w w:val="99"/>
              </w:rPr>
              <w:t>(In thousands of US dollars,</w:t>
            </w: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1"/>
              </w:rPr>
              <w:t>except share data)</w:t>
            </w:r>
          </w:p>
        </w:tc>
      </w:tr>
      <w:tr>
        <w:trPr>
          <w:trHeight w:val="431"/>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41,283</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20,175</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33,907,581</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34,755,276</w:t>
            </w: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418"/>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41,283</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20,175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45,225</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20,175</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6"/>
              </w:rPr>
              <w:t>33,907,581</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88"/>
              </w:rPr>
              <w:t>34,755,276</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695,427</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322,039</w:t>
            </w:r>
          </w:p>
        </w:tc>
      </w:tr>
      <w:tr>
        <w:trPr>
          <w:trHeight w:val="432"/>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9,835,863</w:t>
            </w:r>
          </w:p>
        </w:tc>
        <w:tc>
          <w:tcPr>
            <w:tcW w:w="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44,438,871</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35,077,315</w:t>
            </w:r>
          </w:p>
        </w:tc>
      </w:tr>
      <w:tr>
        <w:trPr>
          <w:trHeight w:val="230"/>
        </w:trPr>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0.58</w:t>
            </w:r>
          </w:p>
        </w:tc>
      </w:tr>
    </w:tbl>
    <w:p>
      <w:pPr>
        <w:spacing w:after="0" w:line="201" w:lineRule="exact"/>
        <w:rPr>
          <w:sz w:val="20"/>
          <w:szCs w:val="20"/>
          <w:color w:val="auto"/>
        </w:rPr>
      </w:pPr>
    </w:p>
    <w:p>
      <w:pPr>
        <w:sectPr>
          <w:pgSz w:w="11900" w:h="16838" w:orient="portrait"/>
          <w:cols w:equalWidth="0" w:num="2">
            <w:col w:w="6800" w:space="720"/>
            <w:col w:w="3580"/>
          </w:cols>
          <w:pgMar w:left="240" w:top="459" w:right="559" w:bottom="1440" w:gutter="0" w:footer="0" w:header="0"/>
          <w:type w:val="continuous"/>
        </w:sectPr>
      </w:pPr>
    </w:p>
    <w:p>
      <w:pPr>
        <w:ind w:firstLine="456"/>
        <w:spacing w:after="0" w:line="277" w:lineRule="auto"/>
        <w:rPr>
          <w:sz w:val="20"/>
          <w:szCs w:val="20"/>
          <w:color w:val="auto"/>
        </w:rPr>
      </w:pPr>
      <w:r>
        <w:rPr>
          <w:rFonts w:ascii="Arial" w:cs="Arial" w:eastAsia="Arial" w:hAnsi="Arial"/>
          <w:sz w:val="18"/>
          <w:szCs w:val="18"/>
          <w:color w:val="auto"/>
        </w:rPr>
        <w:t>The following outstanding instruments were excluded from the computation of diluted earnings per share, as they have an anti-dilutive effect on the calculation:</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ind w:left="52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4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4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520" w:type="dxa"/>
            <w:vAlign w:val="bottom"/>
          </w:tcPr>
          <w:p>
            <w:pPr>
              <w:spacing w:after="0"/>
              <w:rPr>
                <w:sz w:val="10"/>
                <w:szCs w:val="10"/>
                <w:color w:val="auto"/>
              </w:rPr>
            </w:pPr>
          </w:p>
        </w:tc>
        <w:tc>
          <w:tcPr>
            <w:tcW w:w="14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3400" w:type="dxa"/>
            <w:vAlign w:val="bottom"/>
          </w:tcPr>
          <w:p>
            <w:pPr>
              <w:spacing w:after="0"/>
              <w:rPr>
                <w:sz w:val="14"/>
                <w:szCs w:val="14"/>
                <w:color w:val="auto"/>
              </w:rPr>
            </w:pPr>
          </w:p>
        </w:tc>
        <w:tc>
          <w:tcPr>
            <w:tcW w:w="2840" w:type="dxa"/>
            <w:vAlign w:val="bottom"/>
            <w:gridSpan w:val="2"/>
          </w:tcPr>
          <w:p>
            <w:pPr>
              <w:ind w:left="226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8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4"/>
                <w:szCs w:val="14"/>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880" w:type="dxa"/>
            <w:vAlign w:val="bottom"/>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9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9"/>
              </w:rPr>
              <w:t>809,417</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2,457,955</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860,572</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3,545,576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960" w:type="dxa"/>
            <w:vAlign w:val="bottom"/>
          </w:tcPr>
          <w:p>
            <w:pPr>
              <w:spacing w:after="0"/>
              <w:rPr>
                <w:sz w:val="20"/>
                <w:szCs w:val="20"/>
                <w:color w:val="auto"/>
              </w:rPr>
            </w:pP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20"/>
              <w:spacing w:after="0"/>
              <w:rPr>
                <w:sz w:val="20"/>
                <w:szCs w:val="20"/>
                <w:color w:val="auto"/>
              </w:rPr>
            </w:pPr>
            <w:r>
              <w:rPr>
                <w:rFonts w:ascii="Arial" w:cs="Arial" w:eastAsia="Arial" w:hAnsi="Arial"/>
                <w:sz w:val="18"/>
                <w:szCs w:val="18"/>
                <w:color w:val="auto"/>
              </w:rPr>
              <w:t>—</w:t>
            </w:r>
          </w:p>
        </w:tc>
      </w:tr>
      <w:tr>
        <w:trPr>
          <w:trHeight w:val="350"/>
        </w:trPr>
        <w:tc>
          <w:tcPr>
            <w:tcW w:w="34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23</w:t>
            </w: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Enforcement Staff Review</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March 2014, the Company voluntarily reported to the Securities and Exchange Commission, or the SEC, that the Company’s Audit Committee had determined that the Company incorrectly recognized revenue on 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SEC’s investigation. In that connection,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 administrative order was entered on May 1, 2017. The SEC imposed a monetary penalty of $3,000 thousand on the Company. In the first quarter ended March 31, 2017, the Company established a reserve in that amount for the potential settlement of this matter. The reserved monetary penalty of $3,000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 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 Complaints</w:t>
      </w:r>
    </w:p>
    <w:p>
      <w:pPr>
        <w:spacing w:after="0" w:line="11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The Company recorded the $23,500 thousand of the settlement obligation for the Class Action Litigation as accrued expenses in the consolidated balance sheets as of December 31, 2015 and as selling, general and administrative expenses in the consolidated statements of operations for the year ended December 31, 2015. For further information regarding the Class Action Litigation, see “Part I: Item 3. Legal Proceedings” included elsewhere in the Company’s annual report on Form 10-K for the fiscal year ended December 31, 2016 (the “2016 Form 10-K”). The Company recorded $29,571 thousand of the proceeds from the insurers as other receivables in the consolidated balance sheets as of December 31, 2015 and as a deduction of the selling, general and administrative expenses in the consolidated statements of operations for the year ended December 31, 2015. The proceeds from the insurers of</w:t>
      </w:r>
    </w:p>
    <w:p>
      <w:pPr>
        <w:spacing w:after="0" w:line="5"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$29,571 thousand were deposited into the Company’s escrow account during the first quarter of 2016 and the Company reclassified the $29,571 thousand deposits recorded in other receivables into restricted cash. During the third quarter of 2016, the Company disbursed the aggregate settlement payment of $23,500 thousand after the court granted plaintiffs’ renewed motion for preliminary approval of the settlement in July 2016. Upon the settlement payment, $6,114 thousand of the insurance proceeds remained in the Company’s escrow account. For subsequent treatment of the escrow amount, see “</w:t>
      </w:r>
      <w:r>
        <w:rPr>
          <w:rFonts w:ascii="Arial" w:cs="Arial" w:eastAsia="Arial" w:hAnsi="Arial"/>
          <w:sz w:val="18"/>
          <w:szCs w:val="18"/>
          <w:i w:val="1"/>
          <w:iCs w:val="1"/>
          <w:color w:val="auto"/>
        </w:rPr>
        <w:t>Shareholder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Complaints</w:t>
      </w:r>
      <w:r>
        <w:rPr>
          <w:rFonts w:ascii="Arial" w:cs="Arial" w:eastAsia="Arial" w:hAnsi="Arial"/>
          <w:sz w:val="18"/>
          <w:szCs w:val="18"/>
          <w:color w:val="auto"/>
        </w:rPr>
        <w:t>” below.</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settlement for the shareholder derivative actions described in “Part I: Item 3. Legal Proceedings” of the 2016 Form 10-K provided for an aggregate payment from the Company defendants’ directors and officers insurance policies of $3,000 thousand to be made to an escrow account, which will be payable to the Company (less certain deductions and applicable interest) once the settlement becomes effective. For further information regarding the shareholder derivative actions, see “Part I: Item 3. Legal Proceedings” in the 2016 Form 10-K. The $3,000 thousand settlement payment was included in the insurance proceeds of $29,571 thousand as discussed in “</w:t>
      </w:r>
      <w:r>
        <w:rPr>
          <w:rFonts w:ascii="Arial" w:cs="Arial" w:eastAsia="Arial" w:hAnsi="Arial"/>
          <w:sz w:val="17"/>
          <w:szCs w:val="17"/>
          <w:i w:val="1"/>
          <w:iCs w:val="1"/>
          <w:color w:val="auto"/>
        </w:rPr>
        <w:t>Securities Class Action Complaints</w:t>
      </w:r>
      <w:r>
        <w:rPr>
          <w:rFonts w:ascii="Arial" w:cs="Arial" w:eastAsia="Arial" w:hAnsi="Arial"/>
          <w:sz w:val="17"/>
          <w:szCs w:val="17"/>
          <w:color w:val="auto"/>
        </w:rPr>
        <w:t>” above.</w:t>
      </w:r>
    </w:p>
    <w:p>
      <w:pPr>
        <w:spacing w:after="0" w:line="17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On June 10, 2016, the court granted plaintiffs’ motion for preliminary approval of the proposed settlement. On October 18, 2016, after a hearing held on October 14, 2016, the court entered its order and final judgment (the “Judgment”) granting final approval of the proposed settlement and awarding plaintiffs’ counsel $750 thousand for attorneys’ fees and litigation expenses. As a result, $750 thousand was paid out of the Company’s escrow account. The Judgment was not appealed within the applicable appeals period (on or before December 19, 2016). The settlement therefore became effective after the expiration of the appeals period and $2,258 thousand was paid to the Company from the escrow account, previously recorded as restricted cash, in December 2016. The remaining restricted cash related to insurance proceeds of $3,078 thousand was also released in December 2016.</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2016 Form 10-K.</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Statements made in this Quarterly Report on Form 10-Q (this “Report”), unless the context otherwise requires, that include the use of the terms “we,” “us,” “our” and “MagnaChip” refer to MagnaChip Semiconductor Corporation and its consolidated subsidiaries. The term “Korea” refers to the Republic of Korea or South Korea.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consolidated financial statements and the related notes included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over 30 years of operating history, a portfolio of approximately 3,300 registered patents and pending applications and extensive engineering and manufacturing process expertise.</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panel display solutions to major suppliers of large and small rigid and flexible panel displays, and mobile, automotive applications and home appliances. Our Power Solutions products include discrete and integrated circuit solutions for power management in communications, consumer and industrial applications.</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Korea-based operations, if we are not effective in competing in these markets our operating results may be adversely affected.</w:t>
      </w:r>
    </w:p>
    <w:p>
      <w:pPr>
        <w:spacing w:after="0" w:line="16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ectPr>
          <w:pgSz w:w="11900" w:h="16838" w:orient="portrait"/>
          <w:cols w:equalWidth="0" w:num="1">
            <w:col w:w="11420"/>
          </w:cols>
          <w:pgMar w:left="240" w:top="459" w:right="239" w:bottom="1440" w:gutter="0" w:footer="0" w:header="0"/>
        </w:sectPr>
      </w:pPr>
    </w:p>
    <w:bookmarkStart w:id="26" w:name="page27"/>
    <w:bookmarkEnd w:id="26"/>
    <w:p>
      <w:pPr>
        <w:ind w:firstLine="456"/>
        <w:spacing w:after="0" w:line="273" w:lineRule="auto"/>
        <w:rPr>
          <w:sz w:val="20"/>
          <w:szCs w:val="20"/>
          <w:color w:val="auto"/>
        </w:rPr>
      </w:pPr>
      <w:r>
        <w:rPr>
          <w:rFonts w:ascii="Arial" w:cs="Arial" w:eastAsia="Arial" w:hAnsi="Arial"/>
          <w:sz w:val="17"/>
          <w:szCs w:val="17"/>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125"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9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8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our previous public filings, we had used a term “active matrix organic light emitting diodes (AMOLED)” that described a display technology used in certain display driver ICs that we had designed and manufactured in our internal and external foundries. Beginning in the second quarter of 2017, we have used the term “OLED” instead of the term “AMOLED” in our public filings in order to be consistent with commonly accepted industry naming practices for this product category. There is no change to the products that we previously referred to as AMOLED display driver ICs.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ectPr>
          <w:pgSz w:w="11900" w:h="16838" w:orient="portrait"/>
          <w:cols w:equalWidth="0" w:num="1">
            <w:col w:w="11380"/>
          </w:cols>
          <w:pgMar w:left="240" w:top="459"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60"/>
          </w:cols>
          <w:pgMar w:left="240" w:top="125"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of April 29, 2016, 169 employees elected to resign under the terms of the Program, from which we expect to save approximately $8 million in spending per year. We paid approximately $8 million for severance benefits, which are required by law and had already been fully accrued in our financial statements, in a lump sum during the second quarter of 2016. Beginning in May 2016, we also 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February 22, 2017, our Board of Directors approved the implementation of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the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have already been fully accrued in our financial statements.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Restatement</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January 2014, our Audit Committee commenced an independent investigation that resulted in the restatement of certain financial statements for prior periods.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4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On December 10, 2015, we entered into a Memorandum of Understanding with the plaintiffs’ representatives to settle the Class Action Litigation, as defined and detailed in “Item 1. Interim Consolidated Financial Statements—Notes to Consolidated Financial Statements—Note 18. Commitments and Contingencies” in this Report,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January 22, 2016, we entered into a stipulation of settlement with the plaintiffs in the shareholder derivative actions, as described in “Item 1. Interim Consolidated Financial Statements—Notes to Consolidated Financial Statements—Note 18. Commitments and Contingencies” in this Report,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7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On May 1, 2017, the SEC announced that it had reached a final settlement with us, resolving the SEC’s investigation, as detailed in “Item 1. Interim Consolidated Financial Statements—Notes to Consolidated Financial Statements— Note 18. Commitments and Contingencies” in this Report. In that connection,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imposed a monetary penalty of $3.0 million on us. In the first quarter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second quarter of 2017.</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a result of the restatement, we have incurred substantial external accounting, legal and other related costs associated with the restatement and certain litigation and other regulatory investigations and actions related thereto. We recorded restatement related costs of $6.0 million for the nine months ended September 30, 2017, compared to $6.4 million for the nine months ended September 30,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76" w:lineRule="exact"/>
        <w:rPr>
          <w:sz w:val="20"/>
          <w:szCs w:val="20"/>
          <w:color w:val="auto"/>
        </w:rPr>
      </w:pPr>
    </w:p>
    <w:p>
      <w:pPr>
        <w:ind w:left="440" w:hanging="324"/>
        <w:spacing w:after="0" w:line="288"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 semiconductor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502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 and mixed-signal process technologies such as high voltage complementary metal-oxide-semiconductor (CMOS), non-volatile memory or bipolar-CMOS-DMOS (BCD). These customers typically serve communications, IoT, consumer, industrial and automotive applications. Our Foundry Services Group business represented 47.4% and 38.7% of our net sales for the nine months ended September 30, 2017 and September 30, 2016, respectively. Gross profit from our Foundry Services Group business was $69.9 million and $45.8 million for the nine months ended September 30, 2017 and September 30, 2016, respectively.</w:t>
      </w:r>
    </w:p>
    <w:p>
      <w:pPr>
        <w:spacing w:after="0" w:line="74" w:lineRule="exact"/>
        <w:rPr>
          <w:rFonts w:ascii="Arial" w:cs="Arial" w:eastAsia="Arial" w:hAnsi="Arial"/>
          <w:sz w:val="16"/>
          <w:szCs w:val="16"/>
          <w:color w:val="auto"/>
        </w:rPr>
      </w:pPr>
    </w:p>
    <w:p>
      <w:pPr>
        <w:ind w:left="440" w:hanging="324"/>
        <w:spacing w:after="0" w:line="286"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Our Standard Products Group includes our Display Solutions and Power Solutions business lines. Our Display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Our Standard Products Group, which includes our Display Solutions and Power Solutions business lines, represented 52.6% and 61.3% of our net sales for the nine months ended September 30, 2017 and September 30, 2016, respectively. Gross profit from our Standard Products Group was $68.5 million and $64.8 million for the nine months ended September 30, 2017 and September 30, 2016, respectively.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Net Income</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use the terms Adjusted EBITDA and Adjusted Net Income throughout this Report. Adjusted EBITDA, as we define it, is a non-US GAAP measure. We define Adjusted EBITDA for the periods indicated as EBITDA (as defined below), adjusted to exclude (i) restructuring and other charges (gain), net, (ii) early termination charges, (iii) equity-based compensation expense, (iv) foreign currency loss (gain), net, (v) derivative valuation loss (gain), net and</w:t>
      </w:r>
    </w:p>
    <w:p>
      <w:pPr>
        <w:ind w:right="40" w:firstLine="8"/>
        <w:spacing w:after="0" w:line="261"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restatement related expenses and other. EBITDA for the periods indicated is defined as net income before interest expense, net, income tax expenses, and depreciation and amortization.</w:t>
      </w:r>
    </w:p>
    <w:p>
      <w:pPr>
        <w:spacing w:after="0" w:line="15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76" w:lineRule="exact"/>
        <w:rPr>
          <w:sz w:val="20"/>
          <w:szCs w:val="20"/>
          <w:color w:val="auto"/>
        </w:rPr>
      </w:pPr>
    </w:p>
    <w:p>
      <w:pPr>
        <w:ind w:left="440" w:right="440" w:hanging="32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86" w:lineRule="exact"/>
        <w:rPr>
          <w:rFonts w:ascii="Arial" w:cs="Arial" w:eastAsia="Arial" w:hAnsi="Arial"/>
          <w:sz w:val="18"/>
          <w:szCs w:val="18"/>
          <w:color w:val="auto"/>
        </w:rPr>
      </w:pPr>
    </w:p>
    <w:p>
      <w:pPr>
        <w:ind w:left="440" w:right="60" w:hanging="324"/>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 eliminates the effects of financing, income taxes and the accounting effects of capital spending, as well as other one time or recurring items described above; and</w:t>
      </w:r>
    </w:p>
    <w:p>
      <w:pPr>
        <w:spacing w:after="0" w:line="86" w:lineRule="exact"/>
        <w:rPr>
          <w:rFonts w:ascii="Arial" w:cs="Arial" w:eastAsia="Arial" w:hAnsi="Arial"/>
          <w:sz w:val="18"/>
          <w:szCs w:val="18"/>
          <w:color w:val="auto"/>
        </w:rPr>
      </w:pPr>
    </w:p>
    <w:p>
      <w:pPr>
        <w:ind w:left="440" w:right="180" w:hanging="324"/>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 Adjusted EBITDA in a number of ways, including:</w:t>
      </w:r>
    </w:p>
    <w:p>
      <w:pPr>
        <w:spacing w:after="0" w:line="131"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18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Adjustments: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 (gain), net(a)</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Foreign currency loss (gain), net(d)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net(e)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Restatement related expenses and other(f)</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ind w:left="452" w:hanging="452"/>
        <w:spacing w:after="0" w:line="259"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nine months ended September 30, 2017, this adjustment eliminates the $16.6 million restructuring gain on sale of a building in connection with the closure of our 6-inch fab and the $0.4 million gain on sale of our sensor business. For the nine months ended September 30, 2016, this adjustment eliminates the $7.8 million restructuring gain on sale of machinery in connection with the closure of our 6-inch fab, net of $2.3 million training and transition costs related to our 6-inch fab employees.</w:t>
      </w:r>
    </w:p>
    <w:p>
      <w:pPr>
        <w:spacing w:after="0" w:line="11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32"/>
          </w:cols>
          <w:pgMar w:left="248" w:top="341"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2"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460" w:right="20" w:hanging="452"/>
        <w:spacing w:after="0" w:line="29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the three months ended September 30, 2017, this adjustment eliminates expenses incurred for the secondary offering by the Selling Stockholders. For the nine months ended September 30, 2017, this adjustment eliminates the $3.0 million civil penalty imposed by the SEC. As these expenses meaningfully impacted our operating results and are not expected to represent an ongoing operating expense to us, we believe our operating performance results are more usefully compared if these expenses are excluded.</w:t>
      </w:r>
    </w:p>
    <w:p>
      <w:pPr>
        <w:spacing w:after="0" w:line="54" w:lineRule="exact"/>
        <w:rPr>
          <w:rFonts w:ascii="Arial" w:cs="Arial" w:eastAsia="Arial" w:hAnsi="Arial"/>
          <w:sz w:val="16"/>
          <w:szCs w:val="16"/>
          <w:color w:val="auto"/>
        </w:rPr>
      </w:pPr>
    </w:p>
    <w:p>
      <w:pPr>
        <w:ind w:left="460" w:right="40"/>
        <w:spacing w:after="0" w:line="286" w:lineRule="auto"/>
        <w:rPr>
          <w:rFonts w:ascii="Arial" w:cs="Arial" w:eastAsia="Arial" w:hAnsi="Arial"/>
          <w:sz w:val="16"/>
          <w:szCs w:val="16"/>
          <w:color w:val="auto"/>
        </w:rPr>
      </w:pPr>
      <w:r>
        <w:rPr>
          <w:rFonts w:ascii="Arial" w:cs="Arial" w:eastAsia="Arial" w:hAnsi="Arial"/>
          <w:sz w:val="17"/>
          <w:szCs w:val="17"/>
          <w:color w:val="auto"/>
        </w:rPr>
        <w:t>There was no tax impact from the adjustments to net income to calculate our Adjusted EBITDA for the three and nine months ended September 30, 2017 and 2016 due to net operating loss carry-forwards available to offset taxable income and full allowance for deferred tax assets. We believe that all adjustments to net income used to calculate Adjusted EBITDA were applied consistently to the periods presented.</w:t>
      </w:r>
    </w:p>
    <w:p>
      <w:pPr>
        <w:spacing w:after="0" w:line="57" w:lineRule="exact"/>
        <w:rPr>
          <w:rFonts w:ascii="Arial" w:cs="Arial" w:eastAsia="Arial" w:hAnsi="Arial"/>
          <w:sz w:val="16"/>
          <w:szCs w:val="16"/>
          <w:color w:val="auto"/>
        </w:rPr>
      </w:pPr>
    </w:p>
    <w:p>
      <w:pPr>
        <w:ind w:left="460" w:right="520"/>
        <w:spacing w:after="0" w:line="277" w:lineRule="auto"/>
        <w:rPr>
          <w:rFonts w:ascii="Arial" w:cs="Arial" w:eastAsia="Arial" w:hAnsi="Arial"/>
          <w:sz w:val="16"/>
          <w:szCs w:val="16"/>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900" w:hanging="446"/>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w:t>
      </w:r>
    </w:p>
    <w:p>
      <w:pPr>
        <w:spacing w:after="0" w:line="153" w:lineRule="exact"/>
        <w:rPr>
          <w:rFonts w:ascii="Arial" w:cs="Arial" w:eastAsia="Arial" w:hAnsi="Arial"/>
          <w:sz w:val="16"/>
          <w:szCs w:val="16"/>
          <w:color w:val="auto"/>
        </w:rPr>
      </w:pPr>
    </w:p>
    <w:p>
      <w:pPr>
        <w:ind w:left="900" w:right="34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other companies in our industry may calculate Adjusted EBITDA differently than we do, limiting its usefulness as a comparative measure.</w:t>
      </w:r>
    </w:p>
    <w:p>
      <w:pPr>
        <w:spacing w:after="0" w:line="129"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present Adjusted Net Income (Loss) as a further supplemental measure of our performance. We prepare Adjusted Net Income (Loss) by adjusting net income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present Adjusted Net Income (Loss) for a number of reasons, including:</w:t>
      </w:r>
    </w:p>
    <w:p>
      <w:pPr>
        <w:spacing w:after="0" w:line="60" w:lineRule="exact"/>
        <w:rPr>
          <w:sz w:val="20"/>
          <w:szCs w:val="20"/>
          <w:color w:val="auto"/>
        </w:rPr>
      </w:pPr>
    </w:p>
    <w:p>
      <w:pPr>
        <w:ind w:left="900" w:right="14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use Adjusted Net Income (Loss)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86" w:lineRule="exact"/>
        <w:rPr>
          <w:rFonts w:ascii="Arial" w:cs="Arial" w:eastAsia="Arial" w:hAnsi="Arial"/>
          <w:sz w:val="18"/>
          <w:szCs w:val="18"/>
          <w:color w:val="auto"/>
        </w:rPr>
      </w:pPr>
    </w:p>
    <w:p>
      <w:pPr>
        <w:jc w:val="both"/>
        <w:ind w:left="900" w:right="2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believe that reporting Adjusted Net Income (Loss)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Adjusted Net Income (Loss)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differently than we do, limiting its usefulness as a comparative measure. In addition, in evaluating Adjusted Net Income (Loss), you should be aware that in the future we may incur expenses similar to the adjustments in this presentation. We define Adjusted Net Income (Loss) for the periods indicated as net income, adjusted to exclude</w:t>
      </w:r>
    </w:p>
    <w:p>
      <w:pPr>
        <w:spacing w:after="0" w:line="2"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restructuring and other charges (gain), net, (ii) early termination charges, (iii) equity-based compensation expense, (iv) foreign currency loss (gain), net,</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 valuation loss (gain), net and (vi) restatement related expenses and other.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adjustments to net income that we make in order to calculate Adjusted Net Income (Loss) for the periods indicated:</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8"/>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4"/>
          </w:tcPr>
          <w:p>
            <w:pPr>
              <w:ind w:left="6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Adjustments: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 (gain), net(a)</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Early termination charges(b)</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expense(c)</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Foreign currency loss (gain), net(d)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valuation loss, net(e)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Restatement related expenses and other(f)</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nine months ended September 30, 2017, this adjustment eliminates the $16.6 million restructuring gain on sale of a building in connection with the closure of our 6-inch fab and the $0.4 million gain on sale of our sensor business. For the nine months ended September 30, 2016, this adjustment eliminates the $7.8 million restructuring gain on sale of machinery in connection with the closure of our 6-inch fab, net of $2.3 million training and transition costs related to our 6-inch fab employees.</w:t>
      </w:r>
    </w:p>
    <w:p>
      <w:pPr>
        <w:spacing w:after="0" w:line="2"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460" w:right="36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ectPr>
          <w:pgSz w:w="11900" w:h="16838" w:orient="portrait"/>
          <w:cols w:equalWidth="0" w:num="1">
            <w:col w:w="11400"/>
          </w:cols>
          <w:pgMar w:left="240" w:top="459" w:right="259" w:bottom="1440" w:gutter="0" w:footer="0" w:header="0"/>
        </w:sectPr>
      </w:pPr>
    </w:p>
    <w:bookmarkStart w:id="35" w:name="page36"/>
    <w:bookmarkEnd w:id="35"/>
    <w:p>
      <w:pPr>
        <w:ind w:left="452" w:hanging="452"/>
        <w:spacing w:after="0" w:line="255"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126"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72"/>
          </w:cols>
          <w:pgMar w:left="248" w:top="125" w:right="6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8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1" w:lineRule="exact"/>
        <w:rPr>
          <w:rFonts w:ascii="Arial" w:cs="Arial" w:eastAsia="Arial" w:hAnsi="Arial"/>
          <w:sz w:val="16"/>
          <w:szCs w:val="16"/>
          <w:color w:val="auto"/>
        </w:rPr>
      </w:pPr>
    </w:p>
    <w:p>
      <w:pPr>
        <w:ind w:left="460" w:hanging="452"/>
        <w:spacing w:after="0" w:line="29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 For the three months ended September 30, 2017, this adjustment eliminates expenses incurred for the secondary offering by the Selling Stockholders. For the nine months ended September 30, 2017, this adjustment eliminates the $3.0 million civil penalty imposed by the SEC. As these expenses meaningfully impacted our operating results and are not expected to represent an ongoing operating expense to us, we believe our operating performance results are more usefully compared if these expenses are excluded.</w:t>
      </w:r>
    </w:p>
    <w:p>
      <w:pPr>
        <w:spacing w:after="0" w:line="54" w:lineRule="exact"/>
        <w:rPr>
          <w:rFonts w:ascii="Arial" w:cs="Arial" w:eastAsia="Arial" w:hAnsi="Arial"/>
          <w:sz w:val="16"/>
          <w:szCs w:val="16"/>
          <w:color w:val="auto"/>
        </w:rPr>
      </w:pPr>
    </w:p>
    <w:p>
      <w:pPr>
        <w:ind w:left="460" w:right="40"/>
        <w:spacing w:after="0" w:line="312" w:lineRule="auto"/>
        <w:rPr>
          <w:rFonts w:ascii="Arial" w:cs="Arial" w:eastAsia="Arial" w:hAnsi="Arial"/>
          <w:sz w:val="16"/>
          <w:szCs w:val="16"/>
          <w:color w:val="auto"/>
        </w:rPr>
      </w:pPr>
      <w:r>
        <w:rPr>
          <w:rFonts w:ascii="Arial" w:cs="Arial" w:eastAsia="Arial" w:hAnsi="Arial"/>
          <w:sz w:val="16"/>
          <w:szCs w:val="16"/>
          <w:color w:val="auto"/>
        </w:rPr>
        <w:t>There was no tax impact from the adjustments to net income to calculate our Adjusted Net Income (Loss) for the three and nine months ended September 30, 2017 and 2016 due to net operating loss carry-forwards available to offset taxable income and full allowance for deferred tax assets. We believe that all adjustments to net income used to calculate Adjusted Net Income (Loss) were applied consistently to the periods presented.</w:t>
      </w:r>
    </w:p>
    <w:p>
      <w:pPr>
        <w:spacing w:after="0" w:line="38" w:lineRule="exact"/>
        <w:rPr>
          <w:rFonts w:ascii="Arial" w:cs="Arial" w:eastAsia="Arial" w:hAnsi="Arial"/>
          <w:sz w:val="16"/>
          <w:szCs w:val="16"/>
          <w:color w:val="auto"/>
        </w:rPr>
      </w:pPr>
    </w:p>
    <w:p>
      <w:pPr>
        <w:ind w:left="460"/>
        <w:spacing w:after="0" w:line="277" w:lineRule="auto"/>
        <w:rPr>
          <w:rFonts w:ascii="Arial" w:cs="Arial" w:eastAsia="Arial" w:hAnsi="Arial"/>
          <w:sz w:val="16"/>
          <w:szCs w:val="16"/>
          <w:color w:val="auto"/>
        </w:rPr>
      </w:pPr>
      <w:r>
        <w:rPr>
          <w:rFonts w:ascii="Arial" w:cs="Arial" w:eastAsia="Arial" w:hAnsi="Arial"/>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75" w:lineRule="exact"/>
        <w:rPr>
          <w:rFonts w:ascii="Arial" w:cs="Arial" w:eastAsia="Arial" w:hAnsi="Arial"/>
          <w:sz w:val="16"/>
          <w:szCs w:val="16"/>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Adjusted Net Income (Loss) does not reflect changes in, or cash requirements for, our working capital needs;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Adjusted Net Income (Loss) does not consider the potentially dilutive impact of issuing equity-based compensation to our management team and employees;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Adjusted Net Income (Loss) does not reflect the costs of holding certain assets and liabilities in foreign currencies; and</w:t>
      </w:r>
    </w:p>
    <w:p>
      <w:pPr>
        <w:spacing w:after="0" w:line="130" w:lineRule="exact"/>
        <w:rPr>
          <w:rFonts w:ascii="Arial" w:cs="Arial" w:eastAsia="Arial" w:hAnsi="Arial"/>
          <w:sz w:val="18"/>
          <w:szCs w:val="18"/>
          <w:color w:val="auto"/>
        </w:rPr>
      </w:pPr>
    </w:p>
    <w:p>
      <w:pPr>
        <w:ind w:left="900" w:right="500" w:hanging="325"/>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(Loss) differently than we do, limiting its usefulness as a comparative measure.</w:t>
      </w:r>
    </w:p>
    <w:p>
      <w:pPr>
        <w:spacing w:after="0" w:line="62" w:lineRule="exact"/>
        <w:rPr>
          <w:sz w:val="20"/>
          <w:szCs w:val="20"/>
          <w:color w:val="auto"/>
        </w:rPr>
      </w:pPr>
    </w:p>
    <w:p>
      <w:pPr>
        <w:ind w:left="460" w:right="240"/>
        <w:spacing w:after="0" w:line="308" w:lineRule="auto"/>
        <w:rPr>
          <w:sz w:val="20"/>
          <w:szCs w:val="20"/>
          <w:color w:val="auto"/>
        </w:rPr>
      </w:pPr>
      <w:r>
        <w:rPr>
          <w:rFonts w:ascii="Arial" w:cs="Arial" w:eastAsia="Arial" w:hAnsi="Arial"/>
          <w:sz w:val="17"/>
          <w:szCs w:val="17"/>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consists of agents in the United States and Europe and distributors and agents in the Asia Pacific region. Our net sales from All other consist principally of the disposal of scrap materials.</w:t>
      </w:r>
    </w:p>
    <w:p>
      <w:pPr>
        <w:spacing w:after="0" w:line="19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recognize revenue when risk and reward of ownership pass to the customer either upon shipment, upon product delivery at the customer’s location or upon customer acceptance, depending on the terms of the arrangement. For the nine months ended September 30, 2017 and 2016, we sold products to 312 and 321 customers, respectively, and our net sales to our ten largest customers represented 59% and 65%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7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new revenue standard could have a material impact on our consolidated financial statements following adoption on January 1, 2018. See “Item 1. Interim Consolidated Financial Statements—Notes to Consolidated Financial Statements—Note 1–-Business, Basis of Presentation and Significant Accounting Policies—Recent Accounting Pronouncements” in this Report for further discussion.</w:t>
      </w:r>
    </w:p>
    <w:p>
      <w:pPr>
        <w:spacing w:after="0" w:line="18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Our overall gross profit generally fluctuates as a result of changes in overall sales volumes and in the average selling prices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Average Selling Prices. </w:t>
      </w:r>
      <w:r>
        <w:rPr>
          <w:rFonts w:ascii="Arial" w:cs="Arial" w:eastAsia="Arial" w:hAnsi="Arial"/>
          <w:sz w:val="18"/>
          <w:szCs w:val="18"/>
          <w:color w:val="auto"/>
        </w:rPr>
        <w:t>Average selling prices for our products tend to be highest at the time of introduction of new products and tend to decrease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significantly increase.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Labor Costs. </w:t>
      </w:r>
      <w:r>
        <w:rPr>
          <w:rFonts w:ascii="Arial" w:cs="Arial" w:eastAsia="Arial" w:hAnsi="Arial"/>
          <w:sz w:val="18"/>
          <w:szCs w:val="18"/>
          <w:color w:val="auto"/>
        </w:rPr>
        <w:t>A significant portion of our employees are located in Korea. Under Korean labor laws, most employees and certain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one or more years of service are entitled to severance benefits upon the termination of their employment based on their length of service and rate of pay. As of September 30, 2017, approximately 98% of our employees were eligible for severance benefits.</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Expense. </w:t>
      </w:r>
      <w:r>
        <w:rPr>
          <w:rFonts w:ascii="Arial" w:cs="Arial" w:eastAsia="Arial" w:hAnsi="Arial"/>
          <w:sz w:val="18"/>
          <w:szCs w:val="18"/>
          <w:color w:val="auto"/>
        </w:rPr>
        <w:t>We periodically evaluate the carrying values of long-lived assets, including property, plant and equipment and intangible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human resources and other administrative functions. These expenses primarily consist of payroll-related expenses, consulting and other professional fees and office facility-related expenses.</w:t>
      </w:r>
    </w:p>
    <w:p>
      <w:pPr>
        <w:spacing w:after="0" w:line="181"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lines.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the 2021 Notes and the Exchangeable Notes.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Impact of Foreign Currency Exchange Rates on Reported Results of Operations. </w:t>
      </w:r>
      <w:r>
        <w:rPr>
          <w:rFonts w:ascii="Arial" w:cs="Arial" w:eastAsia="Arial" w:hAnsi="Arial"/>
          <w:sz w:val="16"/>
          <w:szCs w:val="16"/>
          <w:color w:val="auto"/>
        </w:rPr>
        <w:t>Historically, a portion of our revenues and greater than the majority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September 30, 2017, the outstanding intercompany loans balances including accrued interests between our Korean subsidiary and our Dutch subsidiary were $670 million. This amount included a newly executed intercompany loan of $75 million during the first quarter of 2017, which was used to transfer a portion of the net proceeds from the offering of the Exchangeable Notes from our Luxembourg subsidiary to our Dutch subsidiary, and then to our Korean subsidiary.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 our income taxes in each of the tax jurisdictions in which we operate. This process involves using an asset and liability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See “Item 1, Interim Consolidated Financial Statements— Notes to Consolidated Financial Statements— Note 14. Income Taxes” included elsewhere in this Report.</w:t>
      </w:r>
    </w:p>
    <w:p>
      <w:pPr>
        <w:spacing w:after="0" w:line="188"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We invest in manufacturing equipment, software design tools and other tangible and intangible assets mainly for fab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include our payments for the purchase of property, plant and equipment as well as payments for the registration of intellectual property rights.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Three Months Ended September 30, 2017 and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consolidated results of operations for the three months ended September 30, 2017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9"/>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9"/>
          </w:tcPr>
          <w:p>
            <w:pPr>
              <w:ind w:left="8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w w:val="91"/>
              </w:rPr>
              <w:t>September 30, 2016</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Borders>
              <w:top w:val="single" w:sz="8" w:color="auto"/>
            </w:tcBorders>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3"/>
              <w:spacing w:after="0" w:line="119"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10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5"/>
          </w:tcPr>
          <w:p>
            <w:pPr>
              <w:jc w:val="right"/>
              <w:ind w:right="32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$ 176.7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$ 192.3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22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153.2</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(5.1)</w:t>
            </w:r>
          </w:p>
        </w:tc>
        <w:tc>
          <w:tcPr>
            <w:tcW w:w="220" w:type="dxa"/>
            <w:vAlign w:val="bottom"/>
            <w:vMerge w:val="restart"/>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15.6</w:t>
            </w:r>
          </w:p>
        </w:tc>
        <w:tc>
          <w:tcPr>
            <w:tcW w:w="4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30.0</w:t>
            </w:r>
          </w:p>
        </w:tc>
        <w:tc>
          <w:tcPr>
            <w:tcW w:w="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0"/>
              </w:rPr>
              <w:t>(39.0)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expenses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4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 (24.3)</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8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4"/>
              </w:rPr>
              <w:t>September 30, 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1"/>
              </w:rPr>
              <w:t>September 30, 2016</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Net Sales</w:t>
            </w:r>
          </w:p>
        </w:tc>
        <w:tc>
          <w:tcPr>
            <w:tcW w:w="2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420" w:type="dxa"/>
            <w:vAlign w:val="bottom"/>
            <w:gridSpan w:val="3"/>
          </w:tcPr>
          <w:p>
            <w:pPr>
              <w:ind w:left="2320"/>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jc w:val="right"/>
              <w:ind w:right="160"/>
              <w:spacing w:after="0"/>
              <w:rPr>
                <w:sz w:val="20"/>
                <w:szCs w:val="20"/>
                <w:color w:val="auto"/>
              </w:rPr>
            </w:pPr>
            <w:r>
              <w:rPr>
                <w:rFonts w:ascii="Arial" w:cs="Arial" w:eastAsia="Arial" w:hAnsi="Arial"/>
                <w:sz w:val="18"/>
                <w:szCs w:val="18"/>
                <w:color w:val="auto"/>
              </w:rPr>
              <w:t>80.4</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45.5%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73.9</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8"/>
                <w:szCs w:val="18"/>
                <w:color w:val="auto"/>
              </w:rPr>
              <w:t>57.2</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84.7</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33.6</w:t>
            </w: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ind w:left="1060"/>
              <w:spacing w:after="0"/>
              <w:rPr>
                <w:sz w:val="20"/>
                <w:szCs w:val="20"/>
                <w:color w:val="auto"/>
              </w:rPr>
            </w:pPr>
            <w:r>
              <w:rPr>
                <w:rFonts w:ascii="Arial" w:cs="Arial" w:eastAsia="Arial" w:hAnsi="Arial"/>
                <w:sz w:val="18"/>
                <w:szCs w:val="18"/>
                <w:color w:val="auto"/>
              </w:rPr>
              <w:t>Total Standard Products Group</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118.3</w:t>
            </w:r>
          </w:p>
        </w:tc>
        <w:tc>
          <w:tcPr>
            <w:tcW w:w="36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61.5</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0.1</w:t>
            </w: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320" w:type="dxa"/>
            <w:vAlign w:val="bottom"/>
            <w:gridSpan w:val="2"/>
            <w:vMerge w:val="restart"/>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320" w:type="dxa"/>
            <w:vAlign w:val="bottom"/>
            <w:gridSpan w:val="2"/>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$ 176.7</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86"/>
              </w:rPr>
              <w:t>$ 192.3</w:t>
            </w:r>
          </w:p>
        </w:tc>
        <w:tc>
          <w:tcPr>
            <w:tcW w:w="360" w:type="dxa"/>
            <w:vAlign w:val="bottom"/>
            <w:vMerge w:val="continue"/>
          </w:tcPr>
          <w:p>
            <w:pPr>
              <w:spacing w:after="0"/>
              <w:rPr>
                <w:sz w:val="19"/>
                <w:szCs w:val="19"/>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9"/>
              </w:rPr>
              <w:t>$ (15.6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4"/>
              </w:rPr>
              <w:t>September 30, 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1"/>
              </w:rPr>
              <w:t>September 30, 2016</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Net Sales</w:t>
            </w:r>
          </w:p>
        </w:tc>
        <w:tc>
          <w:tcPr>
            <w:tcW w:w="260" w:type="dxa"/>
            <w:vAlign w:val="bottom"/>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420" w:type="dxa"/>
            <w:vAlign w:val="bottom"/>
            <w:gridSpan w:val="3"/>
          </w:tcPr>
          <w:p>
            <w:pPr>
              <w:ind w:left="2320"/>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jc w:val="right"/>
              <w:ind w:right="160"/>
              <w:spacing w:after="0"/>
              <w:rPr>
                <w:sz w:val="20"/>
                <w:szCs w:val="20"/>
                <w:color w:val="auto"/>
              </w:rPr>
            </w:pPr>
            <w:r>
              <w:rPr>
                <w:rFonts w:ascii="Arial" w:cs="Arial" w:eastAsia="Arial" w:hAnsi="Arial"/>
                <w:sz w:val="18"/>
                <w:szCs w:val="18"/>
                <w:color w:val="auto"/>
              </w:rPr>
              <w:t>24.4</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30.3%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17.3</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21.7</w:t>
            </w: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0.1</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39.1</w:t>
            </w:r>
          </w:p>
        </w:tc>
        <w:tc>
          <w:tcPr>
            <w:tcW w:w="11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220" w:type="dxa"/>
            <w:vAlign w:val="bottom"/>
            <w:vMerge w:val="restart"/>
          </w:tcPr>
          <w:p>
            <w:pPr>
              <w:jc w:val="right"/>
              <w:ind w:right="8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Net sales were $176.7 million for the three months ended September 30, 2017, a $15.6 million, or 8.1%, decrease compared to $192.3 million for the three months ended September 30, 2016. This decrease was primarily attributable to a net decrease in revenue from our Standard Products Group, which was offset in part by an increase in revenue from our Foundry Services Group as described below.</w:t>
      </w:r>
    </w:p>
    <w:p>
      <w:pPr>
        <w:spacing w:after="0" w:line="18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Net sales from our Foundry Services Group segment were $80.4 million for the three months ended September 30, 2017,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$6.5 million, or 8.9%, increase compared to $73.9 million for the three months ended September 30, 2016. The increase was primarily attributable to higher demand for our foundry services from certain customers serving the mid-range smartphone and consumer electronics markets.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Net sales from our Standard Products Group segment were $96.2 million for the three months ended September 30, 2017,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$22.1 million, or 18.7%, decrease compared to $118.3 million for the three months ended September 30, 2016. This decrease was primarily attributable to a decrease in revenue from our mobile OLED display driver ICs stemming from a timing mismatch between the expected drop-off in revenue from our existing OLED products and the introduction of new OLED products, and also a lingering slowdown in the China smartphone market exacerbated by the recent delay of certain product launches in China. Such decrease was partially offset by an increase in revenue from large display products mainly due to higher demand of source drivers for ultra high definition TVs and from MOSFETs and premium power products mainly for TV and industrial applications.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$0.1 million for the three months ended September 30, 2017 and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Total gross profit was $50.3 million for the three months ended September 30, 2017 compared to $39.1 million for the three months ended September 30, 2016, an $11.2 million, or 28.5%, increase. Gross profit as a percentage of net sales for the three months ended September 30, 2017 increased to 28.5% compared to 20.4% for the three months ended September 30, 2016. The increase in gross profit as a percentage of net sales stemmed from both our Foundry Services Group and Standard Products Group segments as described below.</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Gross profit from our Foundry Services Group segment was $24.4 million for the three months ended September 30, 2017,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 million, or 40.6%, increase compared to $17.3 million for the three months ended September 30, 2016. Gross profit as a percentage of net sales for the three months ended September 30, 2017 increased to 30.3% compared to 23.5% for the three months ended September 30, 2016. This increase in gross profit as a percentage of net sales was mainly attributable to a better product mix and increase in utilization rate. The increase was also attributable to a favorable impact from reduction in headcount during 2017.</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Gross profit from our Standard Products Group segment was $25.9 million for the three months ended September 30,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$4.2 million, or 19.3%, increase from $21.7 million for the three months ended September 30, 2016. Gross profit as a percentage of net sales for the three months ended September 30, 2017 increased to 26.9% compared to 18.3% for the three months ended September 30, 2016. This increase in gross profit as a percentage of net sales was mainly attributable to a better product mix and increase in utilization rate. The increase was also attributable to a favorable impact from a reduction in headcount during 2017.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profits were $0.1 million for the three months ended September 30, 2017 and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three months ended September 30,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September 30, 2017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92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tcPr>
          <w:p>
            <w:pPr>
              <w:jc w:val="right"/>
              <w:ind w:right="75"/>
              <w:spacing w:after="0" w:line="119" w:lineRule="exact"/>
              <w:rPr>
                <w:sz w:val="20"/>
                <w:szCs w:val="20"/>
                <w:color w:val="auto"/>
              </w:rPr>
            </w:pPr>
            <w:r>
              <w:rPr>
                <w:rFonts w:ascii="Arial" w:cs="Arial" w:eastAsia="Arial" w:hAnsi="Arial"/>
                <w:sz w:val="13"/>
                <w:szCs w:val="13"/>
                <w:b w:val="1"/>
                <w:bCs w:val="1"/>
                <w:color w:val="auto"/>
              </w:rPr>
              <w:t>% of</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w w:val="98"/>
              </w:rPr>
              <w:t>Amount</w:t>
            </w: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 of</w:t>
            </w:r>
          </w:p>
        </w:tc>
        <w:tc>
          <w:tcPr>
            <w:tcW w:w="5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Net Sales</w:t>
            </w:r>
          </w:p>
        </w:tc>
        <w:tc>
          <w:tcPr>
            <w:tcW w:w="26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7"/>
          </w:tcPr>
          <w:p>
            <w:pPr>
              <w:jc w:val="right"/>
              <w:ind w:right="136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w:t>
            </w:r>
          </w:p>
        </w:tc>
        <w:tc>
          <w:tcPr>
            <w:tcW w:w="14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10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83.2</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107.6</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(24.3)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10.5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8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176.7</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192.3</w:t>
            </w:r>
          </w:p>
        </w:tc>
        <w:tc>
          <w:tcPr>
            <w:tcW w:w="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2"/>
              </w:rPr>
              <w:t>(15.6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Net sales in Korea for the three months ended September 30, 2017 increased from $58.5 million to $74.3 million compared to the three months ended September 30, 2016, or by $15.8 million, or 27.0%, primarily due to higher demand of large display applications for TVs and our foundry services from certain customers serving the mid-range smartphone and consumer electronics markets. Higher sales of MOSFETs products also had a favorable impact.</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sales in Asia Pacific (other than Korea) for the three months ended September 30, 2017 decreased from $107.6 million to $83.2 million compared to the three months ended September 30, 2016, or by $24.3 million, or 22.6%, primarily due to lower level of sales of mobile OLED display driver ICs, which was offset in part by an increase in sales of certain products from higher demand for our foundry services and due to a change in billing location from a global power management IC foundry customer.</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Net sales in the United States for the three months ended September 30, 2017 decreased from $15.4 million to $8.4 million compared to the three months ended September 30, 2016, or by $7.0 million, or 45.4%, primarily due to a change in billing location and decrease in sales of certain products from a global power management IC foundry customer.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$17.3 million, or 9.8% of net sales, for the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2017, compared to $20.1 million, or 10.4% of net sales, for the three months ended September 30, 2016. The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or 14.0%, was primarily attributable to a decrease in salary expense as a result of our headcount reduction and an adjustment of certain accruals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performance-based compensation expense estimated based on our latest financial assumptions for 2017.</w:t>
      </w:r>
    </w:p>
    <w:p>
      <w:pPr>
        <w:spacing w:after="0" w:line="21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$17.6 million, or 9.9% of net sales,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2017, compared to $18.4 million, or 9.6% of net sales, for the three months ended September 30, 2016. The decrease of $0.9 million, or 4.8%, was primarily attributable to a decrease in salary expense as a result of our headcount reduction of non-key R&amp;D personnel.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a result of the foregoing, operating income increased by $14.9 million for the three months ended September 30, 2017 compared to the three months ended September 30, 2016. As discussed above, the increase in operating income resulted from an $11.2 million increase in gross profit, a $2.8 million decrease in selling, general and administrative expenses and a $0.9 million decrease in research development expenses.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Expenses. </w:t>
      </w:r>
      <w:r>
        <w:rPr>
          <w:rFonts w:ascii="Arial" w:cs="Arial" w:eastAsia="Arial" w:hAnsi="Arial"/>
          <w:sz w:val="16"/>
          <w:szCs w:val="16"/>
          <w:color w:val="auto"/>
        </w:rPr>
        <w:t>Interest expenses were $5.5 million and $4.1 million for the three months ended September 30, 2017 and September 30, 2016,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respectively. The increase of $1.4 million was attributable to the interest expense recorded for the Exchangeable Notes issued in January 2017.</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Foreign Currency Gain (Loss), Net. </w:t>
      </w:r>
      <w:r>
        <w:rPr>
          <w:rFonts w:ascii="Arial" w:cs="Arial" w:eastAsia="Arial" w:hAnsi="Arial"/>
          <w:sz w:val="16"/>
          <w:szCs w:val="16"/>
          <w:color w:val="auto"/>
        </w:rPr>
        <w:t>Net foreign currency loss for the three months ended September 30, 2017 was $3.7 million compared to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foreign currency gain of $33.2 million for the three months ended September 30, 2016. The net foreign currency loss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was due to the depreciation in value of the Korean won relative to the U.S. dollar during the period. The net foreign currency gain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2016 was due to the appreciation in value of the Korean won relative to the U.S. dollar during the period.</w:t>
      </w:r>
    </w:p>
    <w:p>
      <w:pPr>
        <w:spacing w:after="0" w:line="21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September 30, 2017 and September 30, 2016, the outstanding intercompany loan balances including accrued interests between our Korean subsidiary and our Dutch subsidiary were $670 million and $591 million, respectively. The increase was primarily attributable to a newly executed intercompany loan of $75 million during the first quarter of 2017, which was used to transfer a portion of the net proceeds from the offering of the Exchangeable Notes from our Luxembourg subsidiary to our Dutch subsidiary, and then to our Korean subsidiary.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9"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rental income, interest income, and gains and losses from valuation of derivatives which were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hedging instruments. Others for the three months ended September 30, 2017 and September 30, 2016 was $0.2 million and $0.9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Income tax expenses for the three months ended September 30, 2017 were $0.9 million and for the three months ended September 30, 2016 were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$0.8 million. These were primarily related to a reduction in unrecognized tax benefits in the Korean subsidiary and accrued interests on intercompany loans.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As a result of the foregoing, net income decreased by $24.3 million for the three months ended September 30, 2017 compared to the three months ended September 30, 2016. As discussed above, the decrease in net income primarily resulted from a $36.8 million decrease in net foreign currency gain, which was partially offset by a $14.9 million increase in operating income.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Nine Months Ended September 30, 2017 and 2016</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consolidated results of operations for the nine months ended September 30, 2017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gridSpan w:val="10"/>
          </w:tcPr>
          <w:p>
            <w:pPr>
              <w:jc w:val="right"/>
              <w:ind w:right="548"/>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980" w:type="dxa"/>
            <w:vAlign w:val="bottom"/>
            <w:gridSpan w:val="8"/>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980" w:type="dxa"/>
            <w:vAlign w:val="bottom"/>
            <w:gridSpan w:val="10"/>
          </w:tcPr>
          <w:p>
            <w:pPr>
              <w:jc w:val="right"/>
              <w:ind w:right="548"/>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1980" w:type="dxa"/>
            <w:vAlign w:val="bottom"/>
            <w:gridSpan w:val="8"/>
          </w:tcPr>
          <w:p>
            <w:pPr>
              <w:ind w:left="140"/>
              <w:spacing w:after="0"/>
              <w:rPr>
                <w:sz w:val="20"/>
                <w:szCs w:val="20"/>
                <w:color w:val="auto"/>
              </w:rPr>
            </w:pPr>
            <w:r>
              <w:rPr>
                <w:rFonts w:ascii="Arial" w:cs="Arial" w:eastAsia="Arial" w:hAnsi="Arial"/>
                <w:sz w:val="14"/>
                <w:szCs w:val="14"/>
                <w:b w:val="1"/>
                <w:bCs w:val="1"/>
                <w:color w:val="auto"/>
              </w:rPr>
              <w:t>September 30, 2016</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6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65"/>
              <w:spacing w:after="0" w:line="119"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1420" w:type="dxa"/>
            <w:vAlign w:val="bottom"/>
            <w:gridSpan w:val="7"/>
          </w:tcPr>
          <w:p>
            <w:pPr>
              <w:jc w:val="right"/>
              <w:ind w:right="408"/>
              <w:spacing w:after="0"/>
              <w:rPr>
                <w:sz w:val="20"/>
                <w:szCs w:val="20"/>
                <w:color w:val="auto"/>
              </w:rPr>
            </w:pPr>
            <w:r>
              <w:rPr>
                <w:rFonts w:ascii="Arial" w:cs="Arial" w:eastAsia="Arial" w:hAnsi="Arial"/>
                <w:sz w:val="14"/>
                <w:szCs w:val="14"/>
                <w:b w:val="1"/>
                <w:bCs w:val="1"/>
                <w:color w:val="auto"/>
              </w:rPr>
              <w:t>Net Sales</w:t>
            </w:r>
          </w:p>
        </w:tc>
        <w:tc>
          <w:tcPr>
            <w:tcW w:w="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1"/>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6"/>
          </w:tcPr>
          <w:p>
            <w:pPr>
              <w:jc w:val="right"/>
              <w:ind w:right="260"/>
              <w:spacing w:after="0" w:line="142" w:lineRule="exact"/>
              <w:rPr>
                <w:sz w:val="20"/>
                <w:szCs w:val="20"/>
                <w:color w:val="auto"/>
              </w:rPr>
            </w:pPr>
            <w:r>
              <w:rPr>
                <w:rFonts w:ascii="Arial" w:cs="Arial" w:eastAsia="Arial" w:hAnsi="Arial"/>
                <w:sz w:val="14"/>
                <w:szCs w:val="14"/>
                <w:b w:val="1"/>
                <w:bCs w:val="1"/>
                <w:color w:val="auto"/>
                <w:w w:val="99"/>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$ 505.1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100.0%</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83"/>
              </w:rPr>
              <w:t>$ 507.5</w:t>
            </w: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23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366.6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8"/>
                <w:szCs w:val="18"/>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397.4</w:t>
            </w: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78.3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(30.8)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2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11.5</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2"/>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Restructuring and other charges (gain), net</w:t>
            </w:r>
          </w:p>
        </w:tc>
        <w:tc>
          <w:tcPr>
            <w:tcW w:w="3320" w:type="dxa"/>
            <w:vAlign w:val="bottom"/>
            <w:gridSpan w:val="5"/>
          </w:tcPr>
          <w:p>
            <w:pPr>
              <w:jc w:val="right"/>
              <w:ind w:right="312"/>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2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6.3</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(0.5)</w:t>
            </w: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gridSpan w:val="2"/>
            <w:vMerge w:val="continue"/>
          </w:tcPr>
          <w:p>
            <w:pPr>
              <w:spacing w:after="0"/>
              <w:rPr>
                <w:sz w:val="19"/>
                <w:szCs w:val="19"/>
                <w:color w:val="auto"/>
              </w:rPr>
            </w:pPr>
          </w:p>
        </w:tc>
        <w:tc>
          <w:tcPr>
            <w:tcW w:w="23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23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312"/>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Foreign currency gain, net</w:t>
            </w:r>
          </w:p>
        </w:tc>
        <w:tc>
          <w:tcPr>
            <w:tcW w:w="2900" w:type="dxa"/>
            <w:vAlign w:val="bottom"/>
            <w:gridSpan w:val="4"/>
          </w:tcPr>
          <w:p>
            <w:pPr>
              <w:jc w:val="right"/>
              <w:spacing w:after="0"/>
              <w:rPr>
                <w:sz w:val="20"/>
                <w:szCs w:val="20"/>
                <w:color w:val="auto"/>
              </w:rPr>
            </w:pPr>
            <w:r>
              <w:rPr>
                <w:rFonts w:ascii="Arial" w:cs="Arial" w:eastAsia="Arial" w:hAnsi="Arial"/>
                <w:sz w:val="18"/>
                <w:szCs w:val="18"/>
                <w:color w:val="auto"/>
              </w:rPr>
              <w:t>26.2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expenses</w:t>
            </w:r>
          </w:p>
        </w:tc>
        <w:tc>
          <w:tcPr>
            <w:tcW w:w="23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$ 41.3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9"/>
              </w:rPr>
              <w:t>$ 20.2</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Results by segment</w:t>
            </w:r>
          </w:p>
        </w:tc>
        <w:tc>
          <w:tcPr>
            <w:tcW w:w="2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8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8"/>
          </w:tcPr>
          <w:p>
            <w:pPr>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7"/>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8"/>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7"/>
          </w:tcPr>
          <w:p>
            <w:pPr>
              <w:ind w:left="100"/>
              <w:spacing w:after="0"/>
              <w:rPr>
                <w:sz w:val="20"/>
                <w:szCs w:val="20"/>
                <w:color w:val="auto"/>
              </w:rPr>
            </w:pPr>
            <w:r>
              <w:rPr>
                <w:rFonts w:ascii="Arial" w:cs="Arial" w:eastAsia="Arial" w:hAnsi="Arial"/>
                <w:sz w:val="14"/>
                <w:szCs w:val="14"/>
                <w:b w:val="1"/>
                <w:bCs w:val="1"/>
                <w:color w:val="auto"/>
              </w:rPr>
              <w:t>September 30, 2016</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88"/>
              </w:rPr>
              <w:t>Net Sales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3340" w:type="dxa"/>
            <w:vAlign w:val="bottom"/>
            <w:gridSpan w:val="6"/>
          </w:tcPr>
          <w:p>
            <w:pPr>
              <w:jc w:val="right"/>
              <w:ind w:right="20"/>
              <w:spacing w:after="0"/>
              <w:rPr>
                <w:sz w:val="20"/>
                <w:szCs w:val="20"/>
                <w:color w:val="auto"/>
              </w:rPr>
            </w:pPr>
            <w:r>
              <w:rPr>
                <w:rFonts w:ascii="Arial" w:cs="Arial" w:eastAsia="Arial" w:hAnsi="Arial"/>
                <w:sz w:val="18"/>
                <w:szCs w:val="18"/>
                <w:color w:val="auto"/>
              </w:rPr>
              <w:t>$ 239.5</w:t>
            </w: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47.4%</w:t>
            </w:r>
          </w:p>
        </w:tc>
        <w:tc>
          <w:tcPr>
            <w:tcW w:w="900" w:type="dxa"/>
            <w:vAlign w:val="bottom"/>
            <w:gridSpan w:val="5"/>
          </w:tcPr>
          <w:p>
            <w:pPr>
              <w:jc w:val="right"/>
              <w:ind w:right="160"/>
              <w:spacing w:after="0"/>
              <w:rPr>
                <w:sz w:val="20"/>
                <w:szCs w:val="20"/>
                <w:color w:val="auto"/>
              </w:rPr>
            </w:pPr>
            <w:r>
              <w:rPr>
                <w:rFonts w:ascii="Arial" w:cs="Arial" w:eastAsia="Arial" w:hAnsi="Arial"/>
                <w:sz w:val="18"/>
                <w:szCs w:val="18"/>
                <w:color w:val="auto"/>
              </w:rPr>
              <w:t>$ 196.2</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2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155.9</w:t>
            </w:r>
          </w:p>
        </w:tc>
        <w:tc>
          <w:tcPr>
            <w:tcW w:w="20" w:type="dxa"/>
            <w:vAlign w:val="bottom"/>
          </w:tcPr>
          <w:p>
            <w:pPr>
              <w:spacing w:after="0"/>
              <w:rPr>
                <w:sz w:val="18"/>
                <w:szCs w:val="18"/>
                <w:color w:val="auto"/>
              </w:rPr>
            </w:pPr>
          </w:p>
        </w:tc>
        <w:tc>
          <w:tcPr>
            <w:tcW w:w="960" w:type="dxa"/>
            <w:vAlign w:val="bottom"/>
            <w:gridSpan w:val="4"/>
          </w:tcPr>
          <w:p>
            <w:pPr>
              <w:jc w:val="right"/>
              <w:ind w:right="88"/>
              <w:spacing w:after="0"/>
              <w:rPr>
                <w:sz w:val="20"/>
                <w:szCs w:val="20"/>
                <w:color w:val="auto"/>
              </w:rPr>
            </w:pPr>
            <w:r>
              <w:rPr>
                <w:rFonts w:ascii="Arial" w:cs="Arial" w:eastAsia="Arial" w:hAnsi="Arial"/>
                <w:sz w:val="18"/>
                <w:szCs w:val="18"/>
                <w:color w:val="auto"/>
              </w:rPr>
              <w:t>30.9</w:t>
            </w:r>
          </w:p>
        </w:tc>
        <w:tc>
          <w:tcPr>
            <w:tcW w:w="900" w:type="dxa"/>
            <w:vAlign w:val="bottom"/>
            <w:gridSpan w:val="5"/>
          </w:tcPr>
          <w:p>
            <w:pPr>
              <w:jc w:val="right"/>
              <w:ind w:right="160"/>
              <w:spacing w:after="0"/>
              <w:rPr>
                <w:sz w:val="20"/>
                <w:szCs w:val="20"/>
                <w:color w:val="auto"/>
              </w:rPr>
            </w:pPr>
            <w:r>
              <w:rPr>
                <w:rFonts w:ascii="Arial" w:cs="Arial" w:eastAsia="Arial" w:hAnsi="Arial"/>
                <w:sz w:val="18"/>
                <w:szCs w:val="18"/>
                <w:color w:val="auto"/>
              </w:rPr>
              <w:t>217.2</w:t>
            </w:r>
          </w:p>
        </w:tc>
        <w:tc>
          <w:tcPr>
            <w:tcW w:w="1100" w:type="dxa"/>
            <w:vAlign w:val="bottom"/>
            <w:gridSpan w:val="4"/>
          </w:tcPr>
          <w:p>
            <w:pPr>
              <w:jc w:val="right"/>
              <w:ind w:right="40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93.8</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1060"/>
              <w:spacing w:after="0"/>
              <w:rPr>
                <w:sz w:val="20"/>
                <w:szCs w:val="20"/>
                <w:color w:val="auto"/>
              </w:rPr>
            </w:pPr>
            <w:r>
              <w:rPr>
                <w:rFonts w:ascii="Arial" w:cs="Arial" w:eastAsia="Arial" w:hAnsi="Arial"/>
                <w:sz w:val="18"/>
                <w:szCs w:val="18"/>
                <w:color w:val="auto"/>
              </w:rPr>
              <w:t>Total Standard Products Group</w:t>
            </w: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265.5</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52.6</w:t>
            </w:r>
          </w:p>
        </w:tc>
        <w:tc>
          <w:tcPr>
            <w:tcW w:w="1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310.9</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1060"/>
              <w:spacing w:after="0"/>
              <w:rPr>
                <w:sz w:val="20"/>
                <w:szCs w:val="20"/>
                <w:color w:val="auto"/>
              </w:rPr>
            </w:pPr>
            <w:r>
              <w:rPr>
                <w:rFonts w:ascii="Arial" w:cs="Arial" w:eastAsia="Arial" w:hAnsi="Arial"/>
                <w:sz w:val="18"/>
                <w:szCs w:val="18"/>
                <w:color w:val="auto"/>
              </w:rPr>
              <w:t>Total net sales</w:t>
            </w:r>
          </w:p>
        </w:tc>
        <w:tc>
          <w:tcPr>
            <w:tcW w:w="2800" w:type="dxa"/>
            <w:vAlign w:val="bottom"/>
            <w:gridSpan w:val="2"/>
            <w:vMerge w:val="restart"/>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505.1</w:t>
            </w: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507.5</w:t>
            </w:r>
          </w:p>
        </w:tc>
        <w:tc>
          <w:tcPr>
            <w:tcW w:w="16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8"/>
          </w:tcPr>
          <w:p>
            <w:pPr>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7"/>
          </w:tcPr>
          <w:p>
            <w:pPr>
              <w:ind w:left="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8"/>
          </w:tcPr>
          <w:p>
            <w:pPr>
              <w:ind w:left="2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7"/>
          </w:tcPr>
          <w:p>
            <w:pPr>
              <w:ind w:left="100"/>
              <w:spacing w:after="0"/>
              <w:rPr>
                <w:sz w:val="20"/>
                <w:szCs w:val="20"/>
                <w:color w:val="auto"/>
              </w:rPr>
            </w:pPr>
            <w:r>
              <w:rPr>
                <w:rFonts w:ascii="Arial" w:cs="Arial" w:eastAsia="Arial" w:hAnsi="Arial"/>
                <w:sz w:val="14"/>
                <w:szCs w:val="14"/>
                <w:b w:val="1"/>
                <w:bCs w:val="1"/>
                <w:color w:val="auto"/>
              </w:rPr>
              <w:t>September 30, 2016</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top w:val="single" w:sz="8" w:color="auto"/>
            </w:tcBorders>
            <w:gridSpan w:val="5"/>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center"/>
              <w:ind w:right="108"/>
              <w:spacing w:after="0"/>
              <w:rPr>
                <w:sz w:val="20"/>
                <w:szCs w:val="20"/>
                <w:color w:val="auto"/>
              </w:rPr>
            </w:pPr>
            <w:r>
              <w:rPr>
                <w:rFonts w:ascii="Arial" w:cs="Arial" w:eastAsia="Arial" w:hAnsi="Arial"/>
                <w:sz w:val="14"/>
                <w:szCs w:val="14"/>
                <w:b w:val="1"/>
                <w:bCs w:val="1"/>
                <w:color w:val="auto"/>
                <w:w w:val="88"/>
              </w:rPr>
              <w:t>Net Sales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900" w:type="dxa"/>
            <w:vAlign w:val="bottom"/>
            <w:gridSpan w:val="4"/>
          </w:tcPr>
          <w:p>
            <w:pPr>
              <w:ind w:left="2800"/>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69.9</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29.2%</w:t>
            </w:r>
          </w:p>
        </w:tc>
        <w:tc>
          <w:tcPr>
            <w:tcW w:w="900" w:type="dxa"/>
            <w:vAlign w:val="bottom"/>
            <w:gridSpan w:val="5"/>
          </w:tcPr>
          <w:p>
            <w:pPr>
              <w:jc w:val="right"/>
              <w:ind w:right="160"/>
              <w:spacing w:after="0"/>
              <w:rPr>
                <w:sz w:val="20"/>
                <w:szCs w:val="20"/>
                <w:color w:val="auto"/>
              </w:rPr>
            </w:pPr>
            <w:r>
              <w:rPr>
                <w:rFonts w:ascii="Arial" w:cs="Arial" w:eastAsia="Arial" w:hAnsi="Arial"/>
                <w:sz w:val="18"/>
                <w:szCs w:val="18"/>
                <w:color w:val="auto"/>
              </w:rPr>
              <w:t>$ 45.8</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25.8</w:t>
            </w:r>
          </w:p>
        </w:tc>
        <w:tc>
          <w:tcPr>
            <w:tcW w:w="9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64.8</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jc w:val="right"/>
              <w:ind w:right="88"/>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1100" w:type="dxa"/>
            <w:vAlign w:val="bottom"/>
            <w:gridSpan w:val="4"/>
          </w:tcPr>
          <w:p>
            <w:pPr>
              <w:jc w:val="right"/>
              <w:ind w:right="34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800" w:type="dxa"/>
            <w:vAlign w:val="bottom"/>
            <w:gridSpan w:val="2"/>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138.5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27.4</w:t>
            </w:r>
          </w:p>
        </w:tc>
        <w:tc>
          <w:tcPr>
            <w:tcW w:w="22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3"/>
              </w:rPr>
              <w:t>$ 110.1</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40" w:type="dxa"/>
            <w:vAlign w:val="bottom"/>
            <w:vMerge w:val="restart"/>
          </w:tcPr>
          <w:p>
            <w:pPr>
              <w:jc w:val="right"/>
              <w:ind w:right="930"/>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Net sales were $505.1 million for the nine months ended September 30, 2017, a $2.4 million, or 0.5%, decrease compared to $507.5 million for the nine months ended September 30, 2016. This decrease was primarily attributable to a net decrease in revenue from our Standard Products Group, which was offset in part by an increase in revenue from our Foundry Services Group as described below.</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Foundry Services Group. </w:t>
      </w:r>
      <w:r>
        <w:rPr>
          <w:rFonts w:ascii="Arial" w:cs="Arial" w:eastAsia="Arial" w:hAnsi="Arial"/>
          <w:sz w:val="18"/>
          <w:szCs w:val="18"/>
          <w:color w:val="auto"/>
        </w:rPr>
        <w:t>Net sales from our Foundry Services Group segment were $239.5 million for the nine months ended September 30, 2017,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$43.3 million, or 22.1%, increase compared to net sales of $196.2 million for the nine months ended September 30, 2016. The increase was primarily attributable to higher sales of certain products from global power management IC foundry customers and higher demand for our foundry services from certain customers serving the mid-range smartphone and consumer electronics markets. These increases were partially offset by a net decrease in demand of our foundry services from a customer serving the high-end smartphone market.</w:t>
      </w:r>
    </w:p>
    <w:p>
      <w:pPr>
        <w:spacing w:after="0" w:line="18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Net sales from our Standard Products Group segment were $265.5 million for the nine months ended September 30, 2017,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$45.5 million, or 14.6%, decrease compared to $310.9 million for the nine months ended September 30, 2016. This decrease was primarily attributable to a decrease in revenue from our mobile OLED display driver ICs stemming from a timing mismatch between the expected drop-off in revenue from our existing OLED products and the introduction of new OLED products, and also a lingering slowdown in the China smartphone market exacerbated by the recent delay of certain product launches in China. Such decrease was partially offset by an increase in revenue from large display products mainly due to higher demand of source drivers for ultra high definition TVs and from MOSFETs and premium power products for TV and industrial applications.</w:t>
      </w:r>
    </w:p>
    <w:p>
      <w:pPr>
        <w:spacing w:after="0" w:line="165"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$0.2 million for the nine months ended September 30, 2017 and $0.4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Total gross profit was $138.5 million for the nine months ended September 30, 2017 compared to $110.1 million for the nine months ended September 30, 2016, a $28.4 million, or 25.8%, increase. Gross profit as a percentage of net sales for the nine months ended September 30, 2017 increased to 27.4% compared to 21.7% for the nine months ended September 30, 2016. The increase in gross profit as a percentage of net sales was primarily due to an increase in gross profit from our Foundry Services Group segment as described below.</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Foundry Services Group. </w:t>
      </w:r>
      <w:r>
        <w:rPr>
          <w:rFonts w:ascii="Arial" w:cs="Arial" w:eastAsia="Arial" w:hAnsi="Arial"/>
          <w:sz w:val="17"/>
          <w:szCs w:val="17"/>
          <w:color w:val="auto"/>
        </w:rPr>
        <w:t>Gross profit from our Foundry Services Group segment was $69.9 million for the nine months ended September 30, 2017,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$24.1 million, or 52.5%, increase compared to $45.8 million for the nine months ended September 30, 2016. Gross profit as a percentage of net sales for the nine months ended September 30, 2017 increased to 29.2% compared to 23.4% for the nine months ended September 30, 2016. The increase in gross profit as a percentage of net sales was mainly attributable to a better product mix and increase in utilization rate. Our product mix improved partly due to ending the production and sale of legacy low margin products that were manufactured in our 6-inch fab, which was closed during the first quarter of 2016. The increase was also attributable to a favorable impact from reduction in headcount.</w:t>
      </w:r>
    </w:p>
    <w:p>
      <w:pPr>
        <w:spacing w:after="0" w:line="17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$68.5 million for the nine months ended September 30,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$3.6 million, or 5.6%, increase from $64.8 million for the nine months ended September 30, 2016. Gross profit as a percentage of net sales for the nine months ended September 30, 2017 increased to 25.8% compared to 20.9% for the nine months ended September 30, 2016. The increase in gross profit as a percentage of net sales was mainly attributable to the favorable impact of a higher utilization rate and reduction in headcount during 2017.</w:t>
      </w:r>
    </w:p>
    <w:p>
      <w:pPr>
        <w:spacing w:after="0" w:line="154"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 for the nine months ended September 30, 2017 was $0.2 million. All other gross profit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2016 was negative $0.5 million mainly attributable to training and transition costs related to our closed 6-inch fab employees, which was partially offset by revenue from the disposal of waste materials.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11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We report net sales by geographic region based on the location to which the products are billed. The following table sets forth our net sales by geographic region and the percentage of total net sales represented by each geographic region for the nine months ended September 30,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Nine Months Ended</w:t>
            </w:r>
          </w:p>
        </w:tc>
        <w:tc>
          <w:tcPr>
            <w:tcW w:w="240" w:type="dxa"/>
            <w:vAlign w:val="bottom"/>
          </w:tcPr>
          <w:p>
            <w:pPr>
              <w:spacing w:after="0"/>
              <w:rPr>
                <w:sz w:val="14"/>
                <w:szCs w:val="14"/>
                <w:color w:val="auto"/>
              </w:rPr>
            </w:pPr>
          </w:p>
        </w:tc>
        <w:tc>
          <w:tcPr>
            <w:tcW w:w="19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9"/>
              </w:rPr>
              <w:t>September 30, 2017</w:t>
            </w:r>
          </w:p>
        </w:tc>
        <w:tc>
          <w:tcPr>
            <w:tcW w:w="240" w:type="dxa"/>
            <w:vAlign w:val="bottom"/>
          </w:tcPr>
          <w:p>
            <w:pPr>
              <w:spacing w:after="0"/>
              <w:rPr>
                <w:sz w:val="14"/>
                <w:szCs w:val="14"/>
                <w:color w:val="auto"/>
              </w:rPr>
            </w:pPr>
          </w:p>
        </w:tc>
        <w:tc>
          <w:tcPr>
            <w:tcW w:w="19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 2016</w:t>
            </w: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19"/>
        </w:trPr>
        <w:tc>
          <w:tcPr>
            <w:tcW w:w="6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Net Sales</w:t>
            </w: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$ 207.4</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$ 156.0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239.2</w:t>
            </w:r>
          </w:p>
        </w:tc>
        <w:tc>
          <w:tcPr>
            <w:tcW w:w="3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47.4</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289.5</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(50.2)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Europe</w:t>
            </w: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29.1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32.8</w:t>
            </w: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68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505.1</w:t>
            </w:r>
          </w:p>
        </w:tc>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507.5</w:t>
            </w:r>
          </w:p>
        </w:tc>
        <w:tc>
          <w:tcPr>
            <w:tcW w:w="360" w:type="dxa"/>
            <w:vAlign w:val="bottom"/>
            <w:vMerge w:val="continue"/>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Net sales in Korea for the nine months ended September 30, 2017 increased from $156.0 million to $207.4 million compared to the nine months ended September 30, 2016, or by $51.4 million, or 33.0%, primarily due to higher demand of large display applications for TVs and our foundry services from certain customers serving the mid-range smartphone and consumer electronics markets. Higher sales of MOSFETs products also had a favorable impact.</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sales in Asia Pacific for the nine months ended September 30, 2017 decreased from $289.5 million to $239.2 million compared to the nine months ended September 30, 2016, or by $50.2 million, or 17.4%, primarily due to lower level of sales of mobile OLED display driver ICs, which was partially offset by an increase in sales of certain products from higher demand for our foundry services and due to a change in billing location from a global power management IC foundry customer.</w:t>
      </w:r>
    </w:p>
    <w:p>
      <w:pPr>
        <w:spacing w:after="0" w:line="18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Net sales in Europe for the nine months ended September 30, 2017 decreased from $32.8 million to $29.1 million compared to the nine months ended September 30, 2016, or by $3.7 million, or 11.3%, primarily due to lower demand of our foundry services from a customer serving the high-end smartphone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$58.1 million, or 11.5% of net sales, for the nine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ended September 30, 2017, compared to $60.4 million, or 11.9% of net sales, for the nine months ended September 30, 2016. The decrease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 million, or 3.8%, was primarily attributable to a decrease in salary expense as a result of our headcount reduction and a decrease in professional fees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mainly comprised of legal and consulting fees, which was partially offset by the civil penalty paid in connection with the final settlement with the SEC.</w:t>
      </w:r>
    </w:p>
    <w:p>
      <w:pPr>
        <w:spacing w:after="0" w:line="22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were $52.4 million, or 10.4% of net sales,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2017, compared to $54.4 million, or 10.7% of net sales, for the nine months ended September 30, 2016. The decrease of $2.0 million, or 3.7%, was primarily attributable to a decrease in salary expense as a result of our headcount reduction of non-key R&amp;D personnel.</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Restructuring and Other Charges (Gain), Net. </w:t>
      </w:r>
      <w:r>
        <w:rPr>
          <w:rFonts w:ascii="Arial" w:cs="Arial" w:eastAsia="Arial" w:hAnsi="Arial"/>
          <w:sz w:val="18"/>
          <w:szCs w:val="18"/>
          <w:color w:val="auto"/>
        </w:rPr>
        <w:t>Restructuring and other charges (gain), net of $17.0 million recorded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resulted from a $16.6 million restructuring gain on the sale of the building related to the closure of our 6-inch fab and a $0.4 million gain on sale of our sensor business. Restructuring and other charges (gain), net of $6.5 million recorded for the nine months ended September 30, 2016 resulted from the sale of machinery related to the closure of our 6-inch fab, which was offset by $1.3 million of training and transition costs related to the employees at our closed 6-inch fab.</w:t>
      </w:r>
    </w:p>
    <w:p>
      <w:pPr>
        <w:spacing w:after="0" w:line="188"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b w:val="1"/>
          <w:bCs w:val="1"/>
          <w:i w:val="1"/>
          <w:iCs w:val="1"/>
          <w:color w:val="auto"/>
        </w:rPr>
        <w:t xml:space="preserve">Early Termination Charges. </w:t>
      </w:r>
      <w:r>
        <w:rPr>
          <w:rFonts w:ascii="Arial" w:cs="Arial" w:eastAsia="Arial" w:hAnsi="Arial"/>
          <w:sz w:val="16"/>
          <w:szCs w:val="16"/>
          <w:color w:val="auto"/>
        </w:rPr>
        <w:t>Termination related charges related to the reduction of workforce through the Headcount Reduction Plan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30, 2017 and the Program for the nine months ended September 30, 2016 were $13.4 million and $4.2 million, respectively.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a result of the foregoing, an operating loss of $2.5 million for the nine months ended September 30, 2016 turned to operating income of</w:t>
      </w:r>
    </w:p>
    <w:p>
      <w:pPr>
        <w:spacing w:after="0" w:line="3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$31.6 million for the nine months ended September 30, 2017. This $34.1 million increase in operating income resulted from a $28.4 million increase in gross profit, a $10.5 million increase in restructuring and other gain, net, which was partially offset by a $9.1 million increase in early termination charges.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Expenses. </w:t>
      </w:r>
      <w:r>
        <w:rPr>
          <w:rFonts w:ascii="Arial" w:cs="Arial" w:eastAsia="Arial" w:hAnsi="Arial"/>
          <w:sz w:val="16"/>
          <w:szCs w:val="16"/>
          <w:color w:val="auto"/>
        </w:rPr>
        <w:t>Interest expense was $16.1 million for the nine months ended September 30, 2017 and $12.2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The increase of $ 3.9 million was attributable to the interest expense recorded for the Exchangeable Notes issued in January 2017.</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Foreign Currency Gain, Net. </w:t>
      </w:r>
      <w:r>
        <w:rPr>
          <w:rFonts w:ascii="Arial" w:cs="Arial" w:eastAsia="Arial" w:hAnsi="Arial"/>
          <w:sz w:val="18"/>
          <w:szCs w:val="18"/>
          <w:color w:val="auto"/>
        </w:rPr>
        <w:t>Net foreign currency gain for the nine months ended September 30, 2017 was $26.2 million compared to net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gain of $34.3 million for the nine months ended September 30, 2016. The net foreign currency gain for the nine months ended September 30, 2017 and 2016 was due to the appreciation in value of the Korean won relative to the U.S. dollar during the periods.</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September 30, 2017 and September 30, 2016, the outstanding intercompany loan balances including accrued interests between our Korean subsidiary and our Dutch subsidiary were $670 million and $591 million, respectively. The increase was primarily attributable to a newly executed intercompany loan of $75 million during the first quarter of 2017, which was used to transfer a portion of the net proceeds from the offering of the Exchangeable Notes from our Luxembourg subsidiary to our Dutch subsidiary, and then to our Korean subsidiary.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79"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interest income. Others for the nine months ended September 30, 2017 and September 30, 2016 was $1.9 million and $2.4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Income tax expenses for the nine months ended September 30, 2017 and 2016 were $2.3 million and $1.8 million, respectively. The increase in income tax expenses was primarily attributable to changes in unrecognized tax benefits as a result of a lapse of the applicable statute of limitations in the Korean subsidiary and an increase in accrued interests on intercompany loans.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As a result of the foregoing, net income increased by $21.1 million for the nine months ended September 30, 2017 compared to the nine months ended September 30, 2016. As discussed above, the increase in net income primarily resulted from a $34.1 million increase in operating income, which was partially offset by a $3.9 million increase in interest expenses and an $8.0 million decrease in net foreign currency gain.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7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1. Interim Consolidated Financial Statements—Notes to Consolidated Financial Statements—Note 2. Sales of Accounts Receivable and Receivable Discount Program” included elsewhere in this Report. In addition, from time to time, we may make payments to our vendors on extended terms with their consent. As of September 30, 2017, we do not have any accounts payable on extended terms or payment deferment with our vendors.</w:t>
      </w:r>
    </w:p>
    <w:p>
      <w:pPr>
        <w:spacing w:after="0" w:line="19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January 17, 2017, MagnaChip Semiconductor S.A., our Luxembourg subsidiary, closed the Exchangeable Notes Offering of the Exchangeable Notes with $86.25 million aggregate principal amount, reflecting the full exercise of the initial purchasers’ option to purchase additional Exchangeable Notes. We used a portion of the net proceeds from the Exchangeable Notes Offering to repurchase approximately $11.4 million of our common stock as part of our stock repurchase program.</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Cash outflow used in operating activities totaled $22.5 million for the nine months ended September 30, 2017, compared to $13.9 million for the nine months ended September 30, 2016. The net operating cash outflow for the nine months ended September 30, 2017 reflects our net income of $41.3 million and adjustments of $8.0 million which mainly consisted of depreciation and amortization, provision for severance benefits, net foreign currency gain and restructuring gain and other, and a net decrease in operating assets and liabilities of $55.7 million. The decrease in changes in operating assets and liabilities was mainly attributable to a significant decrease in accounts receivable discounting during the nine months of 2017 and the payments of statutory severance to the employees that resigned from the Company.</w:t>
      </w:r>
    </w:p>
    <w:p>
      <w:pPr>
        <w:spacing w:after="0" w:line="193"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working capital balance as of September 30, 2017 was $176.4 million compared to $89.3 million as of December 31, 2016. The $87.1 million increase was primarily attributable to a $45.1 million increase in cash and cash equivalents, a $24.3 million increase in accounts receivable, net and a $15.0 million decrease in accrued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Cash outflow used in investing activities totaled $6.4 million for the nine months ended September 30, 2017, compared to $7.8 million of cash outflow used in investing activities for the nine months ended September 30, 2016. The $1.4 million increase was attributable to a $10.4 million net increase in proceeds from disposal of plant, property and equipment and a $1.1 million net decrease in guarantee deposits, which was partly offset by a $10.1 million net increase in hedge collateral.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Cash inflow generated by financing activities totaled $72.3 million for the nine months ended September 30, 2017, compared to $1.5 million of cash inflow from financing activities for the nine months ended September 30, 2016. The $70.8 million increase was attributable to $80.3 million of net proceeds received from the issuance of the Exchangeable Notes and $1.9 million increase in proceeds received from the exercised stock options, which was partly offset by the payment of $11.4 million for the repurchase of 1,795,444 shares of our common stock in January 2017 pursuant to our stock repurchase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routinely make capital expenditures for fab maintenance, enhancement of our existing facilities and reinforcement of our global research and development capability. For the nine months ended September 30, 2017, capital expenditures (including payments for intellectual property registration) were $20.2 million, an $8.1 million, or 67.3%, increase from $12.1 million for the nine months ended September 30, 2016. The increase was mainly due to equipment purchased to support demand of certain process technology.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September 30,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gridSpan w:val="2"/>
          </w:tcPr>
          <w:p>
            <w:pPr>
              <w:jc w:val="right"/>
              <w:ind w:right="56"/>
              <w:spacing w:after="0" w:line="119" w:lineRule="exact"/>
              <w:rPr>
                <w:sz w:val="20"/>
                <w:szCs w:val="20"/>
                <w:color w:val="auto"/>
              </w:rPr>
            </w:pPr>
            <w:r>
              <w:rPr>
                <w:rFonts w:ascii="Arial" w:cs="Arial" w:eastAsia="Arial" w:hAnsi="Arial"/>
                <w:sz w:val="13"/>
                <w:szCs w:val="13"/>
                <w:b w:val="1"/>
                <w:bCs w:val="1"/>
                <w:color w:val="auto"/>
              </w:rPr>
              <w:t>Remainder</w:t>
            </w: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68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rPr>
              <w:t>of</w:t>
            </w:r>
          </w:p>
        </w:tc>
        <w:tc>
          <w:tcPr>
            <w:tcW w:w="5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2020</w:t>
            </w:r>
          </w:p>
        </w:tc>
        <w:tc>
          <w:tcPr>
            <w:tcW w:w="7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5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(In millions)</w:t>
            </w:r>
          </w:p>
        </w:tc>
        <w:tc>
          <w:tcPr>
            <w:tcW w:w="6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w:t>
            </w:r>
            <w:r>
              <w:rPr>
                <w:rFonts w:ascii="Arial" w:cs="Arial" w:eastAsia="Arial" w:hAnsi="Arial"/>
                <w:sz w:val="15"/>
                <w:szCs w:val="15"/>
                <w:color w:val="auto"/>
              </w:rPr>
              <w:t>(1)</w:t>
            </w:r>
          </w:p>
        </w:tc>
        <w:tc>
          <w:tcPr>
            <w:tcW w:w="29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$ 4.3</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$ 4.3</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$ 88.4</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2021 Notes</w:t>
            </w:r>
            <w:r>
              <w:rPr>
                <w:rFonts w:ascii="Arial" w:cs="Arial" w:eastAsia="Arial" w:hAnsi="Arial"/>
                <w:sz w:val="15"/>
                <w:szCs w:val="15"/>
                <w:color w:val="auto"/>
              </w:rPr>
              <w:t>(2)</w:t>
            </w:r>
          </w:p>
        </w:tc>
        <w:tc>
          <w:tcPr>
            <w:tcW w:w="2900" w:type="dxa"/>
            <w:vAlign w:val="bottom"/>
            <w:gridSpan w:val="2"/>
          </w:tcPr>
          <w:p>
            <w:pPr>
              <w:jc w:val="right"/>
              <w:ind w:right="48"/>
              <w:spacing w:after="0"/>
              <w:rPr>
                <w:sz w:val="20"/>
                <w:szCs w:val="20"/>
                <w:color w:val="auto"/>
              </w:rPr>
            </w:pPr>
            <w:r>
              <w:rPr>
                <w:rFonts w:ascii="Arial" w:cs="Arial" w:eastAsia="Arial" w:hAnsi="Arial"/>
                <w:sz w:val="18"/>
                <w:szCs w:val="18"/>
                <w:color w:val="auto"/>
              </w:rPr>
              <w:t>284.6</w:t>
            </w:r>
          </w:p>
        </w:tc>
        <w:tc>
          <w:tcPr>
            <w:tcW w:w="280" w:type="dxa"/>
            <w:vAlign w:val="bottom"/>
          </w:tcPr>
          <w:p>
            <w:pPr>
              <w:spacing w:after="0"/>
              <w:rPr>
                <w:sz w:val="18"/>
                <w:szCs w:val="18"/>
                <w:color w:val="auto"/>
              </w:rPr>
            </w:pPr>
          </w:p>
        </w:tc>
        <w:tc>
          <w:tcPr>
            <w:tcW w:w="68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w:t>
            </w:r>
          </w:p>
        </w:tc>
        <w:tc>
          <w:tcPr>
            <w:tcW w:w="840" w:type="dxa"/>
            <w:vAlign w:val="bottom"/>
          </w:tcPr>
          <w:p>
            <w:pPr>
              <w:jc w:val="right"/>
              <w:ind w:right="116"/>
              <w:spacing w:after="0"/>
              <w:rPr>
                <w:sz w:val="20"/>
                <w:szCs w:val="20"/>
                <w:color w:val="auto"/>
              </w:rPr>
            </w:pPr>
            <w:r>
              <w:rPr>
                <w:rFonts w:ascii="Arial" w:cs="Arial" w:eastAsia="Arial" w:hAnsi="Arial"/>
                <w:sz w:val="18"/>
                <w:szCs w:val="18"/>
                <w:color w:val="auto"/>
              </w:rPr>
              <w:t>14.9</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239.9</w:t>
            </w:r>
          </w:p>
        </w:tc>
        <w:tc>
          <w:tcPr>
            <w:tcW w:w="34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r>
              <w:rPr>
                <w:rFonts w:ascii="Arial" w:cs="Arial" w:eastAsia="Arial" w:hAnsi="Arial"/>
                <w:sz w:val="15"/>
                <w:szCs w:val="15"/>
                <w:color w:val="auto"/>
              </w:rPr>
              <w:t>(3)</w:t>
            </w:r>
          </w:p>
        </w:tc>
        <w:tc>
          <w:tcPr>
            <w:tcW w:w="29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4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7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15"/>
                <w:szCs w:val="15"/>
                <w:color w:val="auto"/>
              </w:rPr>
              <w:t>(4)</w:t>
            </w:r>
          </w:p>
        </w:tc>
        <w:tc>
          <w:tcPr>
            <w:tcW w:w="2900" w:type="dxa"/>
            <w:vAlign w:val="bottom"/>
            <w:gridSpan w:val="2"/>
          </w:tcPr>
          <w:p>
            <w:pPr>
              <w:jc w:val="right"/>
              <w:ind w:right="48"/>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20"/>
                <w:szCs w:val="20"/>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3.3</w:t>
            </w: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840" w:type="dxa"/>
            <w:vAlign w:val="bottom"/>
          </w:tcPr>
          <w:p>
            <w:pPr>
              <w:jc w:val="right"/>
              <w:ind w:right="116"/>
              <w:spacing w:after="0"/>
              <w:rPr>
                <w:sz w:val="20"/>
                <w:szCs w:val="20"/>
                <w:color w:val="auto"/>
              </w:rPr>
            </w:pPr>
            <w:r>
              <w:rPr>
                <w:rFonts w:ascii="Arial" w:cs="Arial" w:eastAsia="Arial" w:hAnsi="Arial"/>
                <w:sz w:val="18"/>
                <w:szCs w:val="18"/>
                <w:color w:val="auto"/>
              </w:rPr>
              <w:t>1.2</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00" w:hanging="452"/>
        <w:spacing w:after="0" w:line="25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payments as well as $86.25 million aggregate principal amount of the Exchangeable Notes outstanding as of September 30, 2017, which bear interest at a rate of 5.0% per annum and are scheduled to mature in 2021 if not earlier converted or redeemed.</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payments as well as $225.0 million aggregate principal amount of the 2021 Notes outstanding as of September 30, 2017, which bear interest at a rate of 6.625% per annum and are scheduled to mature in 2021 if not earlier redeemed.</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1,146.7:1, the exchange rate as of September 30,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license agreements and other contractual obligations.</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1. Interim Consolidated Financial Statements—Notes to Consolidated Financial Statements— Note 9.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225"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We follow accounting guidance on uncertain tax positions. Our unrecognized tax benefits totaled $2.4 million as of September 30, 2017. These unrecognized tax benefits have been excluded from the above table because we cannot estimate the period of cash settlement with the respective taxing authorities.</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Although we are obligated to pay severance benefits to eligible employees with one or more years of service upon the termination of their employment based on their length of service and rate pay, we have no obligation to fund the accrued severance benefits. Our accrued severance benefits totaled</w:t>
      </w:r>
    </w:p>
    <w:p>
      <w:pPr>
        <w:ind w:right="380"/>
        <w:spacing w:after="0" w:line="261" w:lineRule="auto"/>
        <w:rPr>
          <w:sz w:val="20"/>
          <w:szCs w:val="20"/>
          <w:color w:val="auto"/>
        </w:rPr>
      </w:pPr>
      <w:r>
        <w:rPr>
          <w:rFonts w:ascii="Arial" w:cs="Arial" w:eastAsia="Arial" w:hAnsi="Arial"/>
          <w:sz w:val="18"/>
          <w:szCs w:val="18"/>
          <w:color w:val="auto"/>
        </w:rPr>
        <w:t>$132.3 million as of September 30, 2017. Our obligations in connection with severance benefits have been excluded from the above table because we are unable to reasonably estimate the rate of termination and related cash payments for future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believe that our significant accounting policies, which are described further in Note 1 to our consolidated financial statements in our 2016 Form 10-K,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15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 description of our critical accounting policies that involve significant management judgement appears in our 2016 Form 10-K, under “Management’s Discussion and Analysis of Financial Conditions and Reports of Operations—Critical Accounting Policies and Estimates.” There have been no material changes to our critical accounting policies and estimates as compared to our critical accounting policies and estimates included in our 2016 Form 10-K.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a full description of new accounting pronouncements and recently adopted accounting pronouncements, please see “Item 1. Interim Consolidated Financial Statements—Notes to Consolidated Financial Statements—Note 1. Business, Basis of Presentation and Significant Accounting Policies” in this Report.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Exposures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exposure to foreign currency exchange rate fluctuations on net income from our subsidiaries denominated in currencies other than</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30, 2017 for our Korean subsidiary, a 10% devaluation of the Korean won against the U.S. dollar would have resulted in a decrease of $2.1 million in our U.S. dollar financial instruments and cash balances.</w:t>
      </w:r>
    </w:p>
    <w:p>
      <w:pPr>
        <w:spacing w:after="0" w:line="19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See “Note 7.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Exposures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September 30, 2017, $86.25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September 30, 2017, $225.0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connection with the preparation of this Report, we carried out an evaluation under the supervision of and with the participation of our management, including our Chief Executive Officer and Chief Financial Officer, as of September 30, 2017,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effective as of September 30,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2017 that have materially affected, or are reasonably likely to materially affect, our internal control over financial reporting.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legal proceedings, see “Part I: Item 3. Legal Proceedings” of our 2016 Form 10-K.</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See also “Part I: Item 1A. Risk Factors” of our 2016 Form 10-K and Note 18 to our consolidated financial statements in this Report for additional information.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Company is subject to risks and uncertainties, any of which could have a significant or material adverse effect on our business, financial condition, liquidity or consolidated financial statements. You should carefully consider the risk factors disclosed in Part I, Item 1A of our 2016 Form 10-K and other reports we have filed with the SEC. The risks described herein and therein are not the only ones we face. This information should be considered carefully together with the other information contained in this Report and the other reports and materials the Company files with the SEC.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material changes to the Company’s risk factors disclosed in “Part I: Item 1A. Risk Factors” of our 2016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040" w:type="dxa"/>
            <w:vAlign w:val="bottom"/>
            <w:gridSpan w:val="7"/>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160" w:type="dxa"/>
            <w:vAlign w:val="bottom"/>
          </w:tcPr>
          <w:p>
            <w:pPr>
              <w:spacing w:after="0"/>
              <w:rPr>
                <w:sz w:val="24"/>
                <w:szCs w:val="2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5"/>
        </w:trPr>
        <w:tc>
          <w:tcPr>
            <w:tcW w:w="16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300" w:type="dxa"/>
            <w:vAlign w:val="bottom"/>
            <w:gridSpan w:val="5"/>
          </w:tcPr>
          <w:p>
            <w:pPr>
              <w:ind w:left="3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51"/>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20" w:type="dxa"/>
            <w:vAlign w:val="bottom"/>
            <w:gridSpan w:val="6"/>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Certification pursuant to Rule 13a-14(a) or Rule 15d-14(a) of the Securities Exchange Act of 1934 of the Chief Executive Officer.</w:t>
              </w:r>
            </w:hyperlink>
          </w:p>
        </w:tc>
      </w:tr>
      <w:tr>
        <w:trPr>
          <w:trHeight w:val="30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pursuant to Rule 13a-14(a) or Rule 15d-14(a) of the Securities Exchange Act of 1934 of the Chief Financial Officer.</w:t>
              </w:r>
            </w:hyperlink>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r>
      <w:tr>
        <w:trPr>
          <w:trHeight w:val="304"/>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Certification pursuant to 18 U.S.C. Section 1350, as adopted pursuant to Section 906 of the Sarbanes-Oxley Act of 2002, of the Chief</w:t>
              </w:r>
            </w:hyperlink>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20" w:type="dxa"/>
            <w:vAlign w:val="bottom"/>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Executive Officer.</w:t>
              </w:r>
            </w:hyperlink>
          </w:p>
        </w:tc>
      </w:tr>
      <w:tr>
        <w:trPr>
          <w:trHeight w:val="20"/>
        </w:trPr>
        <w:tc>
          <w:tcPr>
            <w:tcW w:w="8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Borders>
              <w:right w:val="single" w:sz="8" w:color="0000EE"/>
            </w:tcBorders>
            <w:shd w:val="clear" w:color="auto" w:fill="0000EE"/>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r>
      <w:tr>
        <w:trPr>
          <w:trHeight w:val="304"/>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Certification pursuant to 18 U.S.C. Section 1350, as adopted pursuant to Section 906 of the Sarbanes-Oxley Act of 2002, of the Chief</w:t>
              </w:r>
            </w:hyperlink>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Financial Officer.</w:t>
              </w:r>
            </w:hyperlink>
          </w:p>
        </w:tc>
        <w:tc>
          <w:tcPr>
            <w:tcW w:w="8300" w:type="dxa"/>
            <w:vAlign w:val="bottom"/>
            <w:gridSpan w:val="5"/>
          </w:tcPr>
          <w:p>
            <w:pPr>
              <w:spacing w:after="0"/>
              <w:rPr>
                <w:sz w:val="17"/>
                <w:szCs w:val="17"/>
                <w:color w:val="auto"/>
              </w:rPr>
            </w:pPr>
          </w:p>
        </w:tc>
      </w:tr>
      <w:tr>
        <w:trPr>
          <w:trHeight w:val="345"/>
        </w:trPr>
        <w:tc>
          <w:tcPr>
            <w:tcW w:w="840" w:type="dxa"/>
            <w:vAlign w:val="bottom"/>
            <w:gridSpan w:val="3"/>
          </w:tcPr>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r>
              <w:rPr>
                <w:rFonts w:ascii="Arial" w:cs="Arial" w:eastAsia="Arial" w:hAnsi="Arial"/>
                <w:sz w:val="15"/>
                <w:szCs w:val="15"/>
                <w:color w:val="auto"/>
              </w:rPr>
              <w:t>#</w:t>
            </w:r>
          </w:p>
        </w:tc>
        <w:tc>
          <w:tcPr>
            <w:tcW w:w="42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80"/>
          </w:cols>
          <w:pgMar w:left="240" w:top="459" w:right="7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November 8, 2017</w:t>
      </w:r>
      <w:r>
        <w:rPr>
          <w:sz w:val="20"/>
          <w:szCs w:val="20"/>
          <w:color w:val="auto"/>
        </w:rPr>
        <w:tab/>
      </w:r>
      <w:r>
        <w:rPr>
          <w:rFonts w:ascii="Arial" w:cs="Arial" w:eastAsia="Arial" w:hAnsi="Arial"/>
          <w:sz w:val="17"/>
          <w:szCs w:val="17"/>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November 8, 2017</w:t>
      </w:r>
      <w:r>
        <w:rPr>
          <w:sz w:val="20"/>
          <w:szCs w:val="20"/>
          <w:color w:val="auto"/>
        </w:rPr>
        <w:tab/>
      </w:r>
      <w:r>
        <w:rPr>
          <w:rFonts w:ascii="Arial" w:cs="Arial" w:eastAsia="Arial" w:hAnsi="Arial"/>
          <w:sz w:val="16"/>
          <w:szCs w:val="16"/>
          <w:color w:val="auto"/>
        </w:rPr>
        <w:t>By:  /s/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Executive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225"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64"/>
        <w:spacing w:after="0" w:line="308"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225" w:lineRule="exact"/>
        <w:rPr>
          <w:sz w:val="20"/>
          <w:szCs w:val="20"/>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Corporation;</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64"/>
        <w:spacing w:after="0" w:line="264"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460" w:right="220" w:firstLine="4"/>
        <w:spacing w:after="0" w:line="264"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4"/>
        <w:spacing w:after="0" w:line="264"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20" w:firstLine="4"/>
        <w:spacing w:after="0" w:line="308" w:lineRule="auto"/>
        <w:tabs>
          <w:tab w:leader="none" w:pos="705"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64"/>
        <w:spacing w:after="0" w:line="308" w:lineRule="auto"/>
        <w:tabs>
          <w:tab w:leader="none" w:pos="6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460" w:right="400" w:firstLine="4"/>
        <w:spacing w:after="0" w:line="277"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40" w:firstLine="4"/>
        <w:spacing w:after="0" w:line="277" w:lineRule="auto"/>
        <w:tabs>
          <w:tab w:leader="none" w:pos="7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280" w:firstLine="464"/>
        <w:spacing w:after="0" w:line="264"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2017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140" w:firstLine="464"/>
        <w:spacing w:after="0" w:line="277" w:lineRule="auto"/>
        <w:tabs>
          <w:tab w:leader="none" w:pos="7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November 8, 2017</w:t>
      </w:r>
      <w:r>
        <w:rPr>
          <w:sz w:val="20"/>
          <w:szCs w:val="20"/>
          <w:color w:val="auto"/>
        </w:rPr>
        <w:tab/>
      </w:r>
      <w:r>
        <w:rPr>
          <w:rFonts w:ascii="Arial" w:cs="Arial" w:eastAsia="Arial" w:hAnsi="Arial"/>
          <w:sz w:val="16"/>
          <w:szCs w:val="16"/>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certifies, to such officer’s knowledge, that:</w:t>
      </w:r>
    </w:p>
    <w:p>
      <w:pPr>
        <w:spacing w:after="0" w:line="170" w:lineRule="exact"/>
        <w:rPr>
          <w:sz w:val="20"/>
          <w:szCs w:val="20"/>
          <w:color w:val="auto"/>
        </w:rPr>
      </w:pPr>
    </w:p>
    <w:p>
      <w:pPr>
        <w:ind w:right="280" w:firstLine="464"/>
        <w:spacing w:after="0" w:line="264" w:lineRule="auto"/>
        <w:tabs>
          <w:tab w:leader="none" w:pos="6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2017 as filed with the Securities and Exchange Commission on the date hereof (the “</w:t>
      </w:r>
      <w:r>
        <w:rPr>
          <w:rFonts w:ascii="Arial" w:cs="Arial" w:eastAsia="Arial" w:hAnsi="Arial"/>
          <w:sz w:val="18"/>
          <w:szCs w:val="18"/>
          <w:b w:val="1"/>
          <w:bCs w:val="1"/>
          <w:color w:val="auto"/>
        </w:rPr>
        <w:t>Report</w:t>
      </w:r>
      <w:r>
        <w:rPr>
          <w:rFonts w:ascii="Arial" w:cs="Arial" w:eastAsia="Arial" w:hAnsi="Arial"/>
          <w:sz w:val="18"/>
          <w:szCs w:val="18"/>
          <w:color w:val="auto"/>
        </w:rPr>
        <w:t>”) fully complies with the requirements of Section 13(a) or Section 15(d), as applicable, of the Securities Exchange Act of 1934, as amended; and</w:t>
      </w:r>
    </w:p>
    <w:p>
      <w:pPr>
        <w:spacing w:after="0" w:line="181" w:lineRule="exact"/>
        <w:rPr>
          <w:rFonts w:ascii="Arial" w:cs="Arial" w:eastAsia="Arial" w:hAnsi="Arial"/>
          <w:sz w:val="18"/>
          <w:szCs w:val="18"/>
          <w:color w:val="auto"/>
        </w:rPr>
      </w:pPr>
    </w:p>
    <w:p>
      <w:pPr>
        <w:ind w:right="140" w:firstLine="464"/>
        <w:spacing w:after="0" w:line="277" w:lineRule="auto"/>
        <w:tabs>
          <w:tab w:leader="none" w:pos="72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November 8, 2017</w:t>
      </w:r>
      <w:r>
        <w:rPr>
          <w:sz w:val="20"/>
          <w:szCs w:val="20"/>
          <w:color w:val="auto"/>
        </w:rPr>
        <w:tab/>
      </w:r>
      <w:r>
        <w:rPr>
          <w:rFonts w:ascii="Arial" w:cs="Arial" w:eastAsia="Arial" w:hAnsi="Arial"/>
          <w:sz w:val="16"/>
          <w:szCs w:val="16"/>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Roman"/>
      <w:start w:val="3"/>
    </w:lvl>
  </w:abstractNum>
  <w:abstractNum w:abstractNumId="3">
    <w:nsid w:val="25E45D32"/>
    <w:multiLevelType w:val="hybridMultilevel"/>
    <w:lvl w:ilvl="0">
      <w:lvlJc w:val="left"/>
      <w:lvlText w:val="(%1)"/>
      <w:numFmt w:val="lowerRoman"/>
      <w:start w:val="7"/>
    </w:lvl>
  </w:abstractNum>
  <w:abstractNum w:abstractNumId="4">
    <w:nsid w:val="519B500D"/>
    <w:multiLevelType w:val="hybridMultilevel"/>
    <w:lvl w:ilvl="0">
      <w:lvlJc w:val="left"/>
      <w:lvlText w:val="(%1)"/>
      <w:numFmt w:val="lowerRoman"/>
      <w:start w:val="10"/>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lowerRoman"/>
      <w:start w:val="6"/>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lowerLetter"/>
      <w:start w:val="1"/>
    </w:lvl>
  </w:abstractNum>
  <w:abstractNum w:abstractNumId="10">
    <w:nsid w:val="436C6125"/>
    <w:multiLevelType w:val="hybridMultilevel"/>
    <w:lvl w:ilvl="0">
      <w:lvlJc w:val="left"/>
      <w:lvlText w:val="(%1)"/>
      <w:numFmt w:val="lowerLetter"/>
      <w:start w:val="2"/>
    </w:lvl>
    <w:lvl w:ilvl="1">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1)"/>
      <w:numFmt w:val="lowerRoman"/>
      <w:start w:val="5"/>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4"/>
    </w:lvl>
  </w:abstractNum>
  <w:abstractNum w:abstractNumId="16">
    <w:nsid w:val="6763845E"/>
    <w:multiLevelType w:val="hybridMultilevel"/>
    <w:lvl w:ilvl="0">
      <w:lvlJc w:val="left"/>
      <w:lvlText w:val="(%1)"/>
      <w:numFmt w:val="lowerLetter"/>
      <w:start w:val="5"/>
    </w:lvl>
    <w:lvl w:ilvl="1">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5"/>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5"/>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2019-12-29T03:03:22Z</dcterms:created>
  <dcterms:modified xsi:type="dcterms:W3CDTF">2019-12-29T03:03:22Z</dcterms:modified>
</cp:coreProperties>
</file>