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As filed with the Securities and Exchange Commission on February 22, 2019</w:t>
      </w:r>
    </w:p>
    <w:p>
      <w:pPr>
        <w:spacing w:after="0" w:line="29" w:lineRule="exact"/>
        <w:rPr>
          <w:sz w:val="24"/>
          <w:szCs w:val="24"/>
          <w:color w:val="auto"/>
        </w:rPr>
      </w:pPr>
    </w:p>
    <w:p>
      <w:pPr>
        <w:ind w:left="934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-5080</wp:posOffset>
            </wp:positionV>
            <wp:extent cx="361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241935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REGISTRATION STATEMENT</w:t>
      </w:r>
    </w:p>
    <w:p>
      <w:pPr>
        <w:jc w:val="center"/>
        <w:spacing w:after="0" w:line="232" w:lineRule="auto"/>
        <w:rPr>
          <w:sz w:val="20"/>
          <w:szCs w:val="20"/>
          <w:color w:val="auto"/>
        </w:rPr>
      </w:pPr>
      <w:r>
        <w:rPr>
          <w:rFonts w:ascii="Arial" w:cs="Arial" w:eastAsia="Arial" w:hAnsi="Arial"/>
          <w:sz w:val="23"/>
          <w:szCs w:val="23"/>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233045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MagnaChip Semiconductor Corporation</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240665</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640"/>
          </w:cols>
          <w:pgMar w:left="300" w:top="93" w:right="30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83-0406195</w:t>
      </w:r>
    </w:p>
    <w:p>
      <w:pPr>
        <w:spacing w:after="0" w:line="42" w:lineRule="exact"/>
        <w:rPr>
          <w:sz w:val="24"/>
          <w:szCs w:val="24"/>
          <w:color w:val="auto"/>
        </w:rPr>
      </w:pPr>
    </w:p>
    <w:p>
      <w:pPr>
        <w:sectPr>
          <w:pgSz w:w="12240" w:h="15840" w:orient="portrait"/>
          <w:cols w:equalWidth="0" w:num="2">
            <w:col w:w="7640" w:space="720"/>
            <w:col w:w="3280"/>
          </w:cols>
          <w:pgMar w:left="300" w:top="93" w:right="300" w:bottom="0" w:gutter="0" w:footer="0" w:header="0"/>
          <w:type w:val="continuous"/>
        </w:sectPr>
      </w:pPr>
    </w:p>
    <w:p>
      <w:pPr>
        <w:ind w:left="1980"/>
        <w:spacing w:after="0"/>
        <w:rPr>
          <w:sz w:val="20"/>
          <w:szCs w:val="20"/>
          <w:color w:val="auto"/>
        </w:rPr>
      </w:pPr>
      <w:r>
        <w:rPr>
          <w:rFonts w:ascii="Arial" w:cs="Arial" w:eastAsia="Arial" w:hAnsi="Arial"/>
          <w:sz w:val="14"/>
          <w:szCs w:val="14"/>
          <w:b w:val="1"/>
          <w:bCs w:val="1"/>
          <w:color w:val="auto"/>
        </w:rPr>
        <w:t>(State or other jurisdiction of</w:t>
      </w:r>
    </w:p>
    <w:p>
      <w:pPr>
        <w:ind w:left="1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2240" w:h="15840" w:orient="portrait"/>
          <w:cols w:equalWidth="0" w:num="2">
            <w:col w:w="7500" w:space="720"/>
            <w:col w:w="3420"/>
          </w:cols>
          <w:pgMar w:left="300" w:top="93" w:right="300" w:bottom="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 MagnaChip Semiconductor S.A.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1, Allée Scheffer, L-2520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Luxembourg, Grand Duchy of Luxembourg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229870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640"/>
          </w:cols>
          <w:pgMar w:left="300" w:top="93" w:right="300" w:bottom="0" w:gutter="0" w:footer="0" w:header="0"/>
          <w:type w:val="continuous"/>
        </w:sect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MAGNACHIP SEMICONDUCTOR CORPORATION 2011 EQUITY INCENTIVE PLAN (as amended, the “2011 Plan”)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(Full title of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239395</wp:posOffset>
            </wp:positionV>
            <wp:extent cx="155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6300" w:type="dxa"/>
            <w:vAlign w:val="bottom"/>
          </w:tcPr>
          <w:p>
            <w:pPr>
              <w:spacing w:after="0"/>
              <w:rPr>
                <w:sz w:val="19"/>
                <w:szCs w:val="19"/>
                <w:color w:val="auto"/>
              </w:rPr>
            </w:pP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i w:val="1"/>
                <w:iCs w:val="1"/>
                <w:color w:val="auto"/>
                <w:w w:val="86"/>
              </w:rPr>
              <w:t>(Copy to:)</w:t>
            </w:r>
          </w:p>
        </w:tc>
      </w:tr>
      <w:tr>
        <w:trPr>
          <w:trHeight w:val="228"/>
        </w:trPr>
        <w:tc>
          <w:tcPr>
            <w:tcW w:w="6300" w:type="dxa"/>
            <w:vAlign w:val="bottom"/>
          </w:tcPr>
          <w:p>
            <w:pPr>
              <w:jc w:val="center"/>
              <w:ind w:right="1045"/>
              <w:spacing w:after="0"/>
              <w:rPr>
                <w:sz w:val="20"/>
                <w:szCs w:val="20"/>
                <w:color w:val="auto"/>
              </w:rPr>
            </w:pPr>
            <w:r>
              <w:rPr>
                <w:rFonts w:ascii="Arial" w:cs="Arial" w:eastAsia="Arial" w:hAnsi="Arial"/>
                <w:sz w:val="19"/>
                <w:szCs w:val="19"/>
                <w:b w:val="1"/>
                <w:bCs w:val="1"/>
                <w:color w:val="auto"/>
                <w:w w:val="92"/>
              </w:rPr>
              <w:t>Theodore S. Kim</w:t>
            </w: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color w:val="auto"/>
                <w:w w:val="90"/>
              </w:rPr>
              <w:t>Micheal J. Reagan, Esq.</w:t>
            </w:r>
          </w:p>
        </w:tc>
      </w:tr>
      <w:tr>
        <w:trPr>
          <w:trHeight w:val="228"/>
        </w:trPr>
        <w:tc>
          <w:tcPr>
            <w:tcW w:w="6300" w:type="dxa"/>
            <w:vAlign w:val="bottom"/>
          </w:tcPr>
          <w:p>
            <w:pPr>
              <w:jc w:val="center"/>
              <w:ind w:right="1045"/>
              <w:spacing w:after="0"/>
              <w:rPr>
                <w:sz w:val="20"/>
                <w:szCs w:val="20"/>
                <w:color w:val="auto"/>
              </w:rPr>
            </w:pPr>
            <w:r>
              <w:rPr>
                <w:rFonts w:ascii="Arial" w:cs="Arial" w:eastAsia="Arial" w:hAnsi="Arial"/>
                <w:sz w:val="19"/>
                <w:szCs w:val="19"/>
                <w:b w:val="1"/>
                <w:bCs w:val="1"/>
                <w:color w:val="auto"/>
                <w:w w:val="90"/>
              </w:rPr>
              <w:t>Chief Compliance Officer, EVP, General Counsel and Secretary</w:t>
            </w: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color w:val="auto"/>
                <w:w w:val="91"/>
              </w:rPr>
              <w:t>W. Stuart Ogg, Esq.</w:t>
            </w:r>
          </w:p>
        </w:tc>
      </w:tr>
      <w:tr>
        <w:trPr>
          <w:trHeight w:val="228"/>
        </w:trPr>
        <w:tc>
          <w:tcPr>
            <w:tcW w:w="6300" w:type="dxa"/>
            <w:vAlign w:val="bottom"/>
          </w:tcPr>
          <w:p>
            <w:pPr>
              <w:jc w:val="center"/>
              <w:ind w:right="1045"/>
              <w:spacing w:after="0"/>
              <w:rPr>
                <w:sz w:val="20"/>
                <w:szCs w:val="20"/>
                <w:color w:val="auto"/>
              </w:rPr>
            </w:pPr>
            <w:r>
              <w:rPr>
                <w:rFonts w:ascii="Arial" w:cs="Arial" w:eastAsia="Arial" w:hAnsi="Arial"/>
                <w:sz w:val="19"/>
                <w:szCs w:val="19"/>
                <w:b w:val="1"/>
                <w:bCs w:val="1"/>
                <w:color w:val="auto"/>
                <w:w w:val="90"/>
              </w:rPr>
              <w:t>c/o MagnaChip Semiconductor, Inc.</w:t>
            </w: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color w:val="auto"/>
                <w:w w:val="86"/>
              </w:rPr>
              <w:t>Jones Day</w:t>
            </w:r>
          </w:p>
        </w:tc>
      </w:tr>
      <w:tr>
        <w:trPr>
          <w:trHeight w:val="228"/>
        </w:trPr>
        <w:tc>
          <w:tcPr>
            <w:tcW w:w="6300" w:type="dxa"/>
            <w:vAlign w:val="bottom"/>
          </w:tcPr>
          <w:p>
            <w:pPr>
              <w:jc w:val="center"/>
              <w:ind w:right="1065"/>
              <w:spacing w:after="0"/>
              <w:rPr>
                <w:sz w:val="20"/>
                <w:szCs w:val="20"/>
                <w:color w:val="auto"/>
              </w:rPr>
            </w:pPr>
            <w:r>
              <w:rPr>
                <w:rFonts w:ascii="Arial" w:cs="Arial" w:eastAsia="Arial" w:hAnsi="Arial"/>
                <w:sz w:val="19"/>
                <w:szCs w:val="19"/>
                <w:b w:val="1"/>
                <w:bCs w:val="1"/>
                <w:color w:val="auto"/>
                <w:w w:val="91"/>
              </w:rPr>
              <w:t>60 South Market Street, Suite 750</w:t>
            </w: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color w:val="auto"/>
                <w:w w:val="91"/>
              </w:rPr>
              <w:t>1755 Embarcadero Road</w:t>
            </w:r>
          </w:p>
        </w:tc>
      </w:tr>
      <w:tr>
        <w:trPr>
          <w:trHeight w:val="228"/>
        </w:trPr>
        <w:tc>
          <w:tcPr>
            <w:tcW w:w="6300" w:type="dxa"/>
            <w:vAlign w:val="bottom"/>
          </w:tcPr>
          <w:p>
            <w:pPr>
              <w:jc w:val="center"/>
              <w:ind w:right="1065"/>
              <w:spacing w:after="0"/>
              <w:rPr>
                <w:sz w:val="20"/>
                <w:szCs w:val="20"/>
                <w:color w:val="auto"/>
              </w:rPr>
            </w:pPr>
            <w:r>
              <w:rPr>
                <w:rFonts w:ascii="Arial" w:cs="Arial" w:eastAsia="Arial" w:hAnsi="Arial"/>
                <w:sz w:val="19"/>
                <w:szCs w:val="19"/>
                <w:b w:val="1"/>
                <w:bCs w:val="1"/>
                <w:color w:val="auto"/>
                <w:w w:val="87"/>
              </w:rPr>
              <w:t>San Jose, CA 95113</w:t>
            </w: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color w:val="auto"/>
                <w:w w:val="92"/>
              </w:rPr>
              <w:t>Palo Alto, CA 94303</w:t>
            </w:r>
          </w:p>
        </w:tc>
      </w:tr>
      <w:tr>
        <w:trPr>
          <w:trHeight w:val="228"/>
        </w:trPr>
        <w:tc>
          <w:tcPr>
            <w:tcW w:w="6300" w:type="dxa"/>
            <w:vAlign w:val="bottom"/>
          </w:tcPr>
          <w:p>
            <w:pPr>
              <w:jc w:val="center"/>
              <w:ind w:right="1065"/>
              <w:spacing w:after="0"/>
              <w:rPr>
                <w:sz w:val="20"/>
                <w:szCs w:val="20"/>
                <w:color w:val="auto"/>
              </w:rPr>
            </w:pPr>
            <w:r>
              <w:rPr>
                <w:rFonts w:ascii="Arial" w:cs="Arial" w:eastAsia="Arial" w:hAnsi="Arial"/>
                <w:sz w:val="19"/>
                <w:szCs w:val="19"/>
                <w:b w:val="1"/>
                <w:bCs w:val="1"/>
                <w:color w:val="auto"/>
                <w:w w:val="91"/>
              </w:rPr>
              <w:t>Tel: (408) 625-5999</w:t>
            </w:r>
          </w:p>
        </w:tc>
        <w:tc>
          <w:tcPr>
            <w:tcW w:w="3160" w:type="dxa"/>
            <w:vAlign w:val="bottom"/>
          </w:tcPr>
          <w:p>
            <w:pPr>
              <w:jc w:val="center"/>
              <w:ind w:left="1045"/>
              <w:spacing w:after="0"/>
              <w:rPr>
                <w:sz w:val="20"/>
                <w:szCs w:val="20"/>
                <w:color w:val="auto"/>
              </w:rPr>
            </w:pPr>
            <w:r>
              <w:rPr>
                <w:rFonts w:ascii="Arial" w:cs="Arial" w:eastAsia="Arial" w:hAnsi="Arial"/>
                <w:sz w:val="19"/>
                <w:szCs w:val="19"/>
                <w:b w:val="1"/>
                <w:bCs w:val="1"/>
                <w:color w:val="auto"/>
                <w:w w:val="91"/>
              </w:rPr>
              <w:t>Tel: (650) 739-3939</w:t>
            </w:r>
          </w:p>
        </w:tc>
      </w:tr>
      <w:tr>
        <w:trPr>
          <w:trHeight w:val="241"/>
        </w:trPr>
        <w:tc>
          <w:tcPr>
            <w:tcW w:w="6300" w:type="dxa"/>
            <w:vAlign w:val="bottom"/>
          </w:tcPr>
          <w:p>
            <w:pPr>
              <w:jc w:val="center"/>
              <w:ind w:right="1045"/>
              <w:spacing w:after="0"/>
              <w:rPr>
                <w:sz w:val="20"/>
                <w:szCs w:val="20"/>
                <w:color w:val="auto"/>
              </w:rPr>
            </w:pPr>
            <w:r>
              <w:rPr>
                <w:rFonts w:ascii="Arial" w:cs="Arial" w:eastAsia="Arial" w:hAnsi="Arial"/>
                <w:sz w:val="19"/>
                <w:szCs w:val="19"/>
                <w:b w:val="1"/>
                <w:bCs w:val="1"/>
                <w:color w:val="auto"/>
                <w:w w:val="91"/>
              </w:rPr>
              <w:t>Fax: (408) 625-5990</w:t>
            </w:r>
          </w:p>
        </w:tc>
        <w:tc>
          <w:tcPr>
            <w:tcW w:w="3160" w:type="dxa"/>
            <w:vAlign w:val="bottom"/>
          </w:tcPr>
          <w:p>
            <w:pPr>
              <w:jc w:val="center"/>
              <w:ind w:left="1065"/>
              <w:spacing w:after="0"/>
              <w:rPr>
                <w:sz w:val="20"/>
                <w:szCs w:val="20"/>
                <w:color w:val="auto"/>
              </w:rPr>
            </w:pPr>
            <w:r>
              <w:rPr>
                <w:rFonts w:ascii="Arial" w:cs="Arial" w:eastAsia="Arial" w:hAnsi="Arial"/>
                <w:sz w:val="19"/>
                <w:szCs w:val="19"/>
                <w:b w:val="1"/>
                <w:bCs w:val="1"/>
                <w:color w:val="auto"/>
                <w:w w:val="91"/>
              </w:rPr>
              <w:t>Fax: (650) 739-3900</w:t>
            </w:r>
          </w:p>
        </w:tc>
      </w:tr>
    </w:tbl>
    <w:p>
      <w:pPr>
        <w:ind w:left="340"/>
        <w:spacing w:after="0"/>
        <w:rPr>
          <w:sz w:val="20"/>
          <w:szCs w:val="20"/>
          <w:color w:val="auto"/>
        </w:rPr>
      </w:pPr>
      <w:r>
        <w:rPr>
          <w:rFonts w:ascii="Arial" w:cs="Arial" w:eastAsia="Arial" w:hAnsi="Arial"/>
          <w:sz w:val="15"/>
          <w:szCs w:val="15"/>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248285</wp:posOffset>
            </wp:positionV>
            <wp:extent cx="155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right="240"/>
        <w:spacing w:after="0" w:line="263"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98"/>
        </w:trPr>
        <w:tc>
          <w:tcPr>
            <w:tcW w:w="1820" w:type="dxa"/>
            <w:vAlign w:val="bottom"/>
          </w:tcPr>
          <w:p>
            <w:pPr>
              <w:spacing w:after="0"/>
              <w:rPr>
                <w:sz w:val="20"/>
                <w:szCs w:val="20"/>
                <w:color w:val="auto"/>
              </w:rPr>
            </w:pPr>
            <w:r>
              <w:rPr>
                <w:rFonts w:ascii="Arial" w:cs="Arial" w:eastAsia="Arial" w:hAnsi="Arial"/>
                <w:sz w:val="19"/>
                <w:szCs w:val="19"/>
                <w:color w:val="auto"/>
                <w:w w:val="95"/>
              </w:rPr>
              <w:t>Large accelerated filer</w:t>
            </w:r>
          </w:p>
        </w:tc>
        <w:tc>
          <w:tcPr>
            <w:tcW w:w="376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5700" w:type="dxa"/>
            <w:vAlign w:val="bottom"/>
          </w:tcPr>
          <w:p>
            <w:pPr>
              <w:ind w:left="3440"/>
              <w:spacing w:after="0"/>
              <w:rPr>
                <w:sz w:val="20"/>
                <w:szCs w:val="20"/>
                <w:color w:val="auto"/>
              </w:rPr>
            </w:pPr>
            <w:r>
              <w:rPr>
                <w:rFonts w:ascii="Arial" w:cs="Arial" w:eastAsia="Arial" w:hAnsi="Arial"/>
                <w:sz w:val="19"/>
                <w:szCs w:val="19"/>
                <w:color w:val="auto"/>
              </w:rPr>
              <w:t>Accelerated filer</w:t>
            </w:r>
          </w:p>
        </w:tc>
        <w:tc>
          <w:tcPr>
            <w:tcW w:w="360" w:type="dxa"/>
            <w:vAlign w:val="bottom"/>
          </w:tcPr>
          <w:p>
            <w:pPr>
              <w:ind w:left="18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342"/>
        </w:trPr>
        <w:tc>
          <w:tcPr>
            <w:tcW w:w="1820" w:type="dxa"/>
            <w:vAlign w:val="bottom"/>
          </w:tcPr>
          <w:p>
            <w:pPr>
              <w:spacing w:after="0"/>
              <w:rPr>
                <w:sz w:val="20"/>
                <w:szCs w:val="20"/>
                <w:color w:val="auto"/>
              </w:rPr>
            </w:pPr>
            <w:r>
              <w:rPr>
                <w:rFonts w:ascii="Arial" w:cs="Arial" w:eastAsia="Arial" w:hAnsi="Arial"/>
                <w:sz w:val="19"/>
                <w:szCs w:val="19"/>
                <w:color w:val="auto"/>
              </w:rPr>
              <w:t>Non-accelerated filer</w:t>
            </w:r>
          </w:p>
        </w:tc>
        <w:tc>
          <w:tcPr>
            <w:tcW w:w="376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5700" w:type="dxa"/>
            <w:vAlign w:val="bottom"/>
          </w:tcPr>
          <w:p>
            <w:pPr>
              <w:ind w:left="3440"/>
              <w:spacing w:after="0"/>
              <w:rPr>
                <w:sz w:val="20"/>
                <w:szCs w:val="20"/>
                <w:color w:val="auto"/>
              </w:rPr>
            </w:pPr>
            <w:r>
              <w:rPr>
                <w:rFonts w:ascii="Arial" w:cs="Arial" w:eastAsia="Arial" w:hAnsi="Arial"/>
                <w:sz w:val="19"/>
                <w:szCs w:val="19"/>
                <w:color w:val="auto"/>
                <w:w w:val="98"/>
              </w:rPr>
              <w:t>Smaller reporting company</w:t>
            </w:r>
          </w:p>
        </w:tc>
        <w:tc>
          <w:tcPr>
            <w:tcW w:w="360" w:type="dxa"/>
            <w:vAlign w:val="bottom"/>
          </w:tcPr>
          <w:p>
            <w:pPr>
              <w:ind w:left="18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342"/>
        </w:trPr>
        <w:tc>
          <w:tcPr>
            <w:tcW w:w="18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700" w:type="dxa"/>
            <w:vAlign w:val="bottom"/>
          </w:tcPr>
          <w:p>
            <w:pPr>
              <w:ind w:left="3440"/>
              <w:spacing w:after="0"/>
              <w:rPr>
                <w:sz w:val="20"/>
                <w:szCs w:val="20"/>
                <w:color w:val="auto"/>
              </w:rPr>
            </w:pPr>
            <w:r>
              <w:rPr>
                <w:rFonts w:ascii="Arial" w:cs="Arial" w:eastAsia="Arial" w:hAnsi="Arial"/>
                <w:sz w:val="19"/>
                <w:szCs w:val="19"/>
                <w:color w:val="auto"/>
                <w:w w:val="99"/>
              </w:rPr>
              <w:t>Emerging growth company</w:t>
            </w:r>
          </w:p>
        </w:tc>
        <w:tc>
          <w:tcPr>
            <w:tcW w:w="360" w:type="dxa"/>
            <w:vAlign w:val="bottom"/>
          </w:tcPr>
          <w:p>
            <w:pPr>
              <w:ind w:left="180"/>
              <w:spacing w:after="0" w:line="191" w:lineRule="exact"/>
              <w:rPr>
                <w:sz w:val="20"/>
                <w:szCs w:val="20"/>
                <w:color w:val="auto"/>
              </w:rPr>
            </w:pPr>
            <w:r>
              <w:rPr>
                <w:rFonts w:ascii="MS PGothic" w:cs="MS PGothic" w:eastAsia="MS PGothic" w:hAnsi="MS PGothic"/>
                <w:sz w:val="19"/>
                <w:szCs w:val="19"/>
                <w:color w:val="auto"/>
                <w:w w:val="83"/>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222250</wp:posOffset>
            </wp:positionV>
            <wp:extent cx="1557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32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223520</wp:posOffset>
            </wp:positionV>
            <wp:extent cx="1557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389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7389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0"/>
          </w:cols>
          <w:pgMar w:left="300" w:top="93" w:right="300" w:bottom="0" w:gutter="0" w:footer="0" w:header="0"/>
          <w:type w:val="continuous"/>
        </w:sectPr>
      </w:pPr>
    </w:p>
    <w:bookmarkStart w:id="1" w:name="page2"/>
    <w:bookmarkEnd w:id="1"/>
    <w:tbl>
      <w:tblPr>
        <w:tblLayout w:type="fixed"/>
        <w:tblInd w:w="1"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140" w:type="dxa"/>
            <w:vAlign w:val="bottom"/>
            <w:tcBorders>
              <w:top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jc w:val="center"/>
              <w:ind w:left="1"/>
              <w:spacing w:after="0" w:line="128" w:lineRule="exact"/>
              <w:rPr>
                <w:sz w:val="20"/>
                <w:szCs w:val="20"/>
                <w:color w:val="auto"/>
              </w:rPr>
            </w:pPr>
            <w:r>
              <w:rPr>
                <w:rFonts w:ascii="Arial" w:cs="Arial" w:eastAsia="Arial" w:hAnsi="Arial"/>
                <w:sz w:val="14"/>
                <w:szCs w:val="14"/>
                <w:b w:val="1"/>
                <w:bCs w:val="1"/>
                <w:color w:val="auto"/>
                <w:w w:val="95"/>
              </w:rPr>
              <w:t>Proposed</w:t>
            </w:r>
          </w:p>
        </w:tc>
        <w:tc>
          <w:tcPr>
            <w:tcW w:w="1640" w:type="dxa"/>
            <w:vAlign w:val="bottom"/>
            <w:tcBorders>
              <w:top w:val="single" w:sz="8" w:color="auto"/>
              <w:right w:val="single" w:sz="8" w:color="auto"/>
            </w:tcBorders>
          </w:tcPr>
          <w:p>
            <w:pPr>
              <w:jc w:val="center"/>
              <w:ind w:left="1"/>
              <w:spacing w:after="0" w:line="128" w:lineRule="exact"/>
              <w:rPr>
                <w:sz w:val="20"/>
                <w:szCs w:val="20"/>
                <w:color w:val="auto"/>
              </w:rPr>
            </w:pPr>
            <w:r>
              <w:rPr>
                <w:rFonts w:ascii="Arial" w:cs="Arial" w:eastAsia="Arial" w:hAnsi="Arial"/>
                <w:sz w:val="14"/>
                <w:szCs w:val="14"/>
                <w:b w:val="1"/>
                <w:bCs w:val="1"/>
                <w:color w:val="auto"/>
                <w:w w:val="92"/>
              </w:rPr>
              <w:t>Proposed</w:t>
            </w:r>
          </w:p>
        </w:tc>
        <w:tc>
          <w:tcPr>
            <w:tcW w:w="1600" w:type="dxa"/>
            <w:vAlign w:val="bottom"/>
            <w:tcBorders>
              <w:top w:val="single" w:sz="8" w:color="auto"/>
            </w:tcBorders>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1"/>
              </w:rPr>
              <w:t>Amount</w:t>
            </w:r>
          </w:p>
        </w:tc>
        <w:tc>
          <w:tcPr>
            <w:tcW w:w="1620" w:type="dxa"/>
            <w:vAlign w:val="bottom"/>
            <w:tcBorders>
              <w:right w:val="single" w:sz="8" w:color="auto"/>
            </w:tcBorders>
          </w:tcPr>
          <w:p>
            <w:pPr>
              <w:jc w:val="center"/>
              <w:ind w:left="1"/>
              <w:spacing w:after="0" w:line="157" w:lineRule="exact"/>
              <w:rPr>
                <w:sz w:val="20"/>
                <w:szCs w:val="20"/>
                <w:color w:val="auto"/>
              </w:rPr>
            </w:pPr>
            <w:r>
              <w:rPr>
                <w:rFonts w:ascii="Arial" w:cs="Arial" w:eastAsia="Arial" w:hAnsi="Arial"/>
                <w:sz w:val="15"/>
                <w:szCs w:val="15"/>
                <w:b w:val="1"/>
                <w:bCs w:val="1"/>
                <w:color w:val="auto"/>
                <w:w w:val="95"/>
              </w:rPr>
              <w:t>Maximum</w:t>
            </w:r>
          </w:p>
        </w:tc>
        <w:tc>
          <w:tcPr>
            <w:tcW w:w="1640" w:type="dxa"/>
            <w:vAlign w:val="bottom"/>
            <w:tcBorders>
              <w:right w:val="single" w:sz="8" w:color="auto"/>
            </w:tcBorders>
          </w:tcPr>
          <w:p>
            <w:pPr>
              <w:jc w:val="center"/>
              <w:ind w:left="1"/>
              <w:spacing w:after="0" w:line="157" w:lineRule="exact"/>
              <w:rPr>
                <w:sz w:val="20"/>
                <w:szCs w:val="20"/>
                <w:color w:val="auto"/>
              </w:rPr>
            </w:pPr>
            <w:r>
              <w:rPr>
                <w:rFonts w:ascii="Arial" w:cs="Arial" w:eastAsia="Arial" w:hAnsi="Arial"/>
                <w:sz w:val="15"/>
                <w:szCs w:val="15"/>
                <w:b w:val="1"/>
                <w:bCs w:val="1"/>
                <w:color w:val="auto"/>
                <w:w w:val="98"/>
              </w:rPr>
              <w:t>Maximum</w:t>
            </w:r>
          </w:p>
        </w:tc>
        <w:tc>
          <w:tcPr>
            <w:tcW w:w="160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1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89"/>
              </w:rPr>
              <w:t>to be</w:t>
            </w:r>
          </w:p>
        </w:tc>
        <w:tc>
          <w:tcPr>
            <w:tcW w:w="1620" w:type="dxa"/>
            <w:vAlign w:val="bottom"/>
            <w:tcBorders>
              <w:right w:val="single" w:sz="8" w:color="auto"/>
            </w:tcBorders>
          </w:tcPr>
          <w:p>
            <w:pPr>
              <w:jc w:val="center"/>
              <w:ind w:left="1"/>
              <w:spacing w:after="0" w:line="166" w:lineRule="exact"/>
              <w:rPr>
                <w:sz w:val="20"/>
                <w:szCs w:val="20"/>
                <w:color w:val="auto"/>
              </w:rPr>
            </w:pPr>
            <w:r>
              <w:rPr>
                <w:rFonts w:ascii="Arial" w:cs="Arial" w:eastAsia="Arial" w:hAnsi="Arial"/>
                <w:sz w:val="15"/>
                <w:szCs w:val="15"/>
                <w:b w:val="1"/>
                <w:bCs w:val="1"/>
                <w:color w:val="auto"/>
                <w:w w:val="94"/>
              </w:rPr>
              <w:t>Offering Price</w:t>
            </w:r>
          </w:p>
        </w:tc>
        <w:tc>
          <w:tcPr>
            <w:tcW w:w="16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88"/>
              </w:rPr>
              <w:t>Aggregate</w:t>
            </w:r>
          </w:p>
        </w:tc>
        <w:tc>
          <w:tcPr>
            <w:tcW w:w="160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0"/>
              </w:rPr>
              <w:t>Amount of</w:t>
            </w:r>
          </w:p>
        </w:tc>
      </w:tr>
      <w:tr>
        <w:trPr>
          <w:trHeight w:val="185"/>
        </w:trPr>
        <w:tc>
          <w:tcPr>
            <w:tcW w:w="20" w:type="dxa"/>
            <w:vAlign w:val="bottom"/>
          </w:tcPr>
          <w:p>
            <w:pPr>
              <w:spacing w:after="0"/>
              <w:rPr>
                <w:sz w:val="16"/>
                <w:szCs w:val="16"/>
                <w:color w:val="auto"/>
              </w:rPr>
            </w:pPr>
          </w:p>
        </w:tc>
        <w:tc>
          <w:tcPr>
            <w:tcW w:w="514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5"/>
                <w:szCs w:val="15"/>
                <w:b w:val="1"/>
                <w:bCs w:val="1"/>
                <w:color w:val="auto"/>
              </w:rPr>
              <w:t>Title of Securities to 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Registered(1)</w:t>
            </w:r>
          </w:p>
        </w:tc>
        <w:tc>
          <w:tcPr>
            <w:tcW w:w="16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5"/>
                <w:szCs w:val="15"/>
                <w:b w:val="1"/>
                <w:bCs w:val="1"/>
                <w:color w:val="auto"/>
                <w:w w:val="92"/>
              </w:rPr>
              <w:t>Per Share(3)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Offering Price(3)</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Registration Fee(3)</w:t>
            </w:r>
          </w:p>
        </w:tc>
      </w:tr>
      <w:tr>
        <w:trPr>
          <w:trHeight w:val="222"/>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Common Stock, par value $0.01 per share</w:t>
            </w:r>
          </w:p>
        </w:tc>
        <w:tc>
          <w:tcPr>
            <w:tcW w:w="162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22"/>
        </w:trPr>
        <w:tc>
          <w:tcPr>
            <w:tcW w:w="5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 Shares available for future awards under the 2011 Plan</w:t>
            </w:r>
          </w:p>
        </w:tc>
        <w:tc>
          <w:tcPr>
            <w:tcW w:w="16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9"/>
                <w:szCs w:val="19"/>
                <w:color w:val="auto"/>
              </w:rPr>
              <w:t>688,824(2)</w:t>
            </w:r>
          </w:p>
        </w:tc>
        <w:tc>
          <w:tcPr>
            <w:tcW w:w="16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9"/>
                <w:szCs w:val="19"/>
                <w:color w:val="auto"/>
                <w:w w:val="88"/>
              </w:rPr>
              <w:t>$6.80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$4,684,003.20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$567.70</w:t>
            </w: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ind w:left="461" w:right="160" w:hanging="461"/>
        <w:spacing w:after="0" w:line="288" w:lineRule="auto"/>
        <w:tabs>
          <w:tab w:leader="none" w:pos="46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amount being registered also includes an indeterminate number of shares of Common Stock that may be offered or issued by reason of stock splits, stock dividends and anti-dilution provisions and other terms pursuant to Rule 416 under the Securities Act of 1933, as amended.</w:t>
      </w:r>
    </w:p>
    <w:p>
      <w:pPr>
        <w:ind w:left="461" w:right="80" w:hanging="461"/>
        <w:spacing w:after="0" w:line="280" w:lineRule="auto"/>
        <w:tabs>
          <w:tab w:leader="none" w:pos="461"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Common Stock that were automatically added to the shares authorized for issuance under the Registrant’s 2011 Plan on January 1, 2019 pursuant to an “evergreen” provision contained in the 2011 Plan. Pursuant to such provision, on January 1st of each calendar year commencing in 2012 and ending on (and including) January 1, 2021, the number of shares authorized for issuance under the 2011 Plan is automatically increased by a number equal to the smaller of (i) two percent (2%) of the number of shares of Common Stock issued and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of the preceding calendar year or (ii) an amount determined by the Registrant’s Board of Directors.</w:t>
      </w:r>
    </w:p>
    <w:p>
      <w:pPr>
        <w:ind w:left="461" w:right="80" w:hanging="461"/>
        <w:spacing w:after="0" w:line="276" w:lineRule="auto"/>
        <w:tabs>
          <w:tab w:leader="none" w:pos="461"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Determined solely for purposes of calculating the registration fee pursuant to Rule 457(c) and (h). The proposed maximum offering price per share, proposed maximum aggregate offering price and the amount of the registration fee are based on $6.80, which is the average of the high and low prices for the Registrant’s Common Stock as reported on the New York Stock Exchange on February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389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389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0" w:right="300" w:bottom="1440" w:gutter="0" w:footer="0" w:header="0"/>
        </w:sectPr>
      </w:pPr>
    </w:p>
    <w:bookmarkStart w:id="2" w:name="page3"/>
    <w:bookmarkEnd w:id="2"/>
    <w:p>
      <w:pPr>
        <w:ind w:left="33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INCORPORATION BY REFERENCE OF CONTENTS OF</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9"/>
          <w:szCs w:val="19"/>
          <w:b w:val="1"/>
          <w:bCs w:val="1"/>
          <w:color w:val="auto"/>
        </w:rPr>
        <w:t>REGISTRATION STATEMENTS ON FORM S-8 NOS. 333-172864, 333-180696, 333-186789, 333-202120, 333-209756,</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333-216204 AND 333-223155</w:t>
      </w:r>
    </w:p>
    <w:p>
      <w:pPr>
        <w:spacing w:after="0" w:line="225" w:lineRule="exact"/>
        <w:rPr>
          <w:sz w:val="20"/>
          <w:szCs w:val="20"/>
          <w:color w:val="auto"/>
        </w:rPr>
      </w:pPr>
    </w:p>
    <w:p>
      <w:pPr>
        <w:ind w:firstLine="465"/>
        <w:spacing w:after="0" w:line="282" w:lineRule="auto"/>
        <w:rPr>
          <w:sz w:val="20"/>
          <w:szCs w:val="20"/>
          <w:color w:val="auto"/>
        </w:rPr>
      </w:pPr>
      <w:r>
        <w:rPr>
          <w:rFonts w:ascii="Arial" w:cs="Arial" w:eastAsia="Arial" w:hAnsi="Arial"/>
          <w:sz w:val="17"/>
          <w:szCs w:val="17"/>
          <w:color w:val="auto"/>
        </w:rPr>
        <w:t>This Registration Statement is being filed for the purpose of increasing the number of securities of the same class as other securities for which a Registration Statement on Form S-8 relating to the same benefit plan is effective pursuant to the automatic increase provisions of such plan. The Registrant previously registered shares of its Common Stock for issuance under the 2011 Plan under the following registration statements: a Registration Statement on Form S-8 filed with the Securities and Exchange Commission (“SEC”) on March 16, 2011 (File No. 333-172864); a Registration Statement on Form S-8 filed with the SEC on April 13, 2012 (File No. 333-180696); a Registration Statement on Form S-8 filed with the SEC on February 22, 2013 (File No. 333-186789); a Registration Statement on Form S-8 filed with the SEC on February 17, 2015 (File No. 333-202120); a Registration Statement on Form S-8 filed with the SEC on February 26, 2016 (File No. 333-209756); a Registration Statement on Form S-8 filed with the SEC on February 23, 2017 (File No. 333-216204); and a Registration Statement on Form S-8 filed with the SEC on February 22, 2018 (File</w:t>
      </w:r>
    </w:p>
    <w:p>
      <w:pPr>
        <w:spacing w:after="0" w:line="1" w:lineRule="exact"/>
        <w:rPr>
          <w:sz w:val="20"/>
          <w:szCs w:val="20"/>
          <w:color w:val="auto"/>
        </w:rPr>
      </w:pPr>
    </w:p>
    <w:p>
      <w:pPr>
        <w:ind w:right="560"/>
        <w:spacing w:after="0" w:line="289" w:lineRule="auto"/>
        <w:rPr>
          <w:sz w:val="20"/>
          <w:szCs w:val="20"/>
          <w:color w:val="auto"/>
        </w:rPr>
      </w:pPr>
      <w:r>
        <w:rPr>
          <w:rFonts w:ascii="Arial" w:cs="Arial" w:eastAsia="Arial" w:hAnsi="Arial"/>
          <w:sz w:val="18"/>
          <w:szCs w:val="18"/>
          <w:color w:val="auto"/>
        </w:rPr>
        <w:t>No. 333-223155). Pursuant to General Instruction E to Form S-8, this Registration Statement hereby incorporates by reference the contents of the Registration Statements referenced above with respect to the shares of common stock registered under the 2011 Plan.</w:t>
      </w:r>
    </w:p>
    <w:p>
      <w:pPr>
        <w:sectPr>
          <w:pgSz w:w="12240" w:h="15840" w:orient="portrait"/>
          <w:cols w:equalWidth="0" w:num="1">
            <w:col w:w="11620"/>
          </w:cols>
          <w:pgMar w:left="300" w:top="136" w:right="32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3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980" w:type="dxa"/>
            <w:vAlign w:val="bottom"/>
            <w:gridSpan w:val="28"/>
          </w:tcPr>
          <w:p>
            <w:pPr>
              <w:ind w:left="420"/>
              <w:spacing w:after="0"/>
              <w:rPr>
                <w:sz w:val="20"/>
                <w:szCs w:val="20"/>
                <w:color w:val="auto"/>
              </w:rPr>
            </w:pPr>
            <w:r>
              <w:rPr>
                <w:rFonts w:ascii="Arial" w:cs="Arial" w:eastAsia="Arial" w:hAnsi="Arial"/>
                <w:sz w:val="19"/>
                <w:szCs w:val="19"/>
                <w:b w:val="1"/>
                <w:bCs w:val="1"/>
                <w:color w:val="auto"/>
              </w:rPr>
              <w:t>EXHIBIT INDEX</w:t>
            </w:r>
          </w:p>
        </w:tc>
      </w:tr>
      <w:tr>
        <w:trPr>
          <w:trHeight w:val="392"/>
        </w:trPr>
        <w:tc>
          <w:tcPr>
            <w:tcW w:w="136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5"/>
                <w:szCs w:val="15"/>
                <w:b w:val="1"/>
                <w:bCs w:val="1"/>
                <w:color w:val="auto"/>
              </w:rPr>
              <w:t>NUMBER</w:t>
            </w:r>
          </w:p>
        </w:tc>
        <w:tc>
          <w:tcPr>
            <w:tcW w:w="3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340" w:type="dxa"/>
            <w:vAlign w:val="bottom"/>
            <w:gridSpan w:val="27"/>
          </w:tcPr>
          <w:p>
            <w:pPr>
              <w:ind w:left="660"/>
              <w:spacing w:after="0"/>
              <w:rPr>
                <w:sz w:val="20"/>
                <w:szCs w:val="20"/>
                <w:color w:val="auto"/>
              </w:rPr>
            </w:pPr>
            <w:r>
              <w:rPr>
                <w:rFonts w:ascii="Arial" w:cs="Arial" w:eastAsia="Arial" w:hAnsi="Arial"/>
                <w:sz w:val="15"/>
                <w:szCs w:val="15"/>
                <w:b w:val="1"/>
                <w:bCs w:val="1"/>
                <w:color w:val="auto"/>
              </w:rPr>
              <w:t>DESCRIPTION</w:t>
            </w:r>
          </w:p>
        </w:tc>
      </w:tr>
      <w:tr>
        <w:trPr>
          <w:trHeight w:val="284"/>
        </w:trPr>
        <w:tc>
          <w:tcPr>
            <w:tcW w:w="1360" w:type="dxa"/>
            <w:vAlign w:val="bottom"/>
          </w:tcPr>
          <w:p>
            <w:pPr>
              <w:ind w:left="100"/>
              <w:spacing w:after="0"/>
              <w:rPr>
                <w:sz w:val="20"/>
                <w:szCs w:val="20"/>
                <w:color w:val="auto"/>
              </w:rPr>
            </w:pPr>
            <w:r>
              <w:rPr>
                <w:rFonts w:ascii="Arial" w:cs="Arial" w:eastAsia="Arial" w:hAnsi="Arial"/>
                <w:sz w:val="19"/>
                <w:szCs w:val="19"/>
                <w:color w:val="auto"/>
              </w:rPr>
              <w:t>4.1</w:t>
            </w:r>
          </w:p>
        </w:tc>
        <w:tc>
          <w:tcPr>
            <w:tcW w:w="10280" w:type="dxa"/>
            <w:vAlign w:val="bottom"/>
            <w:gridSpan w:val="29"/>
          </w:tcPr>
          <w:p>
            <w:pPr>
              <w:spacing w:after="0"/>
              <w:rPr>
                <w:rFonts w:ascii="Arial" w:cs="Arial" w:eastAsia="Arial" w:hAnsi="Arial"/>
                <w:sz w:val="19"/>
                <w:szCs w:val="19"/>
                <w:color w:val="0000EE"/>
                <w:w w:val="94"/>
              </w:rPr>
            </w:pPr>
            <w:hyperlink r:id="rId24">
              <w:r>
                <w:rPr>
                  <w:rFonts w:ascii="Arial" w:cs="Arial" w:eastAsia="Arial" w:hAnsi="Arial"/>
                  <w:sz w:val="19"/>
                  <w:szCs w:val="19"/>
                  <w:color w:val="0000EE"/>
                  <w:w w:val="94"/>
                </w:rPr>
                <w:t>Certificate of Incorporation of MagnaChip Semiconductor Corporation (incorporated by reference to Exhibit 3.2 to the Registrant’s</w:t>
              </w:r>
            </w:hyperlink>
          </w:p>
        </w:tc>
      </w:tr>
      <w:tr>
        <w:trPr>
          <w:trHeight w:val="208"/>
        </w:trPr>
        <w:tc>
          <w:tcPr>
            <w:tcW w:w="1360" w:type="dxa"/>
            <w:vAlign w:val="bottom"/>
          </w:tcPr>
          <w:p>
            <w:pPr>
              <w:spacing w:after="0"/>
              <w:rPr>
                <w:sz w:val="18"/>
                <w:szCs w:val="18"/>
                <w:color w:val="auto"/>
              </w:rPr>
            </w:pPr>
          </w:p>
        </w:tc>
        <w:tc>
          <w:tcPr>
            <w:tcW w:w="5840" w:type="dxa"/>
            <w:vAlign w:val="bottom"/>
            <w:tcBorders>
              <w:top w:val="single" w:sz="8" w:color="0000EE"/>
              <w:bottom w:val="single" w:sz="8" w:color="0000EE"/>
            </w:tcBorders>
            <w:gridSpan w:val="6"/>
          </w:tcPr>
          <w:p>
            <w:pPr>
              <w:spacing w:after="0" w:line="208" w:lineRule="exact"/>
              <w:rPr>
                <w:rFonts w:ascii="Arial" w:cs="Arial" w:eastAsia="Arial" w:hAnsi="Arial"/>
                <w:sz w:val="19"/>
                <w:szCs w:val="19"/>
                <w:color w:val="0000EE"/>
                <w:w w:val="92"/>
              </w:rPr>
            </w:pPr>
            <w:hyperlink r:id="rId24">
              <w:r>
                <w:rPr>
                  <w:rFonts w:ascii="Arial" w:cs="Arial" w:eastAsia="Arial" w:hAnsi="Arial"/>
                  <w:sz w:val="19"/>
                  <w:szCs w:val="19"/>
                  <w:color w:val="0000EE"/>
                  <w:w w:val="92"/>
                </w:rPr>
                <w:t>Current Report on Form 8-K filed with the Commission on March 11, 2011).</w:t>
              </w:r>
            </w:hyperlink>
          </w:p>
        </w:tc>
        <w:tc>
          <w:tcPr>
            <w:tcW w:w="4140" w:type="dxa"/>
            <w:vAlign w:val="bottom"/>
            <w:tcBorders>
              <w:top w:val="single" w:sz="8" w:color="0000EE"/>
            </w:tcBorders>
            <w:gridSpan w:val="17"/>
          </w:tcPr>
          <w:p>
            <w:pPr>
              <w:spacing w:after="0"/>
              <w:rPr>
                <w:sz w:val="18"/>
                <w:szCs w:val="18"/>
                <w:color w:val="auto"/>
              </w:rPr>
            </w:pPr>
          </w:p>
        </w:tc>
        <w:tc>
          <w:tcPr>
            <w:tcW w:w="300" w:type="dxa"/>
            <w:vAlign w:val="bottom"/>
            <w:gridSpan w:val="6"/>
          </w:tcPr>
          <w:p>
            <w:pPr>
              <w:spacing w:after="0"/>
              <w:rPr>
                <w:sz w:val="18"/>
                <w:szCs w:val="18"/>
                <w:color w:val="auto"/>
              </w:rPr>
            </w:pPr>
          </w:p>
        </w:tc>
      </w:tr>
      <w:tr>
        <w:trPr>
          <w:trHeight w:val="322"/>
        </w:trPr>
        <w:tc>
          <w:tcPr>
            <w:tcW w:w="1360" w:type="dxa"/>
            <w:vAlign w:val="bottom"/>
          </w:tcPr>
          <w:p>
            <w:pPr>
              <w:ind w:left="100"/>
              <w:spacing w:after="0"/>
              <w:rPr>
                <w:sz w:val="20"/>
                <w:szCs w:val="20"/>
                <w:color w:val="auto"/>
              </w:rPr>
            </w:pPr>
            <w:r>
              <w:rPr>
                <w:rFonts w:ascii="Arial" w:cs="Arial" w:eastAsia="Arial" w:hAnsi="Arial"/>
                <w:sz w:val="19"/>
                <w:szCs w:val="19"/>
                <w:color w:val="auto"/>
              </w:rPr>
              <w:t>4.2</w:t>
            </w:r>
          </w:p>
        </w:tc>
        <w:tc>
          <w:tcPr>
            <w:tcW w:w="10280" w:type="dxa"/>
            <w:vAlign w:val="bottom"/>
            <w:tcBorders>
              <w:bottom w:val="single" w:sz="8" w:color="0000EE"/>
            </w:tcBorders>
            <w:gridSpan w:val="29"/>
          </w:tcPr>
          <w:p>
            <w:pPr>
              <w:spacing w:after="0"/>
              <w:rPr>
                <w:rFonts w:ascii="Arial" w:cs="Arial" w:eastAsia="Arial" w:hAnsi="Arial"/>
                <w:sz w:val="19"/>
                <w:szCs w:val="19"/>
                <w:color w:val="0000EE"/>
                <w:w w:val="91"/>
              </w:rPr>
            </w:pPr>
            <w:hyperlink r:id="rId25">
              <w:r>
                <w:rPr>
                  <w:rFonts w:ascii="Arial" w:cs="Arial" w:eastAsia="Arial" w:hAnsi="Arial"/>
                  <w:sz w:val="19"/>
                  <w:szCs w:val="19"/>
                  <w:color w:val="0000EE"/>
                  <w:w w:val="91"/>
                </w:rPr>
                <w:t>Amended and Restated Bylaws of MagnaChip Semiconductor Corporation (incorporated by reference to Exhibit 3.1 to the Registrant’s</w:t>
              </w:r>
            </w:hyperlink>
          </w:p>
        </w:tc>
      </w:tr>
      <w:tr>
        <w:trPr>
          <w:trHeight w:val="208"/>
        </w:trPr>
        <w:tc>
          <w:tcPr>
            <w:tcW w:w="1360" w:type="dxa"/>
            <w:vAlign w:val="bottom"/>
          </w:tcPr>
          <w:p>
            <w:pPr>
              <w:spacing w:after="0"/>
              <w:rPr>
                <w:sz w:val="18"/>
                <w:szCs w:val="18"/>
                <w:color w:val="auto"/>
              </w:rPr>
            </w:pPr>
          </w:p>
        </w:tc>
        <w:tc>
          <w:tcPr>
            <w:tcW w:w="3940" w:type="dxa"/>
            <w:vAlign w:val="bottom"/>
            <w:tcBorders>
              <w:bottom w:val="single" w:sz="8" w:color="0000EE"/>
            </w:tcBorders>
            <w:gridSpan w:val="2"/>
          </w:tcPr>
          <w:p>
            <w:pPr>
              <w:spacing w:after="0" w:line="208" w:lineRule="exact"/>
              <w:rPr>
                <w:rFonts w:ascii="Arial" w:cs="Arial" w:eastAsia="Arial" w:hAnsi="Arial"/>
                <w:sz w:val="19"/>
                <w:szCs w:val="19"/>
                <w:color w:val="0000EE"/>
                <w:w w:val="92"/>
              </w:rPr>
            </w:pPr>
            <w:hyperlink r:id="rId25">
              <w:r>
                <w:rPr>
                  <w:rFonts w:ascii="Arial" w:cs="Arial" w:eastAsia="Arial" w:hAnsi="Arial"/>
                  <w:sz w:val="19"/>
                  <w:szCs w:val="19"/>
                  <w:color w:val="0000EE"/>
                  <w:w w:val="92"/>
                </w:rPr>
                <w:t>Current Report on Form 8-K filed on May 6, 2016).</w:t>
              </w:r>
            </w:hyperlink>
          </w:p>
        </w:tc>
        <w:tc>
          <w:tcPr>
            <w:tcW w:w="6340" w:type="dxa"/>
            <w:vAlign w:val="bottom"/>
            <w:gridSpan w:val="27"/>
          </w:tcPr>
          <w:p>
            <w:pPr>
              <w:spacing w:after="0"/>
              <w:rPr>
                <w:sz w:val="18"/>
                <w:szCs w:val="18"/>
                <w:color w:val="auto"/>
              </w:rPr>
            </w:pPr>
          </w:p>
        </w:tc>
      </w:tr>
      <w:tr>
        <w:trPr>
          <w:trHeight w:val="322"/>
        </w:trPr>
        <w:tc>
          <w:tcPr>
            <w:tcW w:w="1360" w:type="dxa"/>
            <w:vAlign w:val="bottom"/>
          </w:tcPr>
          <w:p>
            <w:pPr>
              <w:ind w:left="100"/>
              <w:spacing w:after="0"/>
              <w:rPr>
                <w:sz w:val="20"/>
                <w:szCs w:val="20"/>
                <w:color w:val="auto"/>
              </w:rPr>
            </w:pPr>
            <w:r>
              <w:rPr>
                <w:rFonts w:ascii="Arial" w:cs="Arial" w:eastAsia="Arial" w:hAnsi="Arial"/>
                <w:sz w:val="19"/>
                <w:szCs w:val="19"/>
                <w:color w:val="auto"/>
              </w:rPr>
              <w:t>4.3</w:t>
            </w:r>
          </w:p>
        </w:tc>
        <w:tc>
          <w:tcPr>
            <w:tcW w:w="10280" w:type="dxa"/>
            <w:vAlign w:val="bottom"/>
            <w:gridSpan w:val="29"/>
          </w:tcPr>
          <w:p>
            <w:pPr>
              <w:spacing w:after="0"/>
              <w:rPr>
                <w:rFonts w:ascii="Arial" w:cs="Arial" w:eastAsia="Arial" w:hAnsi="Arial"/>
                <w:sz w:val="19"/>
                <w:szCs w:val="19"/>
                <w:color w:val="0000EE"/>
                <w:w w:val="95"/>
              </w:rPr>
            </w:pPr>
            <w:hyperlink r:id="rId26">
              <w:r>
                <w:rPr>
                  <w:rFonts w:ascii="Arial" w:cs="Arial" w:eastAsia="Arial" w:hAnsi="Arial"/>
                  <w:sz w:val="19"/>
                  <w:szCs w:val="19"/>
                  <w:color w:val="0000EE"/>
                  <w:w w:val="95"/>
                </w:rPr>
                <w:t>Certificate of Designation, Preferences and Rights of Series A Junior Participating Preferred Stock of MagnaChip Semiconductor</w:t>
              </w:r>
            </w:hyperlink>
          </w:p>
        </w:tc>
      </w:tr>
      <w:tr>
        <w:trPr>
          <w:trHeight w:val="20"/>
        </w:trPr>
        <w:tc>
          <w:tcPr>
            <w:tcW w:w="13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60" w:type="dxa"/>
            <w:vAlign w:val="bottom"/>
          </w:tcPr>
          <w:p>
            <w:pPr>
              <w:spacing w:after="0"/>
              <w:rPr>
                <w:sz w:val="18"/>
                <w:szCs w:val="18"/>
                <w:color w:val="auto"/>
              </w:rPr>
            </w:pPr>
          </w:p>
        </w:tc>
        <w:tc>
          <w:tcPr>
            <w:tcW w:w="9920" w:type="dxa"/>
            <w:vAlign w:val="bottom"/>
            <w:tcBorders>
              <w:bottom w:val="single" w:sz="8" w:color="0000EE"/>
            </w:tcBorders>
            <w:gridSpan w:val="21"/>
          </w:tcPr>
          <w:p>
            <w:pPr>
              <w:spacing w:after="0" w:line="208" w:lineRule="exact"/>
              <w:rPr>
                <w:rFonts w:ascii="Arial" w:cs="Arial" w:eastAsia="Arial" w:hAnsi="Arial"/>
                <w:sz w:val="19"/>
                <w:szCs w:val="19"/>
                <w:color w:val="0000EE"/>
                <w:w w:val="91"/>
              </w:rPr>
            </w:pPr>
            <w:hyperlink r:id="rId26">
              <w:r>
                <w:rPr>
                  <w:rFonts w:ascii="Arial" w:cs="Arial" w:eastAsia="Arial" w:hAnsi="Arial"/>
                  <w:sz w:val="19"/>
                  <w:szCs w:val="19"/>
                  <w:color w:val="0000EE"/>
                  <w:w w:val="91"/>
                </w:rPr>
                <w:t>Corporation, as filed with the Secretary of the State of Delaware on March 6, 2015 (incorporated by reference to Exhibit 3.1 to the</w:t>
              </w:r>
            </w:hyperlink>
          </w:p>
        </w:tc>
        <w:tc>
          <w:tcPr>
            <w:tcW w:w="360" w:type="dxa"/>
            <w:vAlign w:val="bottom"/>
            <w:gridSpan w:val="8"/>
          </w:tcPr>
          <w:p>
            <w:pPr>
              <w:spacing w:after="0"/>
              <w:rPr>
                <w:sz w:val="18"/>
                <w:szCs w:val="18"/>
                <w:color w:val="auto"/>
              </w:rPr>
            </w:pPr>
          </w:p>
        </w:tc>
      </w:tr>
      <w:tr>
        <w:trPr>
          <w:trHeight w:val="208"/>
        </w:trPr>
        <w:tc>
          <w:tcPr>
            <w:tcW w:w="1360" w:type="dxa"/>
            <w:vAlign w:val="bottom"/>
          </w:tcPr>
          <w:p>
            <w:pPr>
              <w:spacing w:after="0"/>
              <w:rPr>
                <w:sz w:val="18"/>
                <w:szCs w:val="18"/>
                <w:color w:val="auto"/>
              </w:rPr>
            </w:pPr>
          </w:p>
        </w:tc>
        <w:tc>
          <w:tcPr>
            <w:tcW w:w="10280" w:type="dxa"/>
            <w:vAlign w:val="bottom"/>
            <w:gridSpan w:val="29"/>
          </w:tcPr>
          <w:p>
            <w:pPr>
              <w:spacing w:after="0" w:line="208" w:lineRule="exact"/>
              <w:rPr>
                <w:rFonts w:ascii="Arial" w:cs="Arial" w:eastAsia="Arial" w:hAnsi="Arial"/>
                <w:sz w:val="19"/>
                <w:szCs w:val="19"/>
                <w:color w:val="0000EE"/>
              </w:rPr>
            </w:pPr>
            <w:hyperlink r:id="rId26">
              <w:r>
                <w:rPr>
                  <w:rFonts w:ascii="Arial" w:cs="Arial" w:eastAsia="Arial" w:hAnsi="Arial"/>
                  <w:sz w:val="19"/>
                  <w:szCs w:val="19"/>
                  <w:color w:val="0000EE"/>
                </w:rPr>
                <w:t>Registrant’s Current Report on Form 8-K filed on March 6, 2015).</w:t>
              </w:r>
            </w:hyperlink>
          </w:p>
        </w:tc>
      </w:tr>
      <w:tr>
        <w:trPr>
          <w:trHeight w:val="20"/>
        </w:trPr>
        <w:tc>
          <w:tcPr>
            <w:tcW w:w="13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60" w:type="dxa"/>
            <w:vAlign w:val="bottom"/>
          </w:tcPr>
          <w:p>
            <w:pPr>
              <w:ind w:left="100"/>
              <w:spacing w:after="0"/>
              <w:rPr>
                <w:sz w:val="20"/>
                <w:szCs w:val="20"/>
                <w:color w:val="auto"/>
              </w:rPr>
            </w:pPr>
            <w:r>
              <w:rPr>
                <w:rFonts w:ascii="Arial" w:cs="Arial" w:eastAsia="Arial" w:hAnsi="Arial"/>
                <w:sz w:val="19"/>
                <w:szCs w:val="19"/>
                <w:color w:val="auto"/>
              </w:rPr>
              <w:t>5.1</w:t>
            </w:r>
          </w:p>
        </w:tc>
        <w:tc>
          <w:tcPr>
            <w:tcW w:w="10280" w:type="dxa"/>
            <w:vAlign w:val="bottom"/>
            <w:gridSpan w:val="29"/>
          </w:tcPr>
          <w:p>
            <w:pPr>
              <w:spacing w:after="0"/>
              <w:rPr>
                <w:sz w:val="20"/>
                <w:szCs w:val="20"/>
                <w:color w:val="auto"/>
              </w:rPr>
            </w:pPr>
            <w:r>
              <w:rPr>
                <w:rFonts w:ascii="Arial" w:cs="Arial" w:eastAsia="Arial" w:hAnsi="Arial"/>
                <w:sz w:val="19"/>
                <w:szCs w:val="19"/>
                <w:color w:val="0000EE"/>
                <w:w w:val="98"/>
              </w:rPr>
              <w:t>Opinion of Jones Day regarding the validity of the shares of Common Stock being registered on this Registration Statement.</w:t>
            </w: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23.1</w:t>
            </w:r>
          </w:p>
        </w:tc>
        <w:tc>
          <w:tcPr>
            <w:tcW w:w="33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9"/>
                <w:szCs w:val="19"/>
                <w:color w:val="0000EE"/>
                <w:w w:val="88"/>
              </w:rPr>
              <w:t>Consent of Samil PricewaterhouseCoopers.</w:t>
            </w:r>
          </w:p>
        </w:tc>
        <w:tc>
          <w:tcPr>
            <w:tcW w:w="6140" w:type="dxa"/>
            <w:vAlign w:val="bottom"/>
            <w:tcBorders>
              <w:top w:val="single" w:sz="8" w:color="0000EE"/>
            </w:tcBorders>
            <w:gridSpan w:val="15"/>
          </w:tcPr>
          <w:p>
            <w:pPr>
              <w:spacing w:after="0"/>
              <w:rPr>
                <w:sz w:val="24"/>
                <w:szCs w:val="24"/>
                <w:color w:val="auto"/>
              </w:rPr>
            </w:pPr>
          </w:p>
        </w:tc>
        <w:tc>
          <w:tcPr>
            <w:tcW w:w="840" w:type="dxa"/>
            <w:vAlign w:val="bottom"/>
            <w:gridSpan w:val="13"/>
          </w:tcPr>
          <w:p>
            <w:pPr>
              <w:spacing w:after="0"/>
              <w:rPr>
                <w:sz w:val="24"/>
                <w:szCs w:val="24"/>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23.2</w:t>
            </w:r>
          </w:p>
        </w:tc>
        <w:tc>
          <w:tcPr>
            <w:tcW w:w="10280" w:type="dxa"/>
            <w:vAlign w:val="bottom"/>
            <w:gridSpan w:val="29"/>
          </w:tcPr>
          <w:p>
            <w:pPr>
              <w:spacing w:after="0"/>
              <w:rPr>
                <w:sz w:val="20"/>
                <w:szCs w:val="20"/>
                <w:color w:val="auto"/>
              </w:rPr>
            </w:pPr>
            <w:r>
              <w:rPr>
                <w:rFonts w:ascii="Arial" w:cs="Arial" w:eastAsia="Arial" w:hAnsi="Arial"/>
                <w:sz w:val="19"/>
                <w:szCs w:val="19"/>
                <w:color w:val="0000EE"/>
              </w:rPr>
              <w:t>Consent of Jones Day (contained in Exhibit 5.1 to this Registration Statement).</w:t>
            </w:r>
          </w:p>
        </w:tc>
      </w:tr>
      <w:tr>
        <w:trPr>
          <w:trHeight w:val="20"/>
        </w:trPr>
        <w:tc>
          <w:tcPr>
            <w:tcW w:w="136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24.1</w:t>
            </w:r>
          </w:p>
        </w:tc>
        <w:tc>
          <w:tcPr>
            <w:tcW w:w="6260" w:type="dxa"/>
            <w:vAlign w:val="bottom"/>
            <w:tcBorders>
              <w:bottom w:val="single" w:sz="8" w:color="0000EE"/>
            </w:tcBorders>
            <w:gridSpan w:val="8"/>
          </w:tcPr>
          <w:p>
            <w:pPr>
              <w:spacing w:after="0"/>
              <w:rPr>
                <w:rFonts w:ascii="Arial" w:cs="Arial" w:eastAsia="Arial" w:hAnsi="Arial"/>
                <w:sz w:val="19"/>
                <w:szCs w:val="19"/>
                <w:color w:val="0000EE"/>
                <w:w w:val="90"/>
              </w:rPr>
            </w:pPr>
            <w:hyperlink w:anchor="page5">
              <w:r>
                <w:rPr>
                  <w:rFonts w:ascii="Arial" w:cs="Arial" w:eastAsia="Arial" w:hAnsi="Arial"/>
                  <w:sz w:val="19"/>
                  <w:szCs w:val="19"/>
                  <w:color w:val="0000EE"/>
                  <w:w w:val="90"/>
                </w:rPr>
                <w:t>Power of Attorney (included on the signature page to this Registration Statement).</w:t>
              </w:r>
            </w:hyperlink>
          </w:p>
        </w:tc>
        <w:tc>
          <w:tcPr>
            <w:tcW w:w="4020" w:type="dxa"/>
            <w:vAlign w:val="bottom"/>
            <w:gridSpan w:val="21"/>
          </w:tcPr>
          <w:p>
            <w:pPr>
              <w:spacing w:after="0"/>
              <w:rPr>
                <w:sz w:val="24"/>
                <w:szCs w:val="24"/>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99.1</w:t>
            </w:r>
          </w:p>
        </w:tc>
        <w:tc>
          <w:tcPr>
            <w:tcW w:w="10280" w:type="dxa"/>
            <w:vAlign w:val="bottom"/>
            <w:gridSpan w:val="29"/>
          </w:tcPr>
          <w:p>
            <w:pPr>
              <w:spacing w:after="0"/>
              <w:rPr>
                <w:rFonts w:ascii="Arial" w:cs="Arial" w:eastAsia="Arial" w:hAnsi="Arial"/>
                <w:sz w:val="19"/>
                <w:szCs w:val="19"/>
                <w:color w:val="0000EE"/>
                <w:w w:val="94"/>
              </w:rPr>
            </w:pPr>
            <w:hyperlink r:id="rId27">
              <w:r>
                <w:rPr>
                  <w:rFonts w:ascii="Arial" w:cs="Arial" w:eastAsia="Arial" w:hAnsi="Arial"/>
                  <w:sz w:val="19"/>
                  <w:szCs w:val="19"/>
                  <w:color w:val="0000EE"/>
                  <w:w w:val="94"/>
                </w:rPr>
                <w:t>MagnaChip Semiconductor Corporation 2011 Equity Incentive Plan (as amended on April 26, 2018) (incorporated by reference to</w:t>
              </w:r>
            </w:hyperlink>
          </w:p>
        </w:tc>
      </w:tr>
      <w:tr>
        <w:trPr>
          <w:trHeight w:val="208"/>
        </w:trPr>
        <w:tc>
          <w:tcPr>
            <w:tcW w:w="1360" w:type="dxa"/>
            <w:vAlign w:val="bottom"/>
          </w:tcPr>
          <w:p>
            <w:pPr>
              <w:spacing w:after="0"/>
              <w:rPr>
                <w:sz w:val="18"/>
                <w:szCs w:val="18"/>
                <w:color w:val="auto"/>
              </w:rPr>
            </w:pPr>
          </w:p>
        </w:tc>
        <w:tc>
          <w:tcPr>
            <w:tcW w:w="6960" w:type="dxa"/>
            <w:vAlign w:val="bottom"/>
            <w:tcBorders>
              <w:top w:val="single" w:sz="8" w:color="0000EE"/>
              <w:bottom w:val="single" w:sz="8" w:color="0000EE"/>
            </w:tcBorders>
            <w:gridSpan w:val="10"/>
          </w:tcPr>
          <w:p>
            <w:pPr>
              <w:spacing w:after="0" w:line="208" w:lineRule="exact"/>
              <w:rPr>
                <w:rFonts w:ascii="Arial" w:cs="Arial" w:eastAsia="Arial" w:hAnsi="Arial"/>
                <w:sz w:val="19"/>
                <w:szCs w:val="19"/>
                <w:color w:val="0000EE"/>
                <w:w w:val="91"/>
              </w:rPr>
            </w:pPr>
            <w:hyperlink r:id="rId27">
              <w:r>
                <w:rPr>
                  <w:rFonts w:ascii="Arial" w:cs="Arial" w:eastAsia="Arial" w:hAnsi="Arial"/>
                  <w:sz w:val="19"/>
                  <w:szCs w:val="19"/>
                  <w:color w:val="0000EE"/>
                  <w:w w:val="91"/>
                </w:rPr>
                <w:t>Exhibit 10.24 to the Registrant’s Annual Report on Form 10-K filed on February 22, 2019).</w:t>
              </w:r>
            </w:hyperlink>
          </w:p>
        </w:tc>
        <w:tc>
          <w:tcPr>
            <w:tcW w:w="2980" w:type="dxa"/>
            <w:vAlign w:val="bottom"/>
            <w:tcBorders>
              <w:top w:val="single" w:sz="8" w:color="0000EE"/>
            </w:tcBorders>
            <w:gridSpan w:val="12"/>
          </w:tcPr>
          <w:p>
            <w:pPr>
              <w:spacing w:after="0"/>
              <w:rPr>
                <w:sz w:val="18"/>
                <w:szCs w:val="18"/>
                <w:color w:val="auto"/>
              </w:rPr>
            </w:pPr>
          </w:p>
        </w:tc>
        <w:tc>
          <w:tcPr>
            <w:tcW w:w="340" w:type="dxa"/>
            <w:vAlign w:val="bottom"/>
            <w:gridSpan w:val="7"/>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99.2</w:t>
            </w:r>
          </w:p>
        </w:tc>
        <w:tc>
          <w:tcPr>
            <w:tcW w:w="10280" w:type="dxa"/>
            <w:vAlign w:val="bottom"/>
            <w:gridSpan w:val="29"/>
          </w:tcPr>
          <w:p>
            <w:pPr>
              <w:spacing w:after="0"/>
              <w:rPr>
                <w:rFonts w:ascii="Arial" w:cs="Arial" w:eastAsia="Arial" w:hAnsi="Arial"/>
                <w:sz w:val="19"/>
                <w:szCs w:val="19"/>
                <w:color w:val="0000EE"/>
                <w:w w:val="95"/>
              </w:rPr>
            </w:pPr>
            <w:hyperlink r:id="rId28">
              <w:r>
                <w:rPr>
                  <w:rFonts w:ascii="Arial" w:cs="Arial" w:eastAsia="Arial" w:hAnsi="Arial"/>
                  <w:sz w:val="19"/>
                  <w:szCs w:val="19"/>
                  <w:color w:val="0000EE"/>
                  <w:w w:val="95"/>
                </w:rPr>
                <w:t>MagnaChip Semiconductor Corporation 2011 Form of Stock Option Agreement (U.S. Participants) (incorporated by reference to</w:t>
              </w:r>
            </w:hyperlink>
          </w:p>
        </w:tc>
      </w:tr>
      <w:tr>
        <w:trPr>
          <w:trHeight w:val="208"/>
        </w:trPr>
        <w:tc>
          <w:tcPr>
            <w:tcW w:w="1360" w:type="dxa"/>
            <w:vAlign w:val="bottom"/>
          </w:tcPr>
          <w:p>
            <w:pPr>
              <w:spacing w:after="0"/>
              <w:rPr>
                <w:sz w:val="18"/>
                <w:szCs w:val="18"/>
                <w:color w:val="auto"/>
              </w:rPr>
            </w:pPr>
          </w:p>
        </w:tc>
        <w:tc>
          <w:tcPr>
            <w:tcW w:w="9840" w:type="dxa"/>
            <w:vAlign w:val="bottom"/>
            <w:tcBorders>
              <w:top w:val="single" w:sz="8" w:color="0000EE"/>
            </w:tcBorders>
            <w:gridSpan w:val="20"/>
          </w:tcPr>
          <w:p>
            <w:pPr>
              <w:spacing w:after="0" w:line="208" w:lineRule="exact"/>
              <w:rPr>
                <w:rFonts w:ascii="Arial" w:cs="Arial" w:eastAsia="Arial" w:hAnsi="Arial"/>
                <w:sz w:val="19"/>
                <w:szCs w:val="19"/>
                <w:color w:val="0000EE"/>
              </w:rPr>
            </w:pPr>
            <w:hyperlink r:id="rId28">
              <w:r>
                <w:rPr>
                  <w:rFonts w:ascii="Arial" w:cs="Arial" w:eastAsia="Arial" w:hAnsi="Arial"/>
                  <w:sz w:val="19"/>
                  <w:szCs w:val="19"/>
                  <w:color w:val="0000EE"/>
                </w:rPr>
                <w:t>Exhibit 10.55 to the Registrant’s Registration Statement on Form S-1 (No. 333-165467)).</w:t>
              </w:r>
            </w:hyperlink>
          </w:p>
        </w:tc>
        <w:tc>
          <w:tcPr>
            <w:tcW w:w="440" w:type="dxa"/>
            <w:vAlign w:val="bottom"/>
            <w:gridSpan w:val="9"/>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99.3</w:t>
            </w:r>
          </w:p>
        </w:tc>
        <w:tc>
          <w:tcPr>
            <w:tcW w:w="10200" w:type="dxa"/>
            <w:vAlign w:val="bottom"/>
            <w:tcBorders>
              <w:bottom w:val="single" w:sz="8" w:color="0000EE"/>
            </w:tcBorders>
            <w:gridSpan w:val="26"/>
          </w:tcPr>
          <w:p>
            <w:pPr>
              <w:spacing w:after="0"/>
              <w:rPr>
                <w:rFonts w:ascii="Arial" w:cs="Arial" w:eastAsia="Arial" w:hAnsi="Arial"/>
                <w:sz w:val="19"/>
                <w:szCs w:val="19"/>
                <w:color w:val="0000EE"/>
                <w:w w:val="91"/>
              </w:rPr>
            </w:pPr>
            <w:hyperlink r:id="rId29">
              <w:r>
                <w:rPr>
                  <w:rFonts w:ascii="Arial" w:cs="Arial" w:eastAsia="Arial" w:hAnsi="Arial"/>
                  <w:sz w:val="19"/>
                  <w:szCs w:val="19"/>
                  <w:color w:val="0000EE"/>
                  <w:w w:val="91"/>
                </w:rPr>
                <w:t>MagnaChip Semiconductor Corporation 2011 Form of Stock Option Agreement (Non-U.S. Participants) (incorporated by reference to</w:t>
              </w:r>
            </w:hyperlink>
          </w:p>
        </w:tc>
        <w:tc>
          <w:tcPr>
            <w:tcW w:w="80" w:type="dxa"/>
            <w:vAlign w:val="bottom"/>
            <w:gridSpan w:val="3"/>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10280" w:type="dxa"/>
            <w:vAlign w:val="bottom"/>
            <w:gridSpan w:val="29"/>
          </w:tcPr>
          <w:p>
            <w:pPr>
              <w:spacing w:after="0" w:line="208" w:lineRule="exact"/>
              <w:rPr>
                <w:rFonts w:ascii="Arial" w:cs="Arial" w:eastAsia="Arial" w:hAnsi="Arial"/>
                <w:sz w:val="19"/>
                <w:szCs w:val="19"/>
                <w:color w:val="0000EE"/>
              </w:rPr>
            </w:pPr>
            <w:hyperlink r:id="rId29">
              <w:r>
                <w:rPr>
                  <w:rFonts w:ascii="Arial" w:cs="Arial" w:eastAsia="Arial" w:hAnsi="Arial"/>
                  <w:sz w:val="19"/>
                  <w:szCs w:val="19"/>
                  <w:color w:val="0000EE"/>
                </w:rPr>
                <w:t>Exhibit 10.56 to the Registrant’s Registration Statement on Form S-1 (No. 333-165467)).</w:t>
              </w:r>
            </w:hyperlink>
          </w:p>
        </w:tc>
      </w:tr>
      <w:tr>
        <w:trPr>
          <w:trHeight w:val="20"/>
        </w:trPr>
        <w:tc>
          <w:tcPr>
            <w:tcW w:w="136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99.4</w:t>
            </w:r>
          </w:p>
        </w:tc>
        <w:tc>
          <w:tcPr>
            <w:tcW w:w="9560" w:type="dxa"/>
            <w:vAlign w:val="bottom"/>
            <w:tcBorders>
              <w:bottom w:val="single" w:sz="8" w:color="0000EE"/>
            </w:tcBorders>
            <w:gridSpan w:val="17"/>
          </w:tcPr>
          <w:p>
            <w:pPr>
              <w:spacing w:after="0"/>
              <w:rPr>
                <w:rFonts w:ascii="Arial" w:cs="Arial" w:eastAsia="Arial" w:hAnsi="Arial"/>
                <w:sz w:val="19"/>
                <w:szCs w:val="19"/>
                <w:color w:val="0000EE"/>
                <w:w w:val="91"/>
              </w:rPr>
            </w:pPr>
            <w:hyperlink r:id="rId30">
              <w:r>
                <w:rPr>
                  <w:rFonts w:ascii="Arial" w:cs="Arial" w:eastAsia="Arial" w:hAnsi="Arial"/>
                  <w:sz w:val="19"/>
                  <w:szCs w:val="19"/>
                  <w:color w:val="0000EE"/>
                  <w:w w:val="91"/>
                </w:rPr>
                <w:t>MagnaChip Semiconductor Corporation 2011 Form of Restricted Stock Units Agreement (U.S. Participants) (incorporated by</w:t>
              </w:r>
            </w:hyperlink>
          </w:p>
        </w:tc>
        <w:tc>
          <w:tcPr>
            <w:tcW w:w="720" w:type="dxa"/>
            <w:vAlign w:val="bottom"/>
            <w:gridSpan w:val="12"/>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7740" w:type="dxa"/>
            <w:vAlign w:val="bottom"/>
            <w:tcBorders>
              <w:bottom w:val="single" w:sz="8" w:color="0000EE"/>
            </w:tcBorders>
            <w:gridSpan w:val="15"/>
          </w:tcPr>
          <w:p>
            <w:pPr>
              <w:spacing w:after="0" w:line="208" w:lineRule="exact"/>
              <w:rPr>
                <w:rFonts w:ascii="Arial" w:cs="Arial" w:eastAsia="Arial" w:hAnsi="Arial"/>
                <w:sz w:val="19"/>
                <w:szCs w:val="19"/>
                <w:color w:val="0000EE"/>
                <w:w w:val="90"/>
              </w:rPr>
            </w:pPr>
            <w:hyperlink r:id="rId30">
              <w:r>
                <w:rPr>
                  <w:rFonts w:ascii="Arial" w:cs="Arial" w:eastAsia="Arial" w:hAnsi="Arial"/>
                  <w:sz w:val="19"/>
                  <w:szCs w:val="19"/>
                  <w:color w:val="0000EE"/>
                  <w:w w:val="90"/>
                </w:rPr>
                <w:t>reference to Exhibit 10.57 to the Registrant’s Registration Statement on Form S-1 (No. 333-165467)).</w:t>
              </w:r>
            </w:hyperlink>
          </w:p>
        </w:tc>
        <w:tc>
          <w:tcPr>
            <w:tcW w:w="2540" w:type="dxa"/>
            <w:vAlign w:val="bottom"/>
            <w:gridSpan w:val="14"/>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99.5</w:t>
            </w:r>
          </w:p>
        </w:tc>
        <w:tc>
          <w:tcPr>
            <w:tcW w:w="10280" w:type="dxa"/>
            <w:vAlign w:val="bottom"/>
            <w:gridSpan w:val="29"/>
          </w:tcPr>
          <w:p>
            <w:pPr>
              <w:spacing w:after="0"/>
              <w:rPr>
                <w:rFonts w:ascii="Arial" w:cs="Arial" w:eastAsia="Arial" w:hAnsi="Arial"/>
                <w:sz w:val="19"/>
                <w:szCs w:val="19"/>
                <w:color w:val="0000EE"/>
                <w:w w:val="94"/>
              </w:rPr>
            </w:pPr>
            <w:hyperlink r:id="rId31">
              <w:r>
                <w:rPr>
                  <w:rFonts w:ascii="Arial" w:cs="Arial" w:eastAsia="Arial" w:hAnsi="Arial"/>
                  <w:sz w:val="19"/>
                  <w:szCs w:val="19"/>
                  <w:color w:val="0000EE"/>
                  <w:w w:val="94"/>
                </w:rPr>
                <w:t>MagnaChip Semiconductor Corporation 2011 Form of Restricted Stock Units Agreement (Non-U.S. Participants) (incorporated by</w:t>
              </w:r>
            </w:hyperlink>
          </w:p>
        </w:tc>
      </w:tr>
      <w:tr>
        <w:trPr>
          <w:trHeight w:val="208"/>
        </w:trPr>
        <w:tc>
          <w:tcPr>
            <w:tcW w:w="1360" w:type="dxa"/>
            <w:vAlign w:val="bottom"/>
          </w:tcPr>
          <w:p>
            <w:pPr>
              <w:spacing w:after="0"/>
              <w:rPr>
                <w:sz w:val="18"/>
                <w:szCs w:val="18"/>
                <w:color w:val="auto"/>
              </w:rPr>
            </w:pPr>
          </w:p>
        </w:tc>
        <w:tc>
          <w:tcPr>
            <w:tcW w:w="7740" w:type="dxa"/>
            <w:vAlign w:val="bottom"/>
            <w:tcBorders>
              <w:top w:val="single" w:sz="8" w:color="0000EE"/>
              <w:bottom w:val="single" w:sz="8" w:color="0000EE"/>
            </w:tcBorders>
            <w:gridSpan w:val="15"/>
          </w:tcPr>
          <w:p>
            <w:pPr>
              <w:spacing w:after="0" w:line="208" w:lineRule="exact"/>
              <w:rPr>
                <w:rFonts w:ascii="Arial" w:cs="Arial" w:eastAsia="Arial" w:hAnsi="Arial"/>
                <w:sz w:val="19"/>
                <w:szCs w:val="19"/>
                <w:color w:val="0000EE"/>
                <w:w w:val="90"/>
              </w:rPr>
            </w:pPr>
            <w:hyperlink r:id="rId31">
              <w:r>
                <w:rPr>
                  <w:rFonts w:ascii="Arial" w:cs="Arial" w:eastAsia="Arial" w:hAnsi="Arial"/>
                  <w:sz w:val="19"/>
                  <w:szCs w:val="19"/>
                  <w:color w:val="0000EE"/>
                  <w:w w:val="90"/>
                </w:rPr>
                <w:t>reference to Exhibit 10.58 to the Registrant’s Registration Statement on Form S-1 (No. 333-165467)).</w:t>
              </w:r>
            </w:hyperlink>
          </w:p>
        </w:tc>
        <w:tc>
          <w:tcPr>
            <w:tcW w:w="2200" w:type="dxa"/>
            <w:vAlign w:val="bottom"/>
            <w:tcBorders>
              <w:top w:val="single" w:sz="8" w:color="0000EE"/>
            </w:tcBorders>
            <w:gridSpan w:val="7"/>
          </w:tcPr>
          <w:p>
            <w:pPr>
              <w:spacing w:after="0"/>
              <w:rPr>
                <w:sz w:val="18"/>
                <w:szCs w:val="18"/>
                <w:color w:val="auto"/>
              </w:rPr>
            </w:pPr>
          </w:p>
        </w:tc>
        <w:tc>
          <w:tcPr>
            <w:tcW w:w="340" w:type="dxa"/>
            <w:vAlign w:val="bottom"/>
            <w:gridSpan w:val="7"/>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99.6</w:t>
            </w:r>
          </w:p>
        </w:tc>
        <w:tc>
          <w:tcPr>
            <w:tcW w:w="10280" w:type="dxa"/>
            <w:vAlign w:val="bottom"/>
            <w:gridSpan w:val="29"/>
          </w:tcPr>
          <w:p>
            <w:pPr>
              <w:spacing w:after="0"/>
              <w:rPr>
                <w:rFonts w:ascii="Arial" w:cs="Arial" w:eastAsia="Arial" w:hAnsi="Arial"/>
                <w:sz w:val="19"/>
                <w:szCs w:val="19"/>
                <w:color w:val="0000EE"/>
                <w:w w:val="93"/>
              </w:rPr>
            </w:pPr>
            <w:hyperlink r:id="rId32">
              <w:r>
                <w:rPr>
                  <w:rFonts w:ascii="Arial" w:cs="Arial" w:eastAsia="Arial" w:hAnsi="Arial"/>
                  <w:sz w:val="19"/>
                  <w:szCs w:val="19"/>
                  <w:color w:val="0000EE"/>
                  <w:w w:val="93"/>
                </w:rPr>
                <w:t>MagnaChip Semiconductor Corporation 2011 Form of Restricted Stock Agreement (U.S. Participants) (incorporated by reference to</w:t>
              </w:r>
            </w:hyperlink>
          </w:p>
        </w:tc>
      </w:tr>
      <w:tr>
        <w:trPr>
          <w:trHeight w:val="208"/>
        </w:trPr>
        <w:tc>
          <w:tcPr>
            <w:tcW w:w="1360" w:type="dxa"/>
            <w:vAlign w:val="bottom"/>
          </w:tcPr>
          <w:p>
            <w:pPr>
              <w:spacing w:after="0"/>
              <w:rPr>
                <w:sz w:val="18"/>
                <w:szCs w:val="18"/>
                <w:color w:val="auto"/>
              </w:rPr>
            </w:pPr>
          </w:p>
        </w:tc>
        <w:tc>
          <w:tcPr>
            <w:tcW w:w="10040" w:type="dxa"/>
            <w:vAlign w:val="bottom"/>
            <w:tcBorders>
              <w:top w:val="single" w:sz="8" w:color="0000EE"/>
            </w:tcBorders>
            <w:gridSpan w:val="25"/>
          </w:tcPr>
          <w:p>
            <w:pPr>
              <w:spacing w:after="0" w:line="208" w:lineRule="exact"/>
              <w:rPr>
                <w:rFonts w:ascii="Arial" w:cs="Arial" w:eastAsia="Arial" w:hAnsi="Arial"/>
                <w:sz w:val="19"/>
                <w:szCs w:val="19"/>
                <w:color w:val="0000EE"/>
              </w:rPr>
            </w:pPr>
            <w:hyperlink r:id="rId32">
              <w:r>
                <w:rPr>
                  <w:rFonts w:ascii="Arial" w:cs="Arial" w:eastAsia="Arial" w:hAnsi="Arial"/>
                  <w:sz w:val="19"/>
                  <w:szCs w:val="19"/>
                  <w:color w:val="0000EE"/>
                </w:rPr>
                <w:t>Exhibit 10.59 to the Registrant’s Registration Statement on Form S-1 (No. 333-165467)).</w:t>
              </w:r>
            </w:hyperlink>
          </w:p>
        </w:tc>
        <w:tc>
          <w:tcPr>
            <w:tcW w:w="240" w:type="dxa"/>
            <w:vAlign w:val="bottom"/>
            <w:gridSpan w:val="4"/>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99.7</w:t>
            </w:r>
          </w:p>
        </w:tc>
        <w:tc>
          <w:tcPr>
            <w:tcW w:w="10260" w:type="dxa"/>
            <w:vAlign w:val="bottom"/>
            <w:tcBorders>
              <w:bottom w:val="single" w:sz="8" w:color="0000EE"/>
            </w:tcBorders>
            <w:gridSpan w:val="28"/>
          </w:tcPr>
          <w:p>
            <w:pPr>
              <w:spacing w:after="0"/>
              <w:rPr>
                <w:rFonts w:ascii="Arial" w:cs="Arial" w:eastAsia="Arial" w:hAnsi="Arial"/>
                <w:sz w:val="19"/>
                <w:szCs w:val="19"/>
                <w:color w:val="0000EE"/>
                <w:w w:val="91"/>
              </w:rPr>
            </w:pPr>
            <w:hyperlink r:id="rId33">
              <w:r>
                <w:rPr>
                  <w:rFonts w:ascii="Arial" w:cs="Arial" w:eastAsia="Arial" w:hAnsi="Arial"/>
                  <w:sz w:val="19"/>
                  <w:szCs w:val="19"/>
                  <w:color w:val="0000EE"/>
                  <w:w w:val="91"/>
                </w:rPr>
                <w:t>MagnaChip Semiconductor Corporation 2011 Form of Restricted Stock Agreement (Non-U.S. Participants) (incorporated by reference</w:t>
              </w:r>
            </w:hyperlink>
          </w:p>
        </w:tc>
        <w:tc>
          <w:tcPr>
            <w:tcW w:w="20" w:type="dxa"/>
            <w:vAlign w:val="bottom"/>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6980" w:type="dxa"/>
            <w:vAlign w:val="bottom"/>
            <w:tcBorders>
              <w:bottom w:val="single" w:sz="8" w:color="0000EE"/>
            </w:tcBorders>
            <w:gridSpan w:val="11"/>
          </w:tcPr>
          <w:p>
            <w:pPr>
              <w:spacing w:after="0" w:line="208" w:lineRule="exact"/>
              <w:rPr>
                <w:rFonts w:ascii="Arial" w:cs="Arial" w:eastAsia="Arial" w:hAnsi="Arial"/>
                <w:sz w:val="19"/>
                <w:szCs w:val="19"/>
                <w:color w:val="0000EE"/>
                <w:w w:val="91"/>
              </w:rPr>
            </w:pPr>
            <w:hyperlink r:id="rId33">
              <w:r>
                <w:rPr>
                  <w:rFonts w:ascii="Arial" w:cs="Arial" w:eastAsia="Arial" w:hAnsi="Arial"/>
                  <w:sz w:val="19"/>
                  <w:szCs w:val="19"/>
                  <w:color w:val="0000EE"/>
                  <w:w w:val="91"/>
                </w:rPr>
                <w:t>to Exhibit 10.60 to the Registrant’s Registration Statement on Form S-1 (No. 333-165467)).</w:t>
              </w:r>
            </w:hyperlink>
          </w:p>
        </w:tc>
        <w:tc>
          <w:tcPr>
            <w:tcW w:w="3300" w:type="dxa"/>
            <w:vAlign w:val="bottom"/>
            <w:gridSpan w:val="18"/>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99.8</w:t>
            </w:r>
          </w:p>
        </w:tc>
        <w:tc>
          <w:tcPr>
            <w:tcW w:w="10280" w:type="dxa"/>
            <w:vAlign w:val="bottom"/>
            <w:gridSpan w:val="29"/>
          </w:tcPr>
          <w:p>
            <w:pPr>
              <w:spacing w:after="0"/>
              <w:rPr>
                <w:rFonts w:ascii="Arial" w:cs="Arial" w:eastAsia="Arial" w:hAnsi="Arial"/>
                <w:sz w:val="19"/>
                <w:szCs w:val="19"/>
                <w:color w:val="0000EE"/>
                <w:w w:val="93"/>
              </w:rPr>
            </w:pPr>
            <w:hyperlink r:id="rId34">
              <w:r>
                <w:rPr>
                  <w:rFonts w:ascii="Arial" w:cs="Arial" w:eastAsia="Arial" w:hAnsi="Arial"/>
                  <w:sz w:val="19"/>
                  <w:szCs w:val="19"/>
                  <w:color w:val="0000EE"/>
                  <w:w w:val="93"/>
                </w:rPr>
                <w:t>MagnaChip Semiconductor Corporation 2011 Form of Restricted Stock Units Agreement (Nonemployee Director) (incorporated by</w:t>
              </w:r>
            </w:hyperlink>
          </w:p>
        </w:tc>
      </w:tr>
      <w:tr>
        <w:trPr>
          <w:trHeight w:val="208"/>
        </w:trPr>
        <w:tc>
          <w:tcPr>
            <w:tcW w:w="1360" w:type="dxa"/>
            <w:vAlign w:val="bottom"/>
          </w:tcPr>
          <w:p>
            <w:pPr>
              <w:spacing w:after="0"/>
              <w:rPr>
                <w:sz w:val="18"/>
                <w:szCs w:val="18"/>
                <w:color w:val="auto"/>
              </w:rPr>
            </w:pPr>
          </w:p>
        </w:tc>
        <w:tc>
          <w:tcPr>
            <w:tcW w:w="10020" w:type="dxa"/>
            <w:vAlign w:val="bottom"/>
            <w:tcBorders>
              <w:top w:val="single" w:sz="8" w:color="0000EE"/>
            </w:tcBorders>
            <w:gridSpan w:val="24"/>
          </w:tcPr>
          <w:p>
            <w:pPr>
              <w:spacing w:after="0" w:line="208" w:lineRule="exact"/>
              <w:rPr>
                <w:rFonts w:ascii="Arial" w:cs="Arial" w:eastAsia="Arial" w:hAnsi="Arial"/>
                <w:sz w:val="19"/>
                <w:szCs w:val="19"/>
                <w:color w:val="0000EE"/>
              </w:rPr>
            </w:pPr>
            <w:hyperlink r:id="rId34">
              <w:r>
                <w:rPr>
                  <w:rFonts w:ascii="Arial" w:cs="Arial" w:eastAsia="Arial" w:hAnsi="Arial"/>
                  <w:sz w:val="19"/>
                  <w:szCs w:val="19"/>
                  <w:color w:val="0000EE"/>
                </w:rPr>
                <w:t>reference to Exhibit 10.1 to the Registrant’s Quarterly Report on Form 10-Q filed on May 6, 2016).</w:t>
              </w:r>
            </w:hyperlink>
          </w:p>
        </w:tc>
        <w:tc>
          <w:tcPr>
            <w:tcW w:w="260" w:type="dxa"/>
            <w:vAlign w:val="bottom"/>
            <w:gridSpan w:val="5"/>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99.9</w:t>
            </w:r>
          </w:p>
        </w:tc>
        <w:tc>
          <w:tcPr>
            <w:tcW w:w="10240" w:type="dxa"/>
            <w:vAlign w:val="bottom"/>
            <w:tcBorders>
              <w:bottom w:val="single" w:sz="8" w:color="0000EE"/>
            </w:tcBorders>
            <w:gridSpan w:val="27"/>
          </w:tcPr>
          <w:p>
            <w:pPr>
              <w:spacing w:after="0"/>
              <w:rPr>
                <w:rFonts w:ascii="Arial" w:cs="Arial" w:eastAsia="Arial" w:hAnsi="Arial"/>
                <w:sz w:val="19"/>
                <w:szCs w:val="19"/>
                <w:color w:val="0000EE"/>
                <w:w w:val="91"/>
              </w:rPr>
            </w:pPr>
            <w:hyperlink r:id="rId35">
              <w:r>
                <w:rPr>
                  <w:rFonts w:ascii="Arial" w:cs="Arial" w:eastAsia="Arial" w:hAnsi="Arial"/>
                  <w:sz w:val="19"/>
                  <w:szCs w:val="19"/>
                  <w:color w:val="0000EE"/>
                  <w:w w:val="91"/>
                </w:rPr>
                <w:t>MagnaChip Semiconductor Corporation 2011 Form of Restricted Stock Units Agreement (incorporated by reference to Exhibit 10.2 to</w:t>
              </w:r>
            </w:hyperlink>
          </w:p>
        </w:tc>
        <w:tc>
          <w:tcPr>
            <w:tcW w:w="40" w:type="dxa"/>
            <w:vAlign w:val="bottom"/>
            <w:gridSpan w:val="2"/>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10280" w:type="dxa"/>
            <w:vAlign w:val="bottom"/>
            <w:gridSpan w:val="29"/>
          </w:tcPr>
          <w:p>
            <w:pPr>
              <w:spacing w:after="0" w:line="208" w:lineRule="exact"/>
              <w:rPr>
                <w:rFonts w:ascii="Arial" w:cs="Arial" w:eastAsia="Arial" w:hAnsi="Arial"/>
                <w:sz w:val="19"/>
                <w:szCs w:val="19"/>
                <w:color w:val="0000EE"/>
              </w:rPr>
            </w:pPr>
            <w:hyperlink r:id="rId35">
              <w:r>
                <w:rPr>
                  <w:rFonts w:ascii="Arial" w:cs="Arial" w:eastAsia="Arial" w:hAnsi="Arial"/>
                  <w:sz w:val="19"/>
                  <w:szCs w:val="19"/>
                  <w:color w:val="0000EE"/>
                </w:rPr>
                <w:t>the Registrant’s Current Report on Form 8-K filed on April 27, 2018).</w:t>
              </w:r>
            </w:hyperlink>
          </w:p>
        </w:tc>
      </w:tr>
      <w:tr>
        <w:trPr>
          <w:trHeight w:val="20"/>
        </w:trPr>
        <w:tc>
          <w:tcPr>
            <w:tcW w:w="136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99.10</w:t>
            </w:r>
          </w:p>
        </w:tc>
        <w:tc>
          <w:tcPr>
            <w:tcW w:w="10280" w:type="dxa"/>
            <w:vAlign w:val="bottom"/>
            <w:gridSpan w:val="29"/>
          </w:tcPr>
          <w:p>
            <w:pPr>
              <w:spacing w:after="0"/>
              <w:rPr>
                <w:rFonts w:ascii="Arial" w:cs="Arial" w:eastAsia="Arial" w:hAnsi="Arial"/>
                <w:sz w:val="19"/>
                <w:szCs w:val="19"/>
                <w:color w:val="0000EE"/>
                <w:w w:val="97"/>
              </w:rPr>
            </w:pPr>
            <w:hyperlink r:id="rId36">
              <w:r>
                <w:rPr>
                  <w:rFonts w:ascii="Arial" w:cs="Arial" w:eastAsia="Arial" w:hAnsi="Arial"/>
                  <w:sz w:val="19"/>
                  <w:szCs w:val="19"/>
                  <w:color w:val="0000EE"/>
                  <w:w w:val="97"/>
                </w:rPr>
                <w:t>MagnaChip Semiconductor Corporation 2011 Form of Restricted Stock Units Agreement (TSR Performance) (incorporated by</w:t>
              </w:r>
            </w:hyperlink>
          </w:p>
        </w:tc>
      </w:tr>
      <w:tr>
        <w:trPr>
          <w:trHeight w:val="208"/>
        </w:trPr>
        <w:tc>
          <w:tcPr>
            <w:tcW w:w="1360" w:type="dxa"/>
            <w:vAlign w:val="bottom"/>
          </w:tcPr>
          <w:p>
            <w:pPr>
              <w:spacing w:after="0"/>
              <w:rPr>
                <w:sz w:val="18"/>
                <w:szCs w:val="18"/>
                <w:color w:val="auto"/>
              </w:rPr>
            </w:pPr>
          </w:p>
        </w:tc>
        <w:tc>
          <w:tcPr>
            <w:tcW w:w="7460" w:type="dxa"/>
            <w:vAlign w:val="bottom"/>
            <w:tcBorders>
              <w:top w:val="single" w:sz="8" w:color="0000EE"/>
              <w:bottom w:val="single" w:sz="8" w:color="0000EE"/>
            </w:tcBorders>
            <w:gridSpan w:val="12"/>
          </w:tcPr>
          <w:p>
            <w:pPr>
              <w:spacing w:after="0" w:line="208" w:lineRule="exact"/>
              <w:rPr>
                <w:rFonts w:ascii="Arial" w:cs="Arial" w:eastAsia="Arial" w:hAnsi="Arial"/>
                <w:sz w:val="19"/>
                <w:szCs w:val="19"/>
                <w:color w:val="0000EE"/>
                <w:w w:val="92"/>
              </w:rPr>
            </w:pPr>
            <w:hyperlink r:id="rId36">
              <w:r>
                <w:rPr>
                  <w:rFonts w:ascii="Arial" w:cs="Arial" w:eastAsia="Arial" w:hAnsi="Arial"/>
                  <w:sz w:val="19"/>
                  <w:szCs w:val="19"/>
                  <w:color w:val="0000EE"/>
                  <w:w w:val="92"/>
                </w:rPr>
                <w:t>reference to Exhibit 10.3 to the Registrant’s Current Report on Form 8-K filed on April 27, 2018).</w:t>
              </w:r>
            </w:hyperlink>
          </w:p>
        </w:tc>
        <w:tc>
          <w:tcPr>
            <w:tcW w:w="2180" w:type="dxa"/>
            <w:vAlign w:val="bottom"/>
            <w:tcBorders>
              <w:top w:val="single" w:sz="8" w:color="0000EE"/>
            </w:tcBorders>
            <w:gridSpan w:val="6"/>
          </w:tcPr>
          <w:p>
            <w:pPr>
              <w:spacing w:after="0"/>
              <w:rPr>
                <w:sz w:val="18"/>
                <w:szCs w:val="18"/>
                <w:color w:val="auto"/>
              </w:rPr>
            </w:pPr>
          </w:p>
        </w:tc>
        <w:tc>
          <w:tcPr>
            <w:tcW w:w="640" w:type="dxa"/>
            <w:vAlign w:val="bottom"/>
            <w:gridSpan w:val="11"/>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99.11</w:t>
            </w:r>
          </w:p>
        </w:tc>
        <w:tc>
          <w:tcPr>
            <w:tcW w:w="9680" w:type="dxa"/>
            <w:vAlign w:val="bottom"/>
            <w:tcBorders>
              <w:bottom w:val="single" w:sz="8" w:color="0000EE"/>
            </w:tcBorders>
            <w:gridSpan w:val="19"/>
          </w:tcPr>
          <w:p>
            <w:pPr>
              <w:spacing w:after="0"/>
              <w:rPr>
                <w:rFonts w:ascii="Arial" w:cs="Arial" w:eastAsia="Arial" w:hAnsi="Arial"/>
                <w:sz w:val="19"/>
                <w:szCs w:val="19"/>
                <w:color w:val="0000EE"/>
                <w:w w:val="91"/>
              </w:rPr>
            </w:pPr>
            <w:hyperlink r:id="rId37">
              <w:r>
                <w:rPr>
                  <w:rFonts w:ascii="Arial" w:cs="Arial" w:eastAsia="Arial" w:hAnsi="Arial"/>
                  <w:sz w:val="19"/>
                  <w:szCs w:val="19"/>
                  <w:color w:val="0000EE"/>
                  <w:w w:val="91"/>
                </w:rPr>
                <w:t>MagnaChip Semiconductor Corporation 2011 Form of Restricted Stock Units Agreement (AOP Performance) (incorporated by</w:t>
              </w:r>
            </w:hyperlink>
          </w:p>
        </w:tc>
        <w:tc>
          <w:tcPr>
            <w:tcW w:w="600" w:type="dxa"/>
            <w:vAlign w:val="bottom"/>
            <w:gridSpan w:val="10"/>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7460" w:type="dxa"/>
            <w:vAlign w:val="bottom"/>
            <w:tcBorders>
              <w:bottom w:val="single" w:sz="8" w:color="0000EE"/>
            </w:tcBorders>
            <w:gridSpan w:val="12"/>
          </w:tcPr>
          <w:p>
            <w:pPr>
              <w:spacing w:after="0" w:line="208" w:lineRule="exact"/>
              <w:rPr>
                <w:rFonts w:ascii="Arial" w:cs="Arial" w:eastAsia="Arial" w:hAnsi="Arial"/>
                <w:sz w:val="19"/>
                <w:szCs w:val="19"/>
                <w:color w:val="0000EE"/>
                <w:w w:val="92"/>
              </w:rPr>
            </w:pPr>
            <w:hyperlink r:id="rId37">
              <w:r>
                <w:rPr>
                  <w:rFonts w:ascii="Arial" w:cs="Arial" w:eastAsia="Arial" w:hAnsi="Arial"/>
                  <w:sz w:val="19"/>
                  <w:szCs w:val="19"/>
                  <w:color w:val="0000EE"/>
                  <w:w w:val="92"/>
                </w:rPr>
                <w:t>reference to Exhibit 10.4 to the Registrant’s Current Report on Form 8-K filed on April 27, 2018).</w:t>
              </w:r>
            </w:hyperlink>
          </w:p>
        </w:tc>
        <w:tc>
          <w:tcPr>
            <w:tcW w:w="2820" w:type="dxa"/>
            <w:vAlign w:val="bottom"/>
            <w:gridSpan w:val="17"/>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99.12</w:t>
            </w:r>
          </w:p>
        </w:tc>
        <w:tc>
          <w:tcPr>
            <w:tcW w:w="10240" w:type="dxa"/>
            <w:vAlign w:val="bottom"/>
            <w:tcBorders>
              <w:bottom w:val="single" w:sz="8" w:color="0000EE"/>
            </w:tcBorders>
            <w:gridSpan w:val="27"/>
          </w:tcPr>
          <w:p>
            <w:pPr>
              <w:spacing w:after="0"/>
              <w:rPr>
                <w:rFonts w:ascii="Arial" w:cs="Arial" w:eastAsia="Arial" w:hAnsi="Arial"/>
                <w:sz w:val="19"/>
                <w:szCs w:val="19"/>
                <w:color w:val="0000EE"/>
                <w:w w:val="91"/>
              </w:rPr>
            </w:pPr>
            <w:hyperlink r:id="rId38">
              <w:r>
                <w:rPr>
                  <w:rFonts w:ascii="Arial" w:cs="Arial" w:eastAsia="Arial" w:hAnsi="Arial"/>
                  <w:sz w:val="19"/>
                  <w:szCs w:val="19"/>
                  <w:color w:val="0000EE"/>
                  <w:w w:val="91"/>
                </w:rPr>
                <w:t>MagnaChip Semiconductor Corporation 2011 Form of Restricted Stock Units Agreement (incorporated by reference to Exhibit 10.3 to</w:t>
              </w:r>
            </w:hyperlink>
          </w:p>
        </w:tc>
        <w:tc>
          <w:tcPr>
            <w:tcW w:w="40" w:type="dxa"/>
            <w:vAlign w:val="bottom"/>
            <w:gridSpan w:val="2"/>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5540" w:type="dxa"/>
            <w:vAlign w:val="bottom"/>
            <w:tcBorders>
              <w:bottom w:val="single" w:sz="8" w:color="0000EE"/>
            </w:tcBorders>
            <w:gridSpan w:val="5"/>
          </w:tcPr>
          <w:p>
            <w:pPr>
              <w:spacing w:after="0" w:line="208" w:lineRule="exact"/>
              <w:rPr>
                <w:rFonts w:ascii="Arial" w:cs="Arial" w:eastAsia="Arial" w:hAnsi="Arial"/>
                <w:sz w:val="19"/>
                <w:szCs w:val="19"/>
                <w:color w:val="0000EE"/>
                <w:w w:val="91"/>
              </w:rPr>
            </w:pPr>
            <w:hyperlink r:id="rId38">
              <w:r>
                <w:rPr>
                  <w:rFonts w:ascii="Arial" w:cs="Arial" w:eastAsia="Arial" w:hAnsi="Arial"/>
                  <w:sz w:val="19"/>
                  <w:szCs w:val="19"/>
                  <w:color w:val="0000EE"/>
                  <w:w w:val="91"/>
                </w:rPr>
                <w:t>the Registrant’s Current Report on Form 8-K filed on October 26, 2018).</w:t>
              </w:r>
            </w:hyperlink>
          </w:p>
        </w:tc>
        <w:tc>
          <w:tcPr>
            <w:tcW w:w="4740" w:type="dxa"/>
            <w:vAlign w:val="bottom"/>
            <w:gridSpan w:val="24"/>
          </w:tcPr>
          <w:p>
            <w:pPr>
              <w:spacing w:after="0"/>
              <w:rPr>
                <w:sz w:val="18"/>
                <w:szCs w:val="18"/>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99.13</w:t>
            </w:r>
          </w:p>
        </w:tc>
        <w:tc>
          <w:tcPr>
            <w:tcW w:w="10280" w:type="dxa"/>
            <w:vAlign w:val="bottom"/>
            <w:gridSpan w:val="29"/>
          </w:tcPr>
          <w:p>
            <w:pPr>
              <w:spacing w:after="0"/>
              <w:rPr>
                <w:rFonts w:ascii="Arial" w:cs="Arial" w:eastAsia="Arial" w:hAnsi="Arial"/>
                <w:sz w:val="19"/>
                <w:szCs w:val="19"/>
                <w:color w:val="0000EE"/>
                <w:w w:val="97"/>
              </w:rPr>
            </w:pPr>
            <w:hyperlink r:id="rId39">
              <w:r>
                <w:rPr>
                  <w:rFonts w:ascii="Arial" w:cs="Arial" w:eastAsia="Arial" w:hAnsi="Arial"/>
                  <w:sz w:val="19"/>
                  <w:szCs w:val="19"/>
                  <w:color w:val="0000EE"/>
                  <w:w w:val="97"/>
                </w:rPr>
                <w:t>MagnaChip Semiconductor Corporation 2011 Form of Restricted Stock Units Agreement (TSR Performance) (incorporated by</w:t>
              </w:r>
            </w:hyperlink>
          </w:p>
        </w:tc>
      </w:tr>
      <w:tr>
        <w:trPr>
          <w:trHeight w:val="208"/>
        </w:trPr>
        <w:tc>
          <w:tcPr>
            <w:tcW w:w="1360" w:type="dxa"/>
            <w:vAlign w:val="bottom"/>
          </w:tcPr>
          <w:p>
            <w:pPr>
              <w:spacing w:after="0"/>
              <w:rPr>
                <w:sz w:val="18"/>
                <w:szCs w:val="18"/>
                <w:color w:val="auto"/>
              </w:rPr>
            </w:pPr>
          </w:p>
        </w:tc>
        <w:tc>
          <w:tcPr>
            <w:tcW w:w="9640" w:type="dxa"/>
            <w:vAlign w:val="bottom"/>
            <w:tcBorders>
              <w:top w:val="single" w:sz="8" w:color="0000EE"/>
            </w:tcBorders>
            <w:gridSpan w:val="18"/>
          </w:tcPr>
          <w:p>
            <w:pPr>
              <w:spacing w:after="0" w:line="208" w:lineRule="exact"/>
              <w:rPr>
                <w:rFonts w:ascii="Arial" w:cs="Arial" w:eastAsia="Arial" w:hAnsi="Arial"/>
                <w:sz w:val="19"/>
                <w:szCs w:val="19"/>
                <w:color w:val="0000EE"/>
              </w:rPr>
            </w:pPr>
            <w:hyperlink r:id="rId39">
              <w:r>
                <w:rPr>
                  <w:rFonts w:ascii="Arial" w:cs="Arial" w:eastAsia="Arial" w:hAnsi="Arial"/>
                  <w:sz w:val="19"/>
                  <w:szCs w:val="19"/>
                  <w:color w:val="0000EE"/>
                </w:rPr>
                <w:t>reference to Exhibit 10.4 to the Registrant’s Current Report on Form 8-K filed on October 26, 2018).</w:t>
              </w:r>
            </w:hyperlink>
          </w:p>
        </w:tc>
        <w:tc>
          <w:tcPr>
            <w:tcW w:w="640" w:type="dxa"/>
            <w:vAlign w:val="bottom"/>
            <w:gridSpan w:val="11"/>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7660" w:type="dxa"/>
            <w:vAlign w:val="bottom"/>
            <w:gridSpan w:val="14"/>
            <w:shd w:val="clear" w:color="auto" w:fill="0000EE"/>
          </w:tcPr>
          <w:p>
            <w:pPr>
              <w:spacing w:after="0" w:line="20" w:lineRule="exact"/>
              <w:rPr>
                <w:sz w:val="1"/>
                <w:szCs w:val="1"/>
                <w:color w:val="auto"/>
              </w:rPr>
            </w:pPr>
          </w:p>
        </w:tc>
        <w:tc>
          <w:tcPr>
            <w:tcW w:w="2620" w:type="dxa"/>
            <w:vAlign w:val="bottom"/>
            <w:gridSpan w:val="15"/>
          </w:tcPr>
          <w:p>
            <w:pPr>
              <w:spacing w:after="0" w:line="20" w:lineRule="exact"/>
              <w:rPr>
                <w:sz w:val="1"/>
                <w:szCs w:val="1"/>
                <w:color w:val="auto"/>
              </w:rPr>
            </w:pPr>
          </w:p>
        </w:tc>
      </w:tr>
      <w:tr>
        <w:trPr>
          <w:trHeight w:val="322"/>
        </w:trPr>
        <w:tc>
          <w:tcPr>
            <w:tcW w:w="1360" w:type="dxa"/>
            <w:vAlign w:val="bottom"/>
          </w:tcPr>
          <w:p>
            <w:pPr>
              <w:spacing w:after="0"/>
              <w:rPr>
                <w:sz w:val="20"/>
                <w:szCs w:val="20"/>
                <w:color w:val="auto"/>
              </w:rPr>
            </w:pPr>
            <w:r>
              <w:rPr>
                <w:rFonts w:ascii="Arial" w:cs="Arial" w:eastAsia="Arial" w:hAnsi="Arial"/>
                <w:sz w:val="19"/>
                <w:szCs w:val="19"/>
                <w:color w:val="auto"/>
              </w:rPr>
              <w:t>99.14</w:t>
            </w:r>
          </w:p>
        </w:tc>
        <w:tc>
          <w:tcPr>
            <w:tcW w:w="9680" w:type="dxa"/>
            <w:vAlign w:val="bottom"/>
            <w:tcBorders>
              <w:bottom w:val="single" w:sz="8" w:color="0000EE"/>
            </w:tcBorders>
            <w:gridSpan w:val="19"/>
          </w:tcPr>
          <w:p>
            <w:pPr>
              <w:spacing w:after="0"/>
              <w:rPr>
                <w:rFonts w:ascii="Arial" w:cs="Arial" w:eastAsia="Arial" w:hAnsi="Arial"/>
                <w:sz w:val="19"/>
                <w:szCs w:val="19"/>
                <w:color w:val="0000EE"/>
                <w:w w:val="91"/>
              </w:rPr>
            </w:pPr>
            <w:hyperlink r:id="rId40">
              <w:r>
                <w:rPr>
                  <w:rFonts w:ascii="Arial" w:cs="Arial" w:eastAsia="Arial" w:hAnsi="Arial"/>
                  <w:sz w:val="19"/>
                  <w:szCs w:val="19"/>
                  <w:color w:val="0000EE"/>
                  <w:w w:val="91"/>
                </w:rPr>
                <w:t>MagnaChip Semiconductor Corporation 2011 Form of Restricted Stock Units Agreement (AOP Performance) (incorporated by</w:t>
              </w:r>
            </w:hyperlink>
          </w:p>
        </w:tc>
        <w:tc>
          <w:tcPr>
            <w:tcW w:w="600" w:type="dxa"/>
            <w:vAlign w:val="bottom"/>
            <w:gridSpan w:val="10"/>
          </w:tcPr>
          <w:p>
            <w:pPr>
              <w:spacing w:after="0"/>
              <w:rPr>
                <w:sz w:val="24"/>
                <w:szCs w:val="24"/>
                <w:color w:val="auto"/>
              </w:rPr>
            </w:pPr>
          </w:p>
        </w:tc>
      </w:tr>
      <w:tr>
        <w:trPr>
          <w:trHeight w:val="208"/>
        </w:trPr>
        <w:tc>
          <w:tcPr>
            <w:tcW w:w="1360" w:type="dxa"/>
            <w:vAlign w:val="bottom"/>
          </w:tcPr>
          <w:p>
            <w:pPr>
              <w:spacing w:after="0"/>
              <w:rPr>
                <w:sz w:val="18"/>
                <w:szCs w:val="18"/>
                <w:color w:val="auto"/>
              </w:rPr>
            </w:pPr>
          </w:p>
        </w:tc>
        <w:tc>
          <w:tcPr>
            <w:tcW w:w="10280" w:type="dxa"/>
            <w:vAlign w:val="bottom"/>
            <w:gridSpan w:val="29"/>
          </w:tcPr>
          <w:p>
            <w:pPr>
              <w:spacing w:after="0" w:line="208" w:lineRule="exact"/>
              <w:rPr>
                <w:rFonts w:ascii="Arial" w:cs="Arial" w:eastAsia="Arial" w:hAnsi="Arial"/>
                <w:sz w:val="19"/>
                <w:szCs w:val="19"/>
                <w:color w:val="0000EE"/>
              </w:rPr>
            </w:pPr>
            <w:hyperlink r:id="rId40">
              <w:r>
                <w:rPr>
                  <w:rFonts w:ascii="Arial" w:cs="Arial" w:eastAsia="Arial" w:hAnsi="Arial"/>
                  <w:sz w:val="19"/>
                  <w:szCs w:val="19"/>
                  <w:color w:val="0000EE"/>
                </w:rPr>
                <w:t>reference to Exhibit 10.5 to the Registrant’s Current Report on Form 8-K filed on October 26, 2018).</w:t>
              </w:r>
            </w:hyperlink>
          </w:p>
        </w:tc>
      </w:tr>
      <w:tr>
        <w:trPr>
          <w:trHeight w:val="20"/>
        </w:trPr>
        <w:tc>
          <w:tcPr>
            <w:tcW w:w="13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sectPr>
          <w:pgSz w:w="12240" w:h="15840" w:orient="portrait"/>
          <w:cols w:equalWidth="0" w:num="1">
            <w:col w:w="11640"/>
          </w:cols>
          <w:pgMar w:left="300" w:top="136" w:right="30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244" w:lineRule="exact"/>
        <w:rPr>
          <w:sz w:val="20"/>
          <w:szCs w:val="20"/>
          <w:color w:val="auto"/>
        </w:rPr>
      </w:pPr>
    </w:p>
    <w:p>
      <w:pPr>
        <w:ind w:right="340" w:firstLine="465"/>
        <w:spacing w:after="0" w:line="263" w:lineRule="auto"/>
        <w:rPr>
          <w:sz w:val="20"/>
          <w:szCs w:val="20"/>
          <w:color w:val="auto"/>
        </w:rPr>
      </w:pPr>
      <w:r>
        <w:rPr>
          <w:rFonts w:ascii="Arial" w:cs="Arial" w:eastAsia="Arial" w:hAnsi="Arial"/>
          <w:sz w:val="19"/>
          <w:szCs w:val="19"/>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Seoul, Republic of Korea on February 22, 2019.</w:t>
      </w:r>
    </w:p>
    <w:p>
      <w:pPr>
        <w:spacing w:after="0" w:line="217"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MAGNACHIP SEMICONDUCTOR CORPORATION</w:t>
      </w:r>
    </w:p>
    <w:p>
      <w:pPr>
        <w:spacing w:after="0" w:line="244"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15240</wp:posOffset>
            </wp:positionV>
            <wp:extent cx="27622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2762250" cy="8890"/>
                    </a:xfrm>
                    <a:prstGeom prst="rect">
                      <a:avLst/>
                    </a:prstGeom>
                    <a:noFill/>
                  </pic:spPr>
                </pic:pic>
              </a:graphicData>
            </a:graphic>
          </wp:anchor>
        </w:drawing>
      </w:r>
    </w:p>
    <w:p>
      <w:pPr>
        <w:spacing w:after="0" w:line="4" w:lineRule="exact"/>
        <w:rPr>
          <w:sz w:val="20"/>
          <w:szCs w:val="20"/>
          <w:color w:val="auto"/>
        </w:rPr>
      </w:pPr>
    </w:p>
    <w:p>
      <w:pPr>
        <w:ind w:left="7380"/>
        <w:spacing w:after="0"/>
        <w:rPr>
          <w:sz w:val="20"/>
          <w:szCs w:val="20"/>
          <w:color w:val="auto"/>
        </w:rPr>
      </w:pPr>
      <w:r>
        <w:rPr>
          <w:rFonts w:ascii="Arial" w:cs="Arial" w:eastAsia="Arial" w:hAnsi="Arial"/>
          <w:sz w:val="19"/>
          <w:szCs w:val="19"/>
          <w:color w:val="auto"/>
        </w:rPr>
        <w:t>Young-Joon Kim</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POWER OF ATTORNEY</w:t>
      </w:r>
    </w:p>
    <w:p>
      <w:pPr>
        <w:spacing w:after="0" w:line="244" w:lineRule="exact"/>
        <w:rPr>
          <w:sz w:val="20"/>
          <w:szCs w:val="20"/>
          <w:color w:val="auto"/>
        </w:rPr>
      </w:pPr>
    </w:p>
    <w:p>
      <w:pPr>
        <w:ind w:firstLine="465"/>
        <w:spacing w:after="0" w:line="254" w:lineRule="auto"/>
        <w:rPr>
          <w:sz w:val="20"/>
          <w:szCs w:val="20"/>
          <w:color w:val="auto"/>
        </w:rPr>
      </w:pPr>
      <w:r>
        <w:rPr>
          <w:rFonts w:ascii="Arial" w:cs="Arial" w:eastAsia="Arial" w:hAnsi="Arial"/>
          <w:sz w:val="19"/>
          <w:szCs w:val="19"/>
          <w:color w:val="auto"/>
        </w:rPr>
        <w:t>KNOW ALL PERSONS BY THESE PRESENTS, that each person whose signature appears below constitutes and appoints Young-Joon Kim and Jonathan W. Kim and each or either of them, as his or her true and lawful attorney-in-fact and agent, with full power of substitution and resubstitution, for him and in his name, place and stead, in any and all capacities, to sign any and all amendments to this registration statement on Form S-8, including any and all post-effective amendments and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04" w:lineRule="exact"/>
        <w:rPr>
          <w:sz w:val="20"/>
          <w:szCs w:val="20"/>
          <w:color w:val="auto"/>
        </w:rPr>
      </w:pPr>
    </w:p>
    <w:p>
      <w:pPr>
        <w:ind w:right="280" w:firstLine="465"/>
        <w:spacing w:after="0" w:line="304"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below by the following persons on behalf of MagnaChip Semiconductor Corporation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4420" w:type="dxa"/>
            <w:vAlign w:val="bottom"/>
          </w:tcPr>
          <w:p>
            <w:pPr>
              <w:jc w:val="center"/>
              <w:ind w:left="2947"/>
              <w:spacing w:after="0"/>
              <w:rPr>
                <w:sz w:val="20"/>
                <w:szCs w:val="20"/>
                <w:color w:val="auto"/>
              </w:rPr>
            </w:pPr>
            <w:r>
              <w:rPr>
                <w:rFonts w:ascii="Arial" w:cs="Arial" w:eastAsia="Arial" w:hAnsi="Arial"/>
                <w:sz w:val="15"/>
                <w:szCs w:val="15"/>
                <w:b w:val="1"/>
                <w:bCs w:val="1"/>
                <w:color w:val="auto"/>
                <w:w w:val="92"/>
              </w:rPr>
              <w:t>Date</w:t>
            </w:r>
          </w:p>
        </w:tc>
      </w:tr>
      <w:tr>
        <w:trPr>
          <w:trHeight w:val="440"/>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Young-Joon Kim</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09"/>
        </w:trPr>
        <w:tc>
          <w:tcPr>
            <w:tcW w:w="4420" w:type="dxa"/>
            <w:vAlign w:val="bottom"/>
          </w:tcPr>
          <w:p>
            <w:pPr>
              <w:spacing w:after="0" w:line="209" w:lineRule="exact"/>
              <w:rPr>
                <w:sz w:val="20"/>
                <w:szCs w:val="20"/>
                <w:color w:val="auto"/>
              </w:rPr>
            </w:pPr>
            <w:r>
              <w:rPr>
                <w:rFonts w:ascii="Arial" w:cs="Arial" w:eastAsia="Arial" w:hAnsi="Arial"/>
                <w:sz w:val="19"/>
                <w:szCs w:val="19"/>
                <w:color w:val="auto"/>
              </w:rPr>
              <w:t xml:space="preserve">Young-Joon Kim, </w:t>
            </w:r>
            <w:r>
              <w:rPr>
                <w:rFonts w:ascii="Arial" w:cs="Arial" w:eastAsia="Arial" w:hAnsi="Arial"/>
                <w:sz w:val="19"/>
                <w:szCs w:val="19"/>
                <w:i w:val="1"/>
                <w:iCs w:val="1"/>
                <w:color w:val="auto"/>
              </w:rPr>
              <w:t>Chief Executive Officer (Principal</w:t>
            </w:r>
          </w:p>
        </w:tc>
        <w:tc>
          <w:tcPr>
            <w:tcW w:w="4420" w:type="dxa"/>
            <w:vAlign w:val="bottom"/>
          </w:tcPr>
          <w:p>
            <w:pPr>
              <w:spacing w:after="0"/>
              <w:rPr>
                <w:sz w:val="18"/>
                <w:szCs w:val="18"/>
                <w:color w:val="auto"/>
              </w:rPr>
            </w:pPr>
          </w:p>
        </w:tc>
      </w:tr>
      <w:tr>
        <w:trPr>
          <w:trHeight w:val="241"/>
        </w:trPr>
        <w:tc>
          <w:tcPr>
            <w:tcW w:w="4420" w:type="dxa"/>
            <w:vAlign w:val="bottom"/>
          </w:tcPr>
          <w:p>
            <w:pPr>
              <w:spacing w:after="0"/>
              <w:rPr>
                <w:sz w:val="20"/>
                <w:szCs w:val="20"/>
                <w:color w:val="auto"/>
              </w:rPr>
            </w:pPr>
            <w:r>
              <w:rPr>
                <w:rFonts w:ascii="Arial" w:cs="Arial" w:eastAsia="Arial" w:hAnsi="Arial"/>
                <w:sz w:val="19"/>
                <w:szCs w:val="19"/>
                <w:i w:val="1"/>
                <w:iCs w:val="1"/>
                <w:color w:val="auto"/>
              </w:rPr>
              <w:t>Executive Officer) and Director</w:t>
            </w:r>
          </w:p>
        </w:tc>
        <w:tc>
          <w:tcPr>
            <w:tcW w:w="4420" w:type="dxa"/>
            <w:vAlign w:val="bottom"/>
          </w:tcPr>
          <w:p>
            <w:pPr>
              <w:spacing w:after="0"/>
              <w:rPr>
                <w:sz w:val="20"/>
                <w:szCs w:val="20"/>
                <w:color w:val="auto"/>
              </w:rPr>
            </w:pPr>
          </w:p>
        </w:tc>
      </w:tr>
      <w:tr>
        <w:trPr>
          <w:trHeight w:val="471"/>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Jonathan Kim</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09"/>
        </w:trPr>
        <w:tc>
          <w:tcPr>
            <w:tcW w:w="4420" w:type="dxa"/>
            <w:vAlign w:val="bottom"/>
          </w:tcPr>
          <w:p>
            <w:pPr>
              <w:spacing w:after="0" w:line="209" w:lineRule="exact"/>
              <w:rPr>
                <w:sz w:val="20"/>
                <w:szCs w:val="20"/>
                <w:color w:val="auto"/>
              </w:rPr>
            </w:pPr>
            <w:r>
              <w:rPr>
                <w:rFonts w:ascii="Arial" w:cs="Arial" w:eastAsia="Arial" w:hAnsi="Arial"/>
                <w:sz w:val="19"/>
                <w:szCs w:val="19"/>
                <w:color w:val="auto"/>
                <w:w w:val="92"/>
              </w:rPr>
              <w:t xml:space="preserve">Jonathan W. Kim, </w:t>
            </w:r>
            <w:r>
              <w:rPr>
                <w:rFonts w:ascii="Arial" w:cs="Arial" w:eastAsia="Arial" w:hAnsi="Arial"/>
                <w:sz w:val="19"/>
                <w:szCs w:val="19"/>
                <w:i w:val="1"/>
                <w:iCs w:val="1"/>
                <w:color w:val="auto"/>
                <w:w w:val="92"/>
              </w:rPr>
              <w:t>Chief Financial Officer, Executive Vice</w:t>
            </w:r>
          </w:p>
        </w:tc>
        <w:tc>
          <w:tcPr>
            <w:tcW w:w="4420" w:type="dxa"/>
            <w:vAlign w:val="bottom"/>
          </w:tcPr>
          <w:p>
            <w:pPr>
              <w:spacing w:after="0"/>
              <w:rPr>
                <w:sz w:val="18"/>
                <w:szCs w:val="18"/>
                <w:color w:val="auto"/>
              </w:rPr>
            </w:pPr>
          </w:p>
        </w:tc>
      </w:tr>
      <w:tr>
        <w:trPr>
          <w:trHeight w:val="228"/>
        </w:trPr>
        <w:tc>
          <w:tcPr>
            <w:tcW w:w="4420" w:type="dxa"/>
            <w:vAlign w:val="bottom"/>
          </w:tcPr>
          <w:p>
            <w:pPr>
              <w:spacing w:after="0"/>
              <w:rPr>
                <w:sz w:val="20"/>
                <w:szCs w:val="20"/>
                <w:color w:val="auto"/>
              </w:rPr>
            </w:pPr>
            <w:r>
              <w:rPr>
                <w:rFonts w:ascii="Arial" w:cs="Arial" w:eastAsia="Arial" w:hAnsi="Arial"/>
                <w:sz w:val="19"/>
                <w:szCs w:val="19"/>
                <w:i w:val="1"/>
                <w:iCs w:val="1"/>
                <w:color w:val="auto"/>
              </w:rPr>
              <w:t>President and Chief Accounting Officer (Principal</w:t>
            </w:r>
          </w:p>
        </w:tc>
        <w:tc>
          <w:tcPr>
            <w:tcW w:w="4420" w:type="dxa"/>
            <w:vAlign w:val="bottom"/>
          </w:tcPr>
          <w:p>
            <w:pPr>
              <w:spacing w:after="0"/>
              <w:rPr>
                <w:sz w:val="19"/>
                <w:szCs w:val="19"/>
                <w:color w:val="auto"/>
              </w:rPr>
            </w:pPr>
          </w:p>
        </w:tc>
      </w:tr>
      <w:tr>
        <w:trPr>
          <w:trHeight w:val="241"/>
        </w:trPr>
        <w:tc>
          <w:tcPr>
            <w:tcW w:w="4420" w:type="dxa"/>
            <w:vAlign w:val="bottom"/>
          </w:tcPr>
          <w:p>
            <w:pPr>
              <w:spacing w:after="0"/>
              <w:rPr>
                <w:sz w:val="20"/>
                <w:szCs w:val="20"/>
                <w:color w:val="auto"/>
              </w:rPr>
            </w:pPr>
            <w:r>
              <w:rPr>
                <w:rFonts w:ascii="Arial" w:cs="Arial" w:eastAsia="Arial" w:hAnsi="Arial"/>
                <w:sz w:val="19"/>
                <w:szCs w:val="19"/>
                <w:i w:val="1"/>
                <w:iCs w:val="1"/>
                <w:color w:val="auto"/>
              </w:rPr>
              <w:t>Financial and Accounting Officer)</w:t>
            </w:r>
          </w:p>
        </w:tc>
        <w:tc>
          <w:tcPr>
            <w:tcW w:w="4420" w:type="dxa"/>
            <w:vAlign w:val="bottom"/>
          </w:tcPr>
          <w:p>
            <w:pPr>
              <w:spacing w:after="0"/>
              <w:rPr>
                <w:sz w:val="20"/>
                <w:szCs w:val="20"/>
                <w:color w:val="auto"/>
              </w:rPr>
            </w:pPr>
          </w:p>
        </w:tc>
      </w:tr>
      <w:tr>
        <w:trPr>
          <w:trHeight w:val="471"/>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Melvin Keating</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36"/>
        </w:trPr>
        <w:tc>
          <w:tcPr>
            <w:tcW w:w="4420" w:type="dxa"/>
            <w:vAlign w:val="bottom"/>
          </w:tcPr>
          <w:p>
            <w:pPr>
              <w:spacing w:after="0"/>
              <w:rPr>
                <w:sz w:val="20"/>
                <w:szCs w:val="20"/>
                <w:color w:val="auto"/>
              </w:rPr>
            </w:pPr>
            <w:r>
              <w:rPr>
                <w:rFonts w:ascii="Arial" w:cs="Arial" w:eastAsia="Arial" w:hAnsi="Arial"/>
                <w:sz w:val="19"/>
                <w:szCs w:val="19"/>
                <w:color w:val="auto"/>
              </w:rPr>
              <w:t xml:space="preserve">Melvin Keating, </w:t>
            </w:r>
            <w:r>
              <w:rPr>
                <w:rFonts w:ascii="Arial" w:cs="Arial" w:eastAsia="Arial" w:hAnsi="Arial"/>
                <w:sz w:val="19"/>
                <w:szCs w:val="19"/>
                <w:i w:val="1"/>
                <w:iCs w:val="1"/>
                <w:color w:val="auto"/>
              </w:rPr>
              <w:t>Director</w:t>
            </w:r>
          </w:p>
        </w:tc>
        <w:tc>
          <w:tcPr>
            <w:tcW w:w="4420" w:type="dxa"/>
            <w:vAlign w:val="bottom"/>
          </w:tcPr>
          <w:p>
            <w:pPr>
              <w:spacing w:after="0"/>
              <w:rPr>
                <w:sz w:val="20"/>
                <w:szCs w:val="20"/>
                <w:color w:val="auto"/>
              </w:rPr>
            </w:pPr>
          </w:p>
        </w:tc>
      </w:tr>
      <w:tr>
        <w:trPr>
          <w:trHeight w:val="457"/>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Ilbok Lee</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36"/>
        </w:trPr>
        <w:tc>
          <w:tcPr>
            <w:tcW w:w="4420" w:type="dxa"/>
            <w:vAlign w:val="bottom"/>
          </w:tcPr>
          <w:p>
            <w:pPr>
              <w:spacing w:after="0"/>
              <w:rPr>
                <w:sz w:val="20"/>
                <w:szCs w:val="20"/>
                <w:color w:val="auto"/>
              </w:rPr>
            </w:pPr>
            <w:r>
              <w:rPr>
                <w:rFonts w:ascii="Arial" w:cs="Arial" w:eastAsia="Arial" w:hAnsi="Arial"/>
                <w:sz w:val="19"/>
                <w:szCs w:val="19"/>
                <w:color w:val="auto"/>
              </w:rPr>
              <w:t xml:space="preserve">Ilbok Lee, </w:t>
            </w:r>
            <w:r>
              <w:rPr>
                <w:rFonts w:ascii="Arial" w:cs="Arial" w:eastAsia="Arial" w:hAnsi="Arial"/>
                <w:sz w:val="19"/>
                <w:szCs w:val="19"/>
                <w:i w:val="1"/>
                <w:iCs w:val="1"/>
                <w:color w:val="auto"/>
              </w:rPr>
              <w:t>Director</w:t>
            </w:r>
          </w:p>
        </w:tc>
        <w:tc>
          <w:tcPr>
            <w:tcW w:w="4420" w:type="dxa"/>
            <w:vAlign w:val="bottom"/>
          </w:tcPr>
          <w:p>
            <w:pPr>
              <w:spacing w:after="0"/>
              <w:rPr>
                <w:sz w:val="20"/>
                <w:szCs w:val="20"/>
                <w:color w:val="auto"/>
              </w:rPr>
            </w:pPr>
          </w:p>
        </w:tc>
      </w:tr>
      <w:tr>
        <w:trPr>
          <w:trHeight w:val="457"/>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Camillo Martino</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36"/>
        </w:trPr>
        <w:tc>
          <w:tcPr>
            <w:tcW w:w="4420" w:type="dxa"/>
            <w:vAlign w:val="bottom"/>
          </w:tcPr>
          <w:p>
            <w:pPr>
              <w:spacing w:after="0"/>
              <w:rPr>
                <w:sz w:val="20"/>
                <w:szCs w:val="20"/>
                <w:color w:val="auto"/>
              </w:rPr>
            </w:pPr>
            <w:r>
              <w:rPr>
                <w:rFonts w:ascii="Arial" w:cs="Arial" w:eastAsia="Arial" w:hAnsi="Arial"/>
                <w:sz w:val="19"/>
                <w:szCs w:val="19"/>
                <w:color w:val="auto"/>
              </w:rPr>
              <w:t xml:space="preserve">Camillo Martino, </w:t>
            </w:r>
            <w:r>
              <w:rPr>
                <w:rFonts w:ascii="Arial" w:cs="Arial" w:eastAsia="Arial" w:hAnsi="Arial"/>
                <w:sz w:val="19"/>
                <w:szCs w:val="19"/>
                <w:i w:val="1"/>
                <w:iCs w:val="1"/>
                <w:color w:val="auto"/>
              </w:rPr>
              <w:t>Director</w:t>
            </w:r>
          </w:p>
        </w:tc>
        <w:tc>
          <w:tcPr>
            <w:tcW w:w="4420" w:type="dxa"/>
            <w:vAlign w:val="bottom"/>
          </w:tcPr>
          <w:p>
            <w:pPr>
              <w:spacing w:after="0"/>
              <w:rPr>
                <w:sz w:val="20"/>
                <w:szCs w:val="20"/>
                <w:color w:val="auto"/>
              </w:rPr>
            </w:pPr>
          </w:p>
        </w:tc>
      </w:tr>
      <w:tr>
        <w:trPr>
          <w:trHeight w:val="457"/>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Gary Tanner</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36"/>
        </w:trPr>
        <w:tc>
          <w:tcPr>
            <w:tcW w:w="4420" w:type="dxa"/>
            <w:vAlign w:val="bottom"/>
          </w:tcPr>
          <w:p>
            <w:pPr>
              <w:spacing w:after="0"/>
              <w:rPr>
                <w:sz w:val="20"/>
                <w:szCs w:val="20"/>
                <w:color w:val="auto"/>
              </w:rPr>
            </w:pPr>
            <w:r>
              <w:rPr>
                <w:rFonts w:ascii="Arial" w:cs="Arial" w:eastAsia="Arial" w:hAnsi="Arial"/>
                <w:sz w:val="19"/>
                <w:szCs w:val="19"/>
                <w:color w:val="auto"/>
              </w:rPr>
              <w:t xml:space="preserve">Gary Tanner, </w:t>
            </w:r>
            <w:r>
              <w:rPr>
                <w:rFonts w:ascii="Arial" w:cs="Arial" w:eastAsia="Arial" w:hAnsi="Arial"/>
                <w:sz w:val="19"/>
                <w:szCs w:val="19"/>
                <w:i w:val="1"/>
                <w:iCs w:val="1"/>
                <w:color w:val="auto"/>
              </w:rPr>
              <w:t>Director</w:t>
            </w:r>
          </w:p>
        </w:tc>
        <w:tc>
          <w:tcPr>
            <w:tcW w:w="4420" w:type="dxa"/>
            <w:vAlign w:val="bottom"/>
          </w:tcPr>
          <w:p>
            <w:pPr>
              <w:spacing w:after="0"/>
              <w:rPr>
                <w:sz w:val="20"/>
                <w:szCs w:val="20"/>
                <w:color w:val="auto"/>
              </w:rPr>
            </w:pPr>
          </w:p>
        </w:tc>
      </w:tr>
      <w:tr>
        <w:trPr>
          <w:trHeight w:val="457"/>
        </w:trPr>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Nader Tavakoli</w:t>
            </w:r>
          </w:p>
        </w:tc>
        <w:tc>
          <w:tcPr>
            <w:tcW w:w="4420" w:type="dxa"/>
            <w:vAlign w:val="bottom"/>
          </w:tcPr>
          <w:p>
            <w:pPr>
              <w:jc w:val="center"/>
              <w:ind w:left="2927"/>
              <w:spacing w:after="0"/>
              <w:rPr>
                <w:sz w:val="20"/>
                <w:szCs w:val="20"/>
                <w:color w:val="auto"/>
              </w:rPr>
            </w:pPr>
            <w:r>
              <w:rPr>
                <w:rFonts w:ascii="Arial" w:cs="Arial" w:eastAsia="Arial" w:hAnsi="Arial"/>
                <w:sz w:val="19"/>
                <w:szCs w:val="19"/>
                <w:color w:val="auto"/>
                <w:w w:val="90"/>
              </w:rPr>
              <w:t>February 22, 2019</w:t>
            </w:r>
          </w:p>
        </w:tc>
      </w:tr>
      <w:tr>
        <w:trPr>
          <w:trHeight w:val="209"/>
        </w:trPr>
        <w:tc>
          <w:tcPr>
            <w:tcW w:w="4420" w:type="dxa"/>
            <w:vAlign w:val="bottom"/>
          </w:tcPr>
          <w:p>
            <w:pPr>
              <w:spacing w:after="0" w:line="209" w:lineRule="exact"/>
              <w:rPr>
                <w:sz w:val="20"/>
                <w:szCs w:val="20"/>
                <w:color w:val="auto"/>
              </w:rPr>
            </w:pPr>
            <w:r>
              <w:rPr>
                <w:rFonts w:ascii="Arial" w:cs="Arial" w:eastAsia="Arial" w:hAnsi="Arial"/>
                <w:sz w:val="19"/>
                <w:szCs w:val="19"/>
                <w:color w:val="auto"/>
                <w:w w:val="94"/>
              </w:rPr>
              <w:t xml:space="preserve">Nader Tavakoli, </w:t>
            </w:r>
            <w:r>
              <w:rPr>
                <w:rFonts w:ascii="Arial" w:cs="Arial" w:eastAsia="Arial" w:hAnsi="Arial"/>
                <w:sz w:val="19"/>
                <w:szCs w:val="19"/>
                <w:i w:val="1"/>
                <w:iCs w:val="1"/>
                <w:color w:val="auto"/>
                <w:w w:val="94"/>
              </w:rPr>
              <w:t>Non- Executive Chairman of the Board</w:t>
            </w:r>
          </w:p>
        </w:tc>
        <w:tc>
          <w:tcPr>
            <w:tcW w:w="4420" w:type="dxa"/>
            <w:vAlign w:val="bottom"/>
          </w:tcPr>
          <w:p>
            <w:pPr>
              <w:spacing w:after="0"/>
              <w:rPr>
                <w:sz w:val="18"/>
                <w:szCs w:val="18"/>
                <w:color w:val="auto"/>
              </w:rPr>
            </w:pPr>
          </w:p>
        </w:tc>
      </w:tr>
      <w:tr>
        <w:trPr>
          <w:trHeight w:val="241"/>
        </w:trPr>
        <w:tc>
          <w:tcPr>
            <w:tcW w:w="4420" w:type="dxa"/>
            <w:vAlign w:val="bottom"/>
          </w:tcPr>
          <w:p>
            <w:pPr>
              <w:spacing w:after="0"/>
              <w:rPr>
                <w:sz w:val="20"/>
                <w:szCs w:val="20"/>
                <w:color w:val="auto"/>
              </w:rPr>
            </w:pPr>
            <w:r>
              <w:rPr>
                <w:rFonts w:ascii="Arial" w:cs="Arial" w:eastAsia="Arial" w:hAnsi="Arial"/>
                <w:sz w:val="19"/>
                <w:szCs w:val="19"/>
                <w:i w:val="1"/>
                <w:iCs w:val="1"/>
                <w:color w:val="auto"/>
              </w:rPr>
              <w:t>of Directors</w:t>
            </w:r>
          </w:p>
        </w:tc>
        <w:tc>
          <w:tcPr>
            <w:tcW w:w="4420" w:type="dxa"/>
            <w:vAlign w:val="bottom"/>
          </w:tcPr>
          <w:p>
            <w:pPr>
              <w:spacing w:after="0"/>
              <w:rPr>
                <w:sz w:val="20"/>
                <w:szCs w:val="20"/>
                <w:color w:val="auto"/>
              </w:rPr>
            </w:pPr>
          </w:p>
        </w:tc>
      </w:tr>
    </w:tbl>
    <w:p>
      <w:pPr>
        <w:sectPr>
          <w:pgSz w:w="12240" w:h="15840" w:orient="portrait"/>
          <w:cols w:equalWidth="0" w:num="1">
            <w:col w:w="11600"/>
          </w:cols>
          <w:pgMar w:left="300" w:top="136" w:right="340" w:bottom="1440" w:gutter="0" w:footer="0" w:header="0"/>
        </w:sectPr>
      </w:pPr>
    </w:p>
    <w:bookmarkStart w:id="5" w:name="page6"/>
    <w:bookmarkEnd w:id="5"/>
    <w:p>
      <w:pPr>
        <w:jc w:val="right"/>
        <w:spacing w:after="0"/>
        <w:rPr>
          <w:sz w:val="20"/>
          <w:szCs w:val="20"/>
          <w:color w:val="auto"/>
        </w:rPr>
      </w:pPr>
      <w:r>
        <w:rPr>
          <w:rFonts w:ascii="Arial" w:cs="Arial" w:eastAsia="Arial" w:hAnsi="Arial"/>
          <w:sz w:val="19"/>
          <w:szCs w:val="19"/>
          <w:b w:val="1"/>
          <w:bCs w:val="1"/>
          <w:color w:val="auto"/>
        </w:rPr>
        <w:t>Exhibit 5.1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JONES DAY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SILICON VALLEY OFFICE • 1755 EMBARCADERO ROAD • PALO ALTO, CALIFORNIA 94303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TELEPHONE: +1.650.739.3939 • FACSIMILE: +1.650.739.3900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February 22,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MagnaChip Semiconductor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MagnaChip Semiconductor S.A.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1, Allée Scheffer, L-2520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Luxembourg, Grand Duchy of Luxembourg</w:t>
      </w:r>
    </w:p>
    <w:p>
      <w:pPr>
        <w:spacing w:after="0" w:line="25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7"/>
          <w:szCs w:val="17"/>
          <w:u w:val="single" w:color="auto"/>
          <w:color w:val="auto"/>
        </w:rPr>
        <w:t>Registration Statement on Form S-8 Filed by MagnaChip Semiconductor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24" w:lineRule="exact"/>
        <w:rPr>
          <w:sz w:val="20"/>
          <w:szCs w:val="20"/>
          <w:color w:val="auto"/>
        </w:rPr>
      </w:pPr>
    </w:p>
    <w:p>
      <w:pPr>
        <w:ind w:firstLine="465"/>
        <w:spacing w:after="0" w:line="254" w:lineRule="auto"/>
        <w:rPr>
          <w:sz w:val="20"/>
          <w:szCs w:val="20"/>
          <w:color w:val="auto"/>
        </w:rPr>
      </w:pPr>
      <w:r>
        <w:rPr>
          <w:rFonts w:ascii="Arial" w:cs="Arial" w:eastAsia="Arial" w:hAnsi="Arial"/>
          <w:sz w:val="19"/>
          <w:szCs w:val="19"/>
          <w:color w:val="auto"/>
        </w:rPr>
        <w:t>We have acted as counsel for MagnaChip Semiconductor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Company’s 2011 Equity Incentive Plan (as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additional 688,824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common stock, par value $0.01 per share, of the Company that may be issued or delivered and sold pursuant to the Plan and the authorized forms of stock option, restricted stock or other applicable award agreements thereunder (the “</w:t>
      </w:r>
      <w:r>
        <w:rPr>
          <w:rFonts w:ascii="Arial" w:cs="Arial" w:eastAsia="Arial" w:hAnsi="Arial"/>
          <w:sz w:val="19"/>
          <w:szCs w:val="19"/>
          <w:b w:val="1"/>
          <w:bCs w:val="1"/>
          <w:i w:val="1"/>
          <w:iCs w:val="1"/>
          <w:color w:val="auto"/>
        </w:rPr>
        <w:t>Award Agreements</w:t>
      </w:r>
      <w:r>
        <w:rPr>
          <w:rFonts w:ascii="Arial" w:cs="Arial" w:eastAsia="Arial" w:hAnsi="Arial"/>
          <w:sz w:val="19"/>
          <w:szCs w:val="19"/>
          <w:color w:val="auto"/>
        </w:rPr>
        <w:t>”) will be, when issued or delivered and sold in accordance with the Plan and the Award Agreements, validly issued, fully paid and nonassessable, provided that the consideration for the Shares is at least equal to the stated par value thereof.</w:t>
      </w:r>
    </w:p>
    <w:p>
      <w:pPr>
        <w:spacing w:after="0" w:line="204" w:lineRule="exact"/>
        <w:rPr>
          <w:sz w:val="20"/>
          <w:szCs w:val="20"/>
          <w:color w:val="auto"/>
        </w:rPr>
      </w:pPr>
    </w:p>
    <w:p>
      <w:pPr>
        <w:ind w:right="20" w:firstLine="465"/>
        <w:spacing w:after="0" w:line="255" w:lineRule="auto"/>
        <w:rPr>
          <w:sz w:val="20"/>
          <w:szCs w:val="20"/>
          <w:color w:val="auto"/>
        </w:rPr>
      </w:pPr>
      <w:r>
        <w:rPr>
          <w:rFonts w:ascii="Arial" w:cs="Arial" w:eastAsia="Arial" w:hAnsi="Arial"/>
          <w:sz w:val="19"/>
          <w:szCs w:val="19"/>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and sold by the Company, and that the Company will take no action inconsistent with such resolutions. In rendering the opinion above, we have assumed that each award under the Plan will be approved by the Board of Directors of the Company or an authorized committee of the Board of Directors.</w:t>
      </w:r>
    </w:p>
    <w:p>
      <w:pPr>
        <w:spacing w:after="0" w:line="204" w:lineRule="exact"/>
        <w:rPr>
          <w:sz w:val="20"/>
          <w:szCs w:val="20"/>
          <w:color w:val="auto"/>
        </w:rPr>
      </w:pPr>
    </w:p>
    <w:p>
      <w:pPr>
        <w:jc w:val="both"/>
        <w:ind w:right="520" w:firstLine="465"/>
        <w:spacing w:after="0" w:line="259" w:lineRule="auto"/>
        <w:rPr>
          <w:sz w:val="20"/>
          <w:szCs w:val="20"/>
          <w:color w:val="auto"/>
        </w:rPr>
      </w:pPr>
      <w:r>
        <w:rPr>
          <w:rFonts w:ascii="Arial" w:cs="Arial" w:eastAsia="Arial" w:hAnsi="Arial"/>
          <w:sz w:val="19"/>
          <w:szCs w:val="19"/>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226"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/s/ Jones Day</w:t>
      </w:r>
    </w:p>
    <w:p>
      <w:pPr>
        <w:spacing w:after="0" w:line="238" w:lineRule="exact"/>
        <w:rPr>
          <w:sz w:val="20"/>
          <w:szCs w:val="20"/>
          <w:color w:val="auto"/>
        </w:rPr>
      </w:pPr>
    </w:p>
    <w:p>
      <w:pPr>
        <w:jc w:val="center"/>
        <w:ind w:right="20"/>
        <w:spacing w:after="0" w:line="272" w:lineRule="auto"/>
        <w:rPr>
          <w:sz w:val="20"/>
          <w:szCs w:val="20"/>
          <w:color w:val="auto"/>
        </w:rPr>
      </w:pPr>
      <w:r>
        <w:rPr>
          <w:rFonts w:ascii="Arial" w:cs="Arial" w:eastAsia="Arial" w:hAnsi="Arial"/>
          <w:sz w:val="18"/>
          <w:szCs w:val="18"/>
          <w:color w:val="auto"/>
        </w:rPr>
        <w:t>ALKHOBAR • AMSTERDAM • ATLANTA • BEIJING • BOSTON • BRISBANE • BRUSSELS • CHICAGO • CLEVELAND • COLUMBUS • DALLAS DETROIT • DUBAI • DÜSSELDORF • FRANKFURT • HONG KONG • HOUSTON • IRVINE • JEDDAH • LONDON • LOS ANGELES •</w:t>
      </w:r>
    </w:p>
    <w:p>
      <w:pPr>
        <w:jc w:val="center"/>
        <w:ind w:right="20"/>
        <w:spacing w:after="0" w:line="255" w:lineRule="auto"/>
        <w:rPr>
          <w:sz w:val="20"/>
          <w:szCs w:val="20"/>
          <w:color w:val="auto"/>
        </w:rPr>
      </w:pPr>
      <w:r>
        <w:rPr>
          <w:rFonts w:ascii="Arial" w:cs="Arial" w:eastAsia="Arial" w:hAnsi="Arial"/>
          <w:sz w:val="19"/>
          <w:szCs w:val="19"/>
          <w:color w:val="auto"/>
        </w:rPr>
        <w:t>MADRID MEXICO CITY • MIAMI • MILAN • MINNEAPOLIS • MOSCOW • MUNICH • NEW YORK • PARIS • PERTH • PITTSBURGH • RIYADH SAN DIEGO • SAN FRANCISCO • SÃO PAULO • SHANGHAI • SILICON VALLEY • SINGAPORE • SYDNEY • TAIPEI • TOKYO • WASHINGTON</w:t>
      </w:r>
    </w:p>
    <w:p>
      <w:pPr>
        <w:sectPr>
          <w:pgSz w:w="12240" w:h="15840" w:orient="portrait"/>
          <w:cols w:equalWidth="0" w:num="1">
            <w:col w:w="11640"/>
          </w:cols>
          <w:pgMar w:left="300" w:top="0" w:right="300" w:bottom="1440"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38" w:lineRule="exact"/>
        <w:rPr>
          <w:sz w:val="20"/>
          <w:szCs w:val="20"/>
          <w:color w:val="auto"/>
        </w:rPr>
      </w:pPr>
    </w:p>
    <w:p>
      <w:pPr>
        <w:jc w:val="both"/>
        <w:ind w:right="60" w:firstLine="465"/>
        <w:spacing w:after="0" w:line="28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22, 2019 relating to the consolidated financial statements and the effectiveness of internal control over financial reporting of MagnaChip Semiconductor Corporation, which appears in MagnaChip Semiconductor Corporation’s Annual Report on Form 10-K for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/s/ Samil PricewaterhouseCoopers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Seoul, Korea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February 22, 2019</w:t>
      </w:r>
    </w:p>
    <w:sectPr>
      <w:pgSz w:w="12240" w:h="15840" w:orient="portrait"/>
      <w:cols w:equalWidth="0" w:num="1">
        <w:col w:w="11640"/>
      </w:cols>
      <w:pgMar w:left="300" w:top="0"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24" Type="http://schemas.openxmlformats.org/officeDocument/2006/relationships/hyperlink" Target="http://www.sec.gov/Archives/edgar/data/1325702/000119312511062703/dex32.htm" TargetMode="External"/><Relationship Id="rId25" Type="http://schemas.openxmlformats.org/officeDocument/2006/relationships/hyperlink" Target="http://www.sec.gov/Archives/edgar/data/1325702/000119312516582070/d161114dex31.htm" TargetMode="External"/><Relationship Id="rId26" Type="http://schemas.openxmlformats.org/officeDocument/2006/relationships/hyperlink" Target="http://www.sec.gov/Archives/edgar/data/1325702/000095014215000541/eh1500371_ex0301.htm" TargetMode="External"/><Relationship Id="rId27" Type="http://schemas.openxmlformats.org/officeDocument/2006/relationships/hyperlink" Target="http://www.sec.gov/Archives/edgar/data/1325702/000119312519048327/d695091dex1024.htm" TargetMode="External"/><Relationship Id="rId28" Type="http://schemas.openxmlformats.org/officeDocument/2006/relationships/hyperlink" Target="http://www.sec.gov/Archives/edgar/data/1325702/000119312511039495/dex1055.htm" TargetMode="External"/><Relationship Id="rId29" Type="http://schemas.openxmlformats.org/officeDocument/2006/relationships/hyperlink" Target="http://www.sec.gov/Archives/edgar/data/1325702/000119312511039495/dex1056.htm" TargetMode="External"/><Relationship Id="rId30" Type="http://schemas.openxmlformats.org/officeDocument/2006/relationships/hyperlink" Target="http://www.sec.gov/Archives/edgar/data/1325702/000119312511039495/dex1057.htm" TargetMode="External"/><Relationship Id="rId31" Type="http://schemas.openxmlformats.org/officeDocument/2006/relationships/hyperlink" Target="http://www.sec.gov/Archives/edgar/data/1325702/000119312511039495/dex1058.htm" TargetMode="External"/><Relationship Id="rId32" Type="http://schemas.openxmlformats.org/officeDocument/2006/relationships/hyperlink" Target="http://www.sec.gov/Archives/edgar/data/1325702/000119312511039495/dex1059.htm" TargetMode="External"/><Relationship Id="rId33" Type="http://schemas.openxmlformats.org/officeDocument/2006/relationships/hyperlink" Target="http://www.sec.gov/Archives/edgar/data/1325702/000119312511039495/dex1060.htm" TargetMode="External"/><Relationship Id="rId34" Type="http://schemas.openxmlformats.org/officeDocument/2006/relationships/hyperlink" Target="http://www.sec.gov/Archives/edgar/data/1325702/000119312516580819/d184718dex101.htm" TargetMode="External"/><Relationship Id="rId35" Type="http://schemas.openxmlformats.org/officeDocument/2006/relationships/hyperlink" Target="http://www.sec.gov/Archives/edgar/data/1325702/000119312518138973/d571231dex102.htm" TargetMode="External"/><Relationship Id="rId36" Type="http://schemas.openxmlformats.org/officeDocument/2006/relationships/hyperlink" Target="http://www.sec.gov/Archives/edgar/data/1325702/000119312518138973/d571231dex103.htm" TargetMode="External"/><Relationship Id="rId37" Type="http://schemas.openxmlformats.org/officeDocument/2006/relationships/hyperlink" Target="http://www.sec.gov/Archives/edgar/data/1325702/000119312518138973/d571231dex104.htm" TargetMode="External"/><Relationship Id="rId38" Type="http://schemas.openxmlformats.org/officeDocument/2006/relationships/hyperlink" Target="http://www.sec.gov/Archives/edgar/data/1325702/000119312518309120/d645333dex103.htm" TargetMode="External"/><Relationship Id="rId39" Type="http://schemas.openxmlformats.org/officeDocument/2006/relationships/hyperlink" Target="http://www.sec.gov/Archives/edgar/data/1325702/000119312518309120/d645333dex104.htm" TargetMode="External"/><Relationship Id="rId40" Type="http://schemas.openxmlformats.org/officeDocument/2006/relationships/hyperlink" Target="http://www.sec.gov/Archives/edgar/data/1325702/000119312518309120/d645333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2019-12-15T11:51:35Z</dcterms:created>
  <dcterms:modified xsi:type="dcterms:W3CDTF">2019-12-15T11:51:35Z</dcterms:modified>
</cp:coreProperties>
</file>