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Lee Seunghoon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20"/>
        <w:spacing w:after="0" w:line="365" w:lineRule="auto"/>
        <w:rPr>
          <w:sz w:val="20"/>
          <w:szCs w:val="20"/>
          <w:color w:val="auto"/>
        </w:rPr>
      </w:pPr>
      <w:r>
        <w:rPr>
          <w:rFonts w:ascii="Times New Roman" w:cs="Times New Roman" w:eastAsia="Times New Roman" w:hAnsi="Times New Roman"/>
          <w:sz w:val="17"/>
          <w:szCs w:val="17"/>
          <w:color w:val="0000FF"/>
        </w:rPr>
        <w:t>C/O MAGNACHIP SEMICONDUCTOR, LTD., 108, YEOUI-DAERO, YEONGDEUNGPO-GU</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SEOUL</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M5</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07335</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MAGNACHIP SEMICONDUCTOR Corp</w:t>
              </w:r>
            </w:hyperlink>
          </w:p>
        </w:tc>
        <w:tc>
          <w:tcPr>
            <w:tcW w:w="214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64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MX</w:t>
            </w:r>
            <w:r>
              <w:rPr>
                <w:rFonts w:ascii="Times New Roman" w:cs="Times New Roman" w:eastAsia="Times New Roman" w:hAnsi="Times New Roman"/>
                <w:sz w:val="21"/>
                <w:szCs w:val="21"/>
                <w:color w:val="auto"/>
              </w:rPr>
              <w:t xml:space="preserve"> ]</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160" w:type="dxa"/>
            <w:vAlign w:val="bottom"/>
          </w:tcPr>
          <w:p>
            <w:pPr>
              <w:ind w:left="2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5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940" w:type="dxa"/>
            <w:vAlign w:val="bottom"/>
          </w:tcPr>
          <w:p>
            <w:pPr>
              <w:ind w:left="1000"/>
              <w:spacing w:after="0" w:line="185" w:lineRule="exact"/>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5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03/01/2025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7,000</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4.54</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w w:val="97"/>
              </w:rPr>
              <w:t>109,379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03/01/2025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3,176</w:t>
            </w:r>
            <w:r>
              <w:rPr>
                <w:rFonts w:ascii="Times New Roman" w:cs="Times New Roman" w:eastAsia="Times New Roman" w:hAnsi="Times New Roman"/>
                <w:sz w:val="22"/>
                <w:szCs w:val="22"/>
                <w:color w:val="008000"/>
                <w:w w:val="97"/>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4.54</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w w:val="97"/>
              </w:rPr>
              <w:t>106,203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reflects shares of common stock issued in connection with the vesting of financial performance-based restricted stock units granted on June 1, 2024.</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3,176 shares of common stock to satisfy tax withholding obligations incurred by the Reporting Person upon the vesting of 7,000 shares of common stock originally awarded to the Reporting Person on June 1,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Acting Co-General Manager of Power Analog Solutions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Theodore Kim,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03/04/2025</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3210" TargetMode="External"/><Relationship Id="rId14"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2025-03-04T15:38:47Z</dcterms:created>
  <dcterms:modified xsi:type="dcterms:W3CDTF">2025-03-04T15:38:47Z</dcterms:modified>
</cp:coreProperties>
</file>