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January 27, 2006</w:t>
      </w:r>
    </w:p>
    <w:p>
      <w:pPr>
        <w:spacing w:after="0" w:line="12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980" w:type="dxa"/>
            <w:vAlign w:val="bottom"/>
          </w:tcPr>
          <w:p>
            <w:pPr>
              <w:jc w:val="center"/>
              <w:ind w:right="232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center"/>
              <w:ind w:right="1126"/>
              <w:spacing w:after="0"/>
              <w:rPr>
                <w:sz w:val="20"/>
                <w:szCs w:val="20"/>
                <w:color w:val="auto"/>
              </w:rPr>
            </w:pPr>
            <w:r>
              <w:rPr>
                <w:rFonts w:ascii="Arial" w:cs="Arial" w:eastAsia="Arial" w:hAnsi="Arial"/>
                <w:sz w:val="18"/>
                <w:szCs w:val="18"/>
                <w:b w:val="1"/>
                <w:bCs w:val="1"/>
                <w:color w:val="auto"/>
                <w:w w:val="88"/>
              </w:rPr>
              <w:t>333-126019-09</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980" w:type="dxa"/>
            <w:vAlign w:val="bottom"/>
          </w:tcPr>
          <w:p>
            <w:pPr>
              <w:jc w:val="center"/>
              <w:ind w:right="23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112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20" w:type="dxa"/>
            <w:vAlign w:val="bottom"/>
          </w:tcPr>
          <w:p>
            <w:pPr>
              <w:jc w:val="center"/>
              <w:ind w:left="12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80" w:type="dxa"/>
            <w:vAlign w:val="bottom"/>
          </w:tcPr>
          <w:p>
            <w:pPr>
              <w:jc w:val="center"/>
              <w:ind w:right="230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jc w:val="center"/>
              <w:ind w:right="1106"/>
              <w:spacing w:after="0"/>
              <w:rPr>
                <w:sz w:val="20"/>
                <w:szCs w:val="20"/>
                <w:color w:val="auto"/>
              </w:rPr>
            </w:pPr>
            <w:r>
              <w:rPr>
                <w:rFonts w:ascii="Arial" w:cs="Arial" w:eastAsia="Arial" w:hAnsi="Arial"/>
                <w:sz w:val="14"/>
                <w:szCs w:val="14"/>
                <w:b w:val="1"/>
                <w:bCs w:val="1"/>
                <w:color w:val="auto"/>
                <w:w w:val="91"/>
              </w:rPr>
              <w:t>File Number)</w:t>
            </w: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580" w:type="dxa"/>
            <w:vAlign w:val="bottom"/>
            <w:gridSpan w:val="2"/>
          </w:tcPr>
          <w:p>
            <w:pPr>
              <w:jc w:val="center"/>
              <w:ind w:right="1146"/>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420" w:type="dxa"/>
            <w:vAlign w:val="bottom"/>
          </w:tcPr>
          <w:p>
            <w:pPr>
              <w:spacing w:after="0"/>
              <w:rPr>
                <w:sz w:val="24"/>
                <w:szCs w:val="24"/>
                <w:color w:val="auto"/>
              </w:rPr>
            </w:pPr>
          </w:p>
        </w:tc>
      </w:tr>
      <w:tr>
        <w:trPr>
          <w:trHeight w:val="231"/>
        </w:trPr>
        <w:tc>
          <w:tcPr>
            <w:tcW w:w="6580" w:type="dxa"/>
            <w:vAlign w:val="bottom"/>
            <w:gridSpan w:val="2"/>
          </w:tcPr>
          <w:p>
            <w:pPr>
              <w:jc w:val="center"/>
              <w:ind w:right="1166"/>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980" w:type="dxa"/>
            <w:vAlign w:val="bottom"/>
          </w:tcPr>
          <w:p>
            <w:pPr>
              <w:jc w:val="center"/>
              <w:ind w:left="13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600" w:type="dxa"/>
            <w:vAlign w:val="bottom"/>
          </w:tcPr>
          <w:p>
            <w:pPr>
              <w:spacing w:after="0"/>
              <w:rPr>
                <w:sz w:val="15"/>
                <w:szCs w:val="15"/>
                <w:color w:val="auto"/>
              </w:rPr>
            </w:pP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(Zip Code)</w:t>
            </w:r>
          </w:p>
        </w:tc>
      </w:tr>
    </w:tbl>
    <w:p>
      <w:pPr>
        <w:spacing w:after="0" w:line="12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16"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LLC and its consolidated subsidiaries for the quarter ended December 31, 2005, as presented in a press release dated January 27, 2005.</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7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24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9240" w:type="dxa"/>
            <w:vAlign w:val="bottom"/>
            <w:gridSpan w:val="3"/>
          </w:tcPr>
          <w:p>
            <w:pPr>
              <w:ind w:left="400"/>
              <w:spacing w:after="0"/>
              <w:rPr>
                <w:sz w:val="20"/>
                <w:szCs w:val="20"/>
                <w:color w:val="auto"/>
              </w:rPr>
            </w:pPr>
            <w:r>
              <w:rPr>
                <w:rFonts w:ascii="Arial" w:cs="Arial" w:eastAsia="Arial" w:hAnsi="Arial"/>
                <w:sz w:val="18"/>
                <w:szCs w:val="18"/>
                <w:color w:val="auto"/>
                <w:w w:val="87"/>
              </w:rPr>
              <w:t>Press release for MagnaChip Semiconductor LLC dated January 27, 2005, announcing the results for the fourth quarter ended</w:t>
            </w:r>
          </w:p>
        </w:tc>
      </w:tr>
      <w:tr>
        <w:trPr>
          <w:trHeight w:val="222"/>
        </w:trPr>
        <w:tc>
          <w:tcPr>
            <w:tcW w:w="660" w:type="dxa"/>
            <w:vAlign w:val="bottom"/>
          </w:tcPr>
          <w:p>
            <w:pPr>
              <w:spacing w:after="0"/>
              <w:rPr>
                <w:sz w:val="19"/>
                <w:szCs w:val="19"/>
                <w:color w:val="auto"/>
              </w:rPr>
            </w:pPr>
          </w:p>
        </w:tc>
        <w:tc>
          <w:tcPr>
            <w:tcW w:w="9240" w:type="dxa"/>
            <w:vAlign w:val="bottom"/>
            <w:gridSpan w:val="3"/>
          </w:tcPr>
          <w:p>
            <w:pPr>
              <w:ind w:left="400"/>
              <w:spacing w:after="0"/>
              <w:rPr>
                <w:sz w:val="20"/>
                <w:szCs w:val="20"/>
                <w:color w:val="auto"/>
              </w:rPr>
            </w:pPr>
            <w:r>
              <w:rPr>
                <w:rFonts w:ascii="Arial" w:cs="Arial" w:eastAsia="Arial" w:hAnsi="Arial"/>
                <w:sz w:val="18"/>
                <w:szCs w:val="18"/>
                <w:color w:val="auto"/>
              </w:rPr>
              <w:t>December 31, 2005.</w:t>
            </w:r>
          </w:p>
        </w:tc>
      </w:tr>
    </w:tbl>
    <w:p>
      <w:pPr>
        <w:sectPr>
          <w:pgSz w:w="11900" w:h="16838" w:orient="portrait"/>
          <w:cols w:equalWidth="0" w:num="1">
            <w:col w:w="10580"/>
          </w:cols>
          <w:pgMar w:left="240" w:top="274" w:right="10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7600" w:type="dxa"/>
            <w:vAlign w:val="bottom"/>
            <w:gridSpan w:val="2"/>
          </w:tcPr>
          <w:p>
            <w:pPr>
              <w:ind w:left="210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820" w:type="dxa"/>
            <w:vAlign w:val="bottom"/>
          </w:tcPr>
          <w:p>
            <w:pPr>
              <w:spacing w:after="0"/>
              <w:rPr>
                <w:sz w:val="20"/>
                <w:szCs w:val="20"/>
                <w:color w:val="auto"/>
              </w:rPr>
            </w:pPr>
            <w:r>
              <w:rPr>
                <w:rFonts w:ascii="Arial" w:cs="Arial" w:eastAsia="Arial" w:hAnsi="Arial"/>
                <w:sz w:val="18"/>
                <w:szCs w:val="18"/>
                <w:color w:val="auto"/>
              </w:rPr>
              <w:t>Dated: February 1, 2006</w:t>
            </w:r>
          </w:p>
        </w:tc>
        <w:tc>
          <w:tcPr>
            <w:tcW w:w="7600" w:type="dxa"/>
            <w:vAlign w:val="bottom"/>
            <w:gridSpan w:val="2"/>
          </w:tcPr>
          <w:p>
            <w:pPr>
              <w:ind w:left="2100"/>
              <w:spacing w:after="0"/>
              <w:rPr>
                <w:sz w:val="20"/>
                <w:szCs w:val="20"/>
                <w:color w:val="auto"/>
              </w:rPr>
            </w:pPr>
            <w:r>
              <w:rPr>
                <w:rFonts w:ascii="Arial" w:cs="Arial" w:eastAsia="Arial" w:hAnsi="Arial"/>
                <w:sz w:val="18"/>
                <w:szCs w:val="18"/>
                <w:color w:val="auto"/>
              </w:rPr>
              <w:t>By:   /s/ Youm Huh</w:t>
            </w:r>
          </w:p>
        </w:tc>
      </w:tr>
      <w:tr>
        <w:trPr>
          <w:trHeight w:val="202"/>
        </w:trPr>
        <w:tc>
          <w:tcPr>
            <w:tcW w:w="38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8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95"/>
        </w:trPr>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180" w:type="dxa"/>
            <w:vAlign w:val="bottom"/>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300" w:type="dxa"/>
            <w:vAlign w:val="bottom"/>
            <w:gridSpan w:val="4"/>
          </w:tcPr>
          <w:p>
            <w:pPr>
              <w:spacing w:after="0"/>
              <w:rPr>
                <w:sz w:val="20"/>
                <w:szCs w:val="20"/>
                <w:color w:val="auto"/>
              </w:rPr>
            </w:pPr>
            <w:r>
              <w:rPr>
                <w:rFonts w:ascii="Arial" w:cs="Arial" w:eastAsia="Arial" w:hAnsi="Arial"/>
                <w:sz w:val="18"/>
                <w:szCs w:val="18"/>
                <w:color w:val="auto"/>
                <w:w w:val="87"/>
              </w:rPr>
              <w:t>Press release for MagnaChip Semiconductor LLC dated January 27, 2005, announcing the results for the fourth quarter ended December 31, 2005.</w:t>
            </w:r>
          </w:p>
        </w:tc>
      </w:tr>
    </w:tbl>
    <w:p>
      <w:pPr>
        <w:sectPr>
          <w:pgSz w:w="11900" w:h="16838" w:orient="portrait"/>
          <w:cols w:equalWidth="0" w:num="1">
            <w:col w:w="11400"/>
          </w:cols>
          <w:pgMar w:left="240" w:top="257"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109220</wp:posOffset>
            </wp:positionV>
            <wp:extent cx="222123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123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Fourth Quarter Results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Seoul, South Korea, January 27, 2006 </w:t>
      </w:r>
      <w:r>
        <w:rPr>
          <w:rFonts w:ascii="Arial" w:cs="Arial" w:eastAsia="Arial" w:hAnsi="Arial"/>
          <w:sz w:val="16"/>
          <w:szCs w:val="16"/>
          <w:color w:val="auto"/>
        </w:rPr>
        <w:t>– MagnaChip Semiconductor today announced results for the fourth quarter ended December 31,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revenue for the three months ended December 31, 2005 was $245.2 million, compared to $243.6 million in the fourth quarter of 2004.</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Gross margin was $60.4 million or 24.6% of revenue for the quarter ended December 31, 2005, compared to $39.1 million or 16.1% of revenue for the quarter ended December 31, 2004.</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Operating expenses were $88.5 million in the fourth quarter or 36.1% of net revenue compared to $51.8 million or 21.3% of net revenue during the fourth quarter of 2004. The increase of $36.7 million from the prior year quarter was primarily due to one time charges of $27.5 million during the fourth quarter of 2005, which included tangible and intangible asset impairment and restructuring charges related to a divesture of our Application Processor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was $28.1 million during the quarter compared to an operating loss of $12.7 million in the prior year quarter.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fourth quarter was $14.4 million compared to $16.8 million in the fourth quarter of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December 31, 2005 was $22.9 million compared to a net loss of $5.8 million in the prior year quarter.</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Youm Huh, President and CEO of MagnaChip Semiconductor, commented, “We marked our first year anniversary as an independent company this quarter. This was an important year for us, in which we accomplished a great deal in a short period of time thanks to the efforts of all of our employees. In addition to strengthening our corporate structure with several key hires and implementing stronger internal controls, we have successfully established MagnaChip as a leading brand with customers worldwide. We are pleased with our accomplishments and achieved significant strategic milestones in establishing our company to succeed in our focused end markets:</w:t>
      </w:r>
    </w:p>
    <w:p>
      <w:pPr>
        <w:spacing w:after="0" w:line="48" w:lineRule="exact"/>
        <w:rPr>
          <w:sz w:val="20"/>
          <w:szCs w:val="20"/>
          <w:color w:val="auto"/>
        </w:rPr>
      </w:pPr>
    </w:p>
    <w:p>
      <w:pPr>
        <w:ind w:left="780" w:right="42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two acquisitions this year that are both delivering strategic products to our customers today, improving our growth prospects in the future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Display Solutions business reached record unit volumes in support of the high growth in digital television</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Imaging Solutions business released new 3.2 mega pixel and 2 mega pixel products this quarter, putting us firmly back on our technology roadmap for this</w:t>
      </w:r>
    </w:p>
    <w:p>
      <w:pPr>
        <w:sectPr>
          <w:pgSz w:w="11900" w:h="16838" w:orient="portrait"/>
          <w:cols w:equalWidth="0" w:num="1">
            <w:col w:w="11420"/>
          </w:cols>
          <w:pgMar w:left="240" w:top="125" w:right="239" w:bottom="1440" w:gutter="0" w:footer="0" w:header="0"/>
        </w:sectPr>
      </w:pPr>
    </w:p>
    <w:bookmarkStart w:id="5" w:name="page6"/>
    <w:bookmarkEnd w:id="5"/>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and positioning us to fulfill our customers 2006 requirements for camera technology for the mobile phone market, and</w:t>
      </w:r>
    </w:p>
    <w:p>
      <w:pPr>
        <w:spacing w:after="0" w:line="90" w:lineRule="exact"/>
        <w:rPr>
          <w:sz w:val="20"/>
          <w:szCs w:val="20"/>
          <w:color w:val="auto"/>
        </w:rPr>
      </w:pPr>
    </w:p>
    <w:p>
      <w:pPr>
        <w:ind w:left="780" w:right="2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MagnaChip’s Semiconductor Manufacturing Services business has defined a specialty foundry strategy that is uniquely serving the needs for analog, mixed signal, high voltage, power and embedded memory wafer foundry services.”</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Robert Krakauer, EVP of Strategic Operations and CFO of MagnaChip Semiconductor, said, “Capital spending was $23 million for the quarter, up from prior quarters, but lower than the year ago period and below our plan for the full year 2005. We continue to strategically manage the timing of investments to meet our operational needs. Our balance of cash and cash equivalents increased to $86.6 million at the end of the fourth quarter. While our achievement of aggressive working capital improvement goals for the quarter was less than forecasted, we are pleased with the strong cash generation of our business.”</w:t>
      </w:r>
    </w:p>
    <w:p>
      <w:pPr>
        <w:spacing w:after="0" w:line="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Mr. Krakauer, continued, “We signed an agreement this quarter to sell our Applications Processor business to an entity formed by GreenChips Co. Ltd., a semiconductor solution provider, which completes the strategic repositioning and efforts to focus our business. By maintaining a 10% equity stake in the new entity, we will continue to benefit from future upside expected from the combination of GreenChips and MagnaChip’s Application Processor businesses. We are also pleased that MagnaChip will continue to provide foundry services to the new entity. We now have our goals set on the future growth of our three core product groups and on continuing to create innovative solutions for customers in these markets.”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MagnaChip will report full results for the fourth quarter 2005 on Friday, January 27, 2006 at 9:00 a.m. in New York (11:00 p.m., Friday, January 27 in South Korea). The conference call will be available at www.magnachip.com and by telephone at (201) 689-8470. A replay of the call will be available in two hours after the call through midnight on Friday, February 3, 2006 in New York (2:00 p.m. Saturday, February 4, 2006 in Seoul) at www.magnachip.com and by telephone at (201) 612-7415. The account number to access the replay is 3055 and the confirmation ID number is 189638,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MagnaChip has world-class manufacturing capabilities and an extensive portfolio of approximately 12,500 registered and pending patents. As a result, MagnaChip is a valued partner in providing leading technology solutions to its customers worldwide. For more information, visit www.magnachip.com.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its quarterly report on Form 10-Q for the period ended October 2, 2005.</w:t>
      </w:r>
    </w:p>
    <w:p>
      <w:pPr>
        <w:sectPr>
          <w:pgSz w:w="11900" w:h="16838" w:orient="portrait"/>
          <w:cols w:equalWidth="0" w:num="1">
            <w:col w:w="11420"/>
          </w:cols>
          <w:pgMar w:left="240" w:top="280" w:right="2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we believe that the expectations reflected in the forward looking statements are reasonable, we cannot guarantee future results, level of activity, performance, or achievements. You should not place undue reliance on these forward-looking statements.</w:t>
      </w:r>
    </w:p>
    <w:p>
      <w:pPr>
        <w:sectPr>
          <w:pgSz w:w="11900" w:h="16838" w:orient="portrait"/>
          <w:cols w:equalWidth="0" w:num="1">
            <w:col w:w="10800"/>
          </w:cols>
          <w:pgMar w:left="240" w:top="280" w:right="8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Robert Krakauer, EVP Strategic Operations, CFO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82-2-3459-3682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rkrakauer@magnachip.com</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David Pasquale, EVP at The Ruth Group</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2">
            <w:col w:w="4820" w:space="720"/>
            <w:col w:w="5260"/>
          </w:cols>
          <w:pgMar w:left="240" w:top="280" w:right="8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245,154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184,765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204,461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26,960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(28,133)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Interest expenses, net</w:t>
            </w:r>
          </w:p>
        </w:tc>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(14,400)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(21,334)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1,559</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 cash preferred unit dividends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Common units used in per common units calculation: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53,051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Key Ratios &amp; Information: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22,980</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23,454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-2054860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-2054860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-2054860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-2054860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-2054860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-2054860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-1471930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-1471930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-1471930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-1471930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-1471930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-1471930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Non-US GAAP Financial Information</w:t>
      </w:r>
    </w:p>
    <w:p>
      <w:pPr>
        <w:spacing w:after="0" w:line="15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00" w:type="dxa"/>
            <w:vAlign w:val="bottom"/>
            <w:gridSpan w:val="6"/>
          </w:tcPr>
          <w:p>
            <w:pPr>
              <w:jc w:val="center"/>
              <w:ind w:left="484"/>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December 31, 2005</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December 31, 2004</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Operating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Operating</w:t>
            </w:r>
          </w:p>
        </w:tc>
        <w:tc>
          <w:tcPr>
            <w:tcW w:w="20" w:type="dxa"/>
            <w:vAlign w:val="bottom"/>
          </w:tcPr>
          <w:p>
            <w:pPr>
              <w:spacing w:after="0"/>
              <w:rPr>
                <w:sz w:val="20"/>
                <w:szCs w:val="2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58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Arial" w:cs="Arial" w:eastAsia="Arial" w:hAnsi="Arial"/>
                <w:sz w:val="14"/>
                <w:szCs w:val="14"/>
                <w:b w:val="1"/>
                <w:bCs w:val="1"/>
                <w:color w:val="auto"/>
              </w:rPr>
              <w:t>Profit</w:t>
            </w:r>
          </w:p>
        </w:tc>
        <w:tc>
          <w:tcPr>
            <w:tcW w:w="2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Profit</w:t>
            </w:r>
          </w:p>
        </w:tc>
        <w:tc>
          <w:tcPr>
            <w:tcW w:w="2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$60,389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(28,133)</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7"/>
              </w:rPr>
              <w:t>$ (22,893)</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$39,121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(12,721)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 (5,825)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Special items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uplift of inventory expense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17,259</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17,259</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5620" w:type="dxa"/>
            <w:vAlign w:val="bottom"/>
          </w:tcPr>
          <w:p>
            <w:pPr>
              <w:ind w:left="20"/>
              <w:spacing w:after="0"/>
              <w:rPr>
                <w:sz w:val="20"/>
                <w:szCs w:val="20"/>
                <w:color w:val="auto"/>
              </w:rPr>
            </w:pPr>
            <w:r>
              <w:rPr>
                <w:rFonts w:ascii="Arial" w:cs="Arial" w:eastAsia="Arial" w:hAnsi="Arial"/>
                <w:sz w:val="18"/>
                <w:szCs w:val="18"/>
                <w:color w:val="auto"/>
              </w:rPr>
              <w:t>Order back log amortization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2,782</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unamortized borrowing costs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5620" w:type="dxa"/>
            <w:vAlign w:val="bottom"/>
          </w:tcPr>
          <w:p>
            <w:pPr>
              <w:ind w:left="20"/>
              <w:spacing w:after="0"/>
              <w:rPr>
                <w:sz w:val="20"/>
                <w:szCs w:val="20"/>
                <w:color w:val="auto"/>
              </w:rPr>
            </w:pPr>
            <w:r>
              <w:rPr>
                <w:rFonts w:ascii="Arial" w:cs="Arial" w:eastAsia="Arial" w:hAnsi="Arial"/>
                <w:sz w:val="18"/>
                <w:szCs w:val="18"/>
                <w:color w:val="auto"/>
              </w:rPr>
              <w:t>Inventory loading effect</w:t>
            </w:r>
          </w:p>
        </w:tc>
        <w:tc>
          <w:tcPr>
            <w:tcW w:w="580" w:type="dxa"/>
            <w:vAlign w:val="bottom"/>
          </w:tcPr>
          <w:p>
            <w:pPr>
              <w:jc w:val="right"/>
              <w:spacing w:after="0"/>
              <w:rPr>
                <w:sz w:val="20"/>
                <w:szCs w:val="20"/>
                <w:color w:val="auto"/>
              </w:rPr>
            </w:pPr>
            <w:r>
              <w:rPr>
                <w:rFonts w:ascii="Arial" w:cs="Arial" w:eastAsia="Arial" w:hAnsi="Arial"/>
                <w:sz w:val="18"/>
                <w:szCs w:val="18"/>
                <w:color w:val="auto"/>
              </w:rPr>
              <w:t>8,133</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impairment charges</w:t>
            </w: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Non-US GAAP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$68,522</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7,514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$ 12,754</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$56,380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7,320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Adjusted Operating Expense - % of Revenue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-507365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-507365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-507365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-507365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-507365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-507365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-507365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-507365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-507365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-507365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-507365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-507365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-507365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-507365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-507365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-507365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-507365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-507365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December 31, 2005 and 2004 are as follows:</w:t>
      </w:r>
    </w:p>
    <w:p>
      <w:pPr>
        <w:spacing w:after="0" w:line="3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Fair value uplift for inventories in purchase accounting, non-cash charge in the fourth quarter of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 back log capitalized in purchase accounting and amortized over three months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Write-off of unamortized borrowing costs related to assumed loan from Hynix, which was subsequently paid off</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adjustment made under SFAS 151 to reflect the normal cost of manufacturing, excluding abnormal period cost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and impairment charges related to the sale of application processor business</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22,486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485,329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1,040,647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and other payables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1,002,124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Redeemable convertible preferred units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(46,490)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1,040,647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-2567940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-2567940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-2567940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-2567940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-2567940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-2567940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2019-12-15T11:53:28Z</dcterms:created>
  <dcterms:modified xsi:type="dcterms:W3CDTF">2019-12-15T11:53:28Z</dcterms:modified>
</cp:coreProperties>
</file>