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Kim Theodore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15"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81"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02/18/2022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451" w:lineRule="exact"/>
        <w:rPr>
          <w:sz w:val="24"/>
          <w:szCs w:val="24"/>
          <w:color w:val="auto"/>
        </w:rPr>
      </w:pPr>
    </w:p>
    <w:p>
      <w:pPr>
        <w:sectPr>
          <w:pgSz w:w="11900" w:h="16838" w:orient="portrait"/>
          <w:cols w:equalWidth="0" w:num="3">
            <w:col w:w="3500" w:space="411"/>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760" w:type="dxa"/>
            <w:vAlign w:val="bottom"/>
            <w:gridSpan w:val="6"/>
          </w:tcPr>
          <w:p>
            <w:pPr>
              <w:ind w:left="14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540" w:type="dxa"/>
            <w:vAlign w:val="bottom"/>
            <w:gridSpan w:val="9"/>
          </w:tcPr>
          <w:p>
            <w:pPr>
              <w:ind w:left="2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SEOUL</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M5</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06168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6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7"/>
                <w:szCs w:val="17"/>
                <w:color w:val="0000FF"/>
                <w:w w:val="91"/>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13,372</w:t>
            </w:r>
            <w:r>
              <w:rPr>
                <w:rFonts w:ascii="Arial" w:cs="Arial" w:eastAsia="Arial" w:hAnsi="Arial"/>
                <w:sz w:val="22"/>
                <w:szCs w:val="22"/>
                <w:color w:val="008000"/>
                <w:w w:val="88"/>
                <w:vertAlign w:val="superscript"/>
              </w:rPr>
              <w:t>(1)</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149,345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7"/>
                <w:szCs w:val="17"/>
                <w:color w:val="0000FF"/>
                <w:w w:val="91"/>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4,948</w:t>
            </w:r>
            <w:r>
              <w:rPr>
                <w:rFonts w:ascii="Arial" w:cs="Arial" w:eastAsia="Arial" w:hAnsi="Arial"/>
                <w:sz w:val="22"/>
                <w:szCs w:val="22"/>
                <w:color w:val="008000"/>
                <w:w w:val="85"/>
                <w:vertAlign w:val="superscript"/>
              </w:rPr>
              <w:t>(2)</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18.78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144,397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7"/>
                <w:szCs w:val="17"/>
                <w:color w:val="0000FF"/>
                <w:w w:val="91"/>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5,400</w:t>
            </w:r>
            <w:r>
              <w:rPr>
                <w:rFonts w:ascii="Arial" w:cs="Arial" w:eastAsia="Arial" w:hAnsi="Arial"/>
                <w:sz w:val="22"/>
                <w:szCs w:val="22"/>
                <w:color w:val="008000"/>
                <w:w w:val="85"/>
                <w:vertAlign w:val="superscript"/>
              </w:rPr>
              <w:t>(3)</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3"/>
          </w:tcPr>
          <w:p>
            <w:pPr>
              <w:jc w:val="center"/>
              <w:ind w:right="1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149,797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Arial" w:cs="Arial" w:eastAsia="Arial" w:hAnsi="Arial"/>
                <w:sz w:val="17"/>
                <w:szCs w:val="17"/>
                <w:color w:val="0000FF"/>
                <w:w w:val="91"/>
              </w:rPr>
              <w:t>02/18/2022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1,998</w:t>
            </w:r>
            <w:r>
              <w:rPr>
                <w:rFonts w:ascii="Arial" w:cs="Arial" w:eastAsia="Arial" w:hAnsi="Arial"/>
                <w:sz w:val="22"/>
                <w:szCs w:val="22"/>
                <w:color w:val="008000"/>
                <w:w w:val="85"/>
                <w:vertAlign w:val="superscript"/>
              </w:rPr>
              <w:t>(4)</w:t>
            </w:r>
          </w:p>
        </w:tc>
        <w:tc>
          <w:tcPr>
            <w:tcW w:w="6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18.78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147,799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Pr>
          <w:p>
            <w:pPr>
              <w:spacing w:after="0"/>
              <w:rPr>
                <w:sz w:val="23"/>
                <w:szCs w:val="23"/>
                <w:color w:val="auto"/>
              </w:rPr>
            </w:pPr>
          </w:p>
        </w:tc>
        <w:tc>
          <w:tcPr>
            <w:tcW w:w="1800" w:type="dxa"/>
            <w:vAlign w:val="bottom"/>
            <w:gridSpan w:val="3"/>
          </w:tcPr>
          <w:p>
            <w:pPr>
              <w:jc w:val="center"/>
              <w:ind w:left="625"/>
              <w:spacing w:after="0"/>
              <w:rPr>
                <w:sz w:val="20"/>
                <w:szCs w:val="20"/>
                <w:color w:val="auto"/>
              </w:rPr>
            </w:pPr>
            <w:r>
              <w:rPr>
                <w:rFonts w:ascii="Arial" w:cs="Arial" w:eastAsia="Arial" w:hAnsi="Arial"/>
                <w:sz w:val="17"/>
                <w:szCs w:val="17"/>
                <w:color w:val="0000FF"/>
                <w:w w:val="91"/>
              </w:rPr>
              <w:t>02/23/2022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3,000</w:t>
            </w:r>
          </w:p>
        </w:tc>
        <w:tc>
          <w:tcPr>
            <w:tcW w:w="620" w:type="dxa"/>
            <w:vAlign w:val="bottom"/>
          </w:tcPr>
          <w:p>
            <w:pPr>
              <w:ind w:left="260"/>
              <w:spacing w:after="0"/>
              <w:rPr>
                <w:sz w:val="20"/>
                <w:szCs w:val="20"/>
                <w:color w:val="auto"/>
              </w:rPr>
            </w:pPr>
            <w:r>
              <w:rPr>
                <w:rFonts w:ascii="Arial" w:cs="Arial" w:eastAsia="Arial" w:hAnsi="Arial"/>
                <w:sz w:val="17"/>
                <w:szCs w:val="17"/>
                <w:color w:val="0000FF"/>
              </w:rPr>
              <w:t>A</w:t>
            </w: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18.45</w:t>
            </w: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150,799</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reflects shares of common stock issued in connection with the vesting of financial performance-based restricted stock units granted on February 19, 2021.</w:t>
      </w:r>
    </w:p>
    <w:p>
      <w:pPr>
        <w:spacing w:after="0" w:line="50"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represents the withholding by the Issuer of 4,948 shares of common stock to satisfy tax withholding obligations incurred by the Reporting Person upon the vesting of 13,372 shares of common stock issued in connection with the vesting of financial performance-based restricted stock units granted on February 19, 2021.</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reflects shares of common stock issued in connection with the vesting of TSR performance-based restricted stock units granted on October 22, 2019.</w:t>
      </w:r>
    </w:p>
    <w:p>
      <w:pPr>
        <w:spacing w:after="0" w:line="50"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represents the withholding by the Issuer of 1,998 shares of common stock to satisfy tax withholding obligations incurred by the Reporting Person upon the vesting of 5,400 shares of common stock issued in connection with the vesting of TSR performance-based restricted stock units granted on October 22, 2019.</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Compliance Officer, General Counsel and Secretary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Theodore Kim</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02/23/2022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2205"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2022-02-23T18:23:39Z</dcterms:created>
  <dcterms:modified xsi:type="dcterms:W3CDTF">2022-02-23T18:23:39Z</dcterms:modified>
</cp:coreProperties>
</file>