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8"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On June 30, 2021, based on an application filed by the Company and Parent on May 7, 2021, the State Administration for Market Regulation (“SAMR”) announced that the Merger was cleared pursuant to the Anti-monopoly Law (China) on June 21, 2021. Under the terms of the Merger Agreement, the parties’ receipt of the clearance from SAMR satisfies one of the conditions to the closing of the Merger. The closing of the Merger remains subject to certain other conditions, including the receipt of authorization from the U.S. Committee on Foreign Investment in the United States (“CFIUS”) and the Korean Ministry of Trade, Industry and Energy, in each case without the imposition of a burdensome condition as defined in the Merger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an “Order Establishing Interim Mitigation Measures” (the “Interim Order”) from the U.S. Department of Treasury on behalf of the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2021-07-01T05:37:14Z</dcterms:created>
  <dcterms:modified xsi:type="dcterms:W3CDTF">2021-07-01T05:37:14Z</dcterms:modified>
</cp:coreProperties>
</file>