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6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63"/>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26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43" w:lineRule="exact"/>
        <w:rPr>
          <w:sz w:val="24"/>
          <w:szCs w:val="24"/>
          <w:color w:val="auto"/>
        </w:rPr>
      </w:pPr>
    </w:p>
    <w:p>
      <w:pPr>
        <w:sectPr>
          <w:pgSz w:w="11900" w:h="16838" w:orient="portrait"/>
          <w:cols w:equalWidth="0" w:num="3">
            <w:col w:w="4504" w:space="720"/>
            <w:col w:w="2880" w:space="720"/>
            <w:col w:w="1920"/>
          </w:cols>
          <w:pgMar w:left="436" w:top="368" w:right="719" w:bottom="1440" w:gutter="0" w:footer="0" w:header="0"/>
          <w:type w:val="continuous"/>
        </w:sectPr>
      </w:pPr>
    </w:p>
    <w:p>
      <w:pPr>
        <w:ind w:left="1044"/>
        <w:spacing w:after="0"/>
        <w:rPr>
          <w:sz w:val="20"/>
          <w:szCs w:val="20"/>
          <w:color w:val="auto"/>
        </w:rPr>
      </w:pPr>
      <w:r>
        <w:rPr>
          <w:rFonts w:ascii="Arial" w:cs="Arial" w:eastAsia="Arial" w:hAnsi="Arial"/>
          <w:sz w:val="13"/>
          <w:szCs w:val="13"/>
          <w:color w:val="auto"/>
        </w:rPr>
        <w:t>(State or other jurisdiction of</w:t>
      </w:r>
    </w:p>
    <w:p>
      <w:pPr>
        <w:ind w:left="1004"/>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3">
            <w:col w:w="4104" w:space="720"/>
            <w:col w:w="3180" w:space="720"/>
            <w:col w:w="2020"/>
          </w:cols>
          <w:pgMar w:left="436" w:top="368" w:right="719" w:bottom="1440" w:gutter="0" w:footer="0" w:header="0"/>
          <w:type w:val="continuous"/>
        </w:sectPr>
      </w:pPr>
    </w:p>
    <w:p>
      <w:pPr>
        <w:spacing w:after="0" w:line="1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6"/>
          <w:szCs w:val="16"/>
          <w:b w:val="1"/>
          <w:bCs w:val="1"/>
          <w:color w:val="auto"/>
        </w:rPr>
        <w:t>Luxembourg, Grand Duchy of Luxembourg</w:t>
      </w:r>
    </w:p>
    <w:p>
      <w:pPr>
        <w:spacing w:after="0" w:line="32" w:lineRule="exact"/>
        <w:rPr>
          <w:sz w:val="24"/>
          <w:szCs w:val="24"/>
          <w:color w:val="auto"/>
        </w:rPr>
      </w:pPr>
    </w:p>
    <w:p>
      <w:pPr>
        <w:jc w:val="center"/>
        <w:ind w:right="-283"/>
        <w:spacing w:after="0"/>
        <w:rPr>
          <w:sz w:val="20"/>
          <w:szCs w:val="20"/>
          <w:color w:val="auto"/>
        </w:rPr>
      </w:pPr>
      <w:r>
        <w:rPr>
          <w:rFonts w:ascii="Arial" w:cs="Arial" w:eastAsia="Arial" w:hAnsi="Arial"/>
          <w:sz w:val="18"/>
          <w:szCs w:val="18"/>
          <w:color w:val="auto"/>
        </w:rPr>
        <w:t>(Address of principal executive offices)</w:t>
      </w:r>
    </w:p>
    <w:p>
      <w:pPr>
        <w:sectPr>
          <w:pgSz w:w="11900" w:h="16838" w:orient="portrait"/>
          <w:cols w:equalWidth="0" w:num="1">
            <w:col w:w="10744"/>
          </w:cols>
          <w:pgMar w:left="436" w:top="368" w:right="719" w:bottom="1440" w:gutter="0" w:footer="0" w:header="0"/>
          <w:type w:val="continuous"/>
        </w:sectPr>
      </w:pPr>
    </w:p>
    <w:p>
      <w:pPr>
        <w:spacing w:after="0" w:line="20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Theodore S. Kim</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Chief Compliance Officer, Executive Vice President, General Counsel and Secretary</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c/o MagnaChip Semiconductor, Inc.</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60 South Market Street, Suite 750</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San Jose, CA 95113</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Telephone: (408) 625-5999</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Fax: (408) 625-5990</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type w:val="continuous"/>
        </w:sectPr>
      </w:pPr>
    </w:p>
    <w:bookmarkStart w:id="1" w:name="page2"/>
    <w:bookmarkEnd w:id="1"/>
    <w:p>
      <w:pPr>
        <w:ind w:left="4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 Conflict Minerals Disclosure</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MagnaChip Semiconductor Corporation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xml:space="preserve">”) regarding the conflict minerals included in its products for the reporting period from January 1, 2019 to December 31, 2019. The results of the Company’s RCOI regarding the conflict minerals included in its products, as well as its additional due diligence regarding the sources of such conflict minerals, are contained in the Company’s Conflict Minerals Report, a copy of which is filed as Exhibit 1.01 to this Form SD, and is publicly available at </w:t>
      </w:r>
      <w:r>
        <w:rPr>
          <w:rFonts w:ascii="Arial" w:cs="Arial" w:eastAsia="Arial" w:hAnsi="Arial"/>
          <w:sz w:val="17"/>
          <w:szCs w:val="17"/>
          <w:u w:val="single" w:color="auto"/>
          <w:color w:val="auto"/>
        </w:rPr>
        <w:t>https://www.magnachip.com/aboutus/aboutus_sub10.html</w:t>
      </w:r>
      <w:r>
        <w:rPr>
          <w:rFonts w:ascii="Arial" w:cs="Arial" w:eastAsia="Arial" w:hAnsi="Arial"/>
          <w:sz w:val="17"/>
          <w:szCs w:val="17"/>
          <w:color w:val="auto"/>
        </w:rPr>
        <w:t>. The content on, or accessible through, any web site referred to in this Form SD is not incorporated by reference into this Form SD unless expressly noted.</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As specified in Section 2 of Form SD, the Company is hereby filing its Conflict Minerals Report required by Items 1.01 and 1.02 as Exhibit 1.01 to this Form SD.</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 Exhibits</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 is filed as part of this Form SD.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9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1"/>
              </w:rPr>
              <w:t>Conflict Minerals Report of MagnaChip Semiconductor Corporation for the reporting period from January 1, 2019 to December 31,</w:t>
            </w:r>
          </w:p>
        </w:tc>
      </w:tr>
      <w:tr>
        <w:trPr>
          <w:trHeight w:val="230"/>
        </w:trPr>
        <w:tc>
          <w:tcPr>
            <w:tcW w:w="720" w:type="dxa"/>
            <w:vAlign w:val="bottom"/>
          </w:tcPr>
          <w:p>
            <w:pPr>
              <w:spacing w:after="0"/>
              <w:rPr>
                <w:sz w:val="20"/>
                <w:szCs w:val="20"/>
                <w:color w:val="auto"/>
              </w:rPr>
            </w:pP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2019</w:t>
            </w:r>
          </w:p>
        </w:tc>
        <w:tc>
          <w:tcPr>
            <w:tcW w:w="8800" w:type="dxa"/>
            <w:vAlign w:val="bottom"/>
          </w:tcPr>
          <w:p>
            <w:pPr>
              <w:spacing w:after="0"/>
              <w:rPr>
                <w:sz w:val="20"/>
                <w:szCs w:val="20"/>
                <w:color w:val="auto"/>
              </w:rPr>
            </w:pPr>
          </w:p>
        </w:tc>
      </w:tr>
    </w:tbl>
    <w:p>
      <w:pPr>
        <w:sectPr>
          <w:pgSz w:w="11900" w:h="16838" w:orient="portrait"/>
          <w:cols w:equalWidth="0" w:num="1">
            <w:col w:w="10960"/>
          </w:cols>
          <w:pgMar w:left="440" w:top="27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MAGNACHIP SEMICONDUCTOR CORPORATION</w:t>
            </w:r>
          </w:p>
        </w:tc>
        <w:tc>
          <w:tcPr>
            <w:tcW w:w="4960" w:type="dxa"/>
            <w:vAlign w:val="bottom"/>
          </w:tcPr>
          <w:p>
            <w:pPr>
              <w:spacing w:after="0"/>
              <w:rPr>
                <w:sz w:val="20"/>
                <w:szCs w:val="20"/>
                <w:color w:val="auto"/>
              </w:rPr>
            </w:pP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color w:val="auto"/>
              </w:rPr>
              <w:t>By:  /s/ Theodore S. Kim</w:t>
            </w: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09"/>
        </w:trPr>
        <w:tc>
          <w:tcPr>
            <w:tcW w:w="46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Theodore S. Kim</w:t>
            </w:r>
          </w:p>
        </w:tc>
        <w:tc>
          <w:tcPr>
            <w:tcW w:w="660" w:type="dxa"/>
            <w:vAlign w:val="bottom"/>
          </w:tcPr>
          <w:p>
            <w:pPr>
              <w:spacing w:after="0"/>
              <w:rPr>
                <w:sz w:val="18"/>
                <w:szCs w:val="18"/>
                <w:color w:val="auto"/>
              </w:rPr>
            </w:pPr>
          </w:p>
        </w:tc>
        <w:tc>
          <w:tcPr>
            <w:tcW w:w="4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r>
      <w:tr>
        <w:trPr>
          <w:trHeight w:val="216"/>
        </w:trPr>
        <w:tc>
          <w:tcPr>
            <w:tcW w:w="4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Chief Compliance Officer, Executive Vice President, General Counsel and</w:t>
            </w:r>
          </w:p>
        </w:tc>
        <w:tc>
          <w:tcPr>
            <w:tcW w:w="496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49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MagnaChip Semiconductor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Conflict Minerals Report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the reporting period from January 1, 2019 to December 31, 2019</w:t>
      </w:r>
    </w:p>
    <w:p>
      <w:pPr>
        <w:spacing w:after="0" w:line="206"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MagnaChip Semiconductor Corporation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been prepared pursuant to Rule 13p-1 and Form SD promulgated under the Securities Exchange Act of 1934 for the reporting period from January 1, 2019 to December 31, 2019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w:t>
      </w:r>
    </w:p>
    <w:p>
      <w:pPr>
        <w:spacing w:after="0" w:line="166"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as: (i)(a) columbite-tantalite (or coltan, the metal ore from which tantalum is extracted), (b) cassiterite (the metal ore from which tin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7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The Company’s business is conducted through its standard products business, which consists of the Display Solutions and Power Solutions business lines, and the Company’s Foundry Services Group.</w:t>
      </w:r>
    </w:p>
    <w:p>
      <w:pPr>
        <w:spacing w:after="0" w:line="170"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The Company’s Display Solutions products provide panel display solutions to major suppliers of large and small rigid and flexible panel displays, and mobile, automotive applications and home appliances, which include source, gate drivers, timing controllers, and one-chip integrated solutions for LCD (Liquid Crystal Display) and OLED panel displays used in televisions, public displays, monitors notebooks, mobile communications and automotive applications. The Company’s Display Solutions products support the industry’s most advanced display technologies, such as OLEDs, and low temperature polysilicons, as well as high-volume display technologies such as thin film transistors. Since 2007, the Company has designed and manufactured OLED display driver IC products. Our current portfolio of OLED solutions address a wide range of resolutions ranging from HD to Wide Quad High Definition for applications including smartphones, TVs, and other mobile devices.</w:t>
      </w:r>
    </w:p>
    <w:p>
      <w:pPr>
        <w:spacing w:after="0" w:line="83" w:lineRule="exact"/>
        <w:rPr>
          <w:sz w:val="20"/>
          <w:szCs w:val="20"/>
          <w:color w:val="auto"/>
        </w:rPr>
      </w:pPr>
    </w:p>
    <w:p>
      <w:pPr>
        <w:ind w:left="960" w:right="180" w:hanging="424"/>
        <w:spacing w:after="0" w:line="296"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Power Solutions business line produces power management semiconductor products including discrete and integrated circuit solutions for power management in communications, consumer and industrial applications. These products include metal oxide semiconductor field effect transistors, insulated-gate bipolar transistors,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w:t>
      </w:r>
    </w:p>
    <w:p>
      <w:pPr>
        <w:spacing w:after="0" w:line="66" w:lineRule="exact"/>
        <w:rPr>
          <w:rFonts w:ascii="Arial" w:cs="Arial" w:eastAsia="Arial" w:hAnsi="Arial"/>
          <w:sz w:val="16"/>
          <w:szCs w:val="16"/>
          <w:color w:val="auto"/>
        </w:rPr>
      </w:pPr>
    </w:p>
    <w:p>
      <w:pPr>
        <w:ind w:left="960" w:right="80" w:hanging="424"/>
        <w:spacing w:after="0" w:line="31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Foundry Services Group offers foundry services to fabless analog and mixed-signal semiconductor companies and IDMs that require differentiated, specialty analog and mixed-signal process technologies. The Company’s process technologies are optimized for analog and mixed-signal devices and include standard complementary metal-oxide semiconductor (CMOS), high voltage</w:t>
      </w:r>
    </w:p>
    <w:p>
      <w:pPr>
        <w:sectPr>
          <w:pgSz w:w="11900" w:h="16838" w:orient="portrait"/>
          <w:cols w:equalWidth="0" w:num="1">
            <w:col w:w="11020"/>
          </w:cols>
          <w:pgMar w:left="440" w:top="125" w:right="439" w:bottom="1440" w:gutter="0" w:footer="0" w:header="0"/>
        </w:sectPr>
      </w:pPr>
    </w:p>
    <w:bookmarkStart w:id="4" w:name="page5"/>
    <w:bookmarkEnd w:id="4"/>
    <w:p>
      <w:pPr>
        <w:ind w:left="984"/>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CMOS, ultra-low leakage high voltage CMOS and bipolar complementary double-diffused metal oxide semiconductor and electronically erasable programmable read only memory. Company’s Foundry Services Group customers use us to manufacture a wide range of products, including display drivers, LED drivers, audio encoding and decoding devices, microcontrollers, touch screen controllers, RF switches, park distance control sensors for automotive, electronic tag memories and power management semiconductors.</w:t>
      </w:r>
    </w:p>
    <w:p>
      <w:pPr>
        <w:spacing w:after="0" w:line="15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The Company’s operations may at times manufacture, or contract to manufacture, products, including the products listed above, for which conflict minerals are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170"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such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xml:space="preserve">,”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t>
      </w:r>
      <w:r>
        <w:rPr>
          <w:rFonts w:ascii="Arial" w:cs="Arial" w:eastAsia="Arial" w:hAnsi="Arial"/>
          <w:sz w:val="17"/>
          <w:szCs w:val="17"/>
          <w:i w:val="1"/>
          <w:iCs w:val="1"/>
          <w:color w:val="auto"/>
        </w:rPr>
        <w:t>http://www.magnachip.com/aboutus/aboutus_sub10.html</w:t>
      </w:r>
      <w:r>
        <w:rPr>
          <w:rFonts w:ascii="Arial" w:cs="Arial" w:eastAsia="Arial" w:hAnsi="Arial"/>
          <w:sz w:val="17"/>
          <w:szCs w:val="17"/>
          <w:color w:val="auto"/>
        </w:rPr>
        <w:t>. The content on, or accessible through, any web site referred to in this Report is not incorporated by reference into this Report unless expressly noted.</w:t>
      </w:r>
    </w:p>
    <w:p>
      <w:pPr>
        <w:spacing w:after="0" w:line="32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RCOI and Due Diligence Process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80" w:firstLine="440"/>
        <w:spacing w:after="0" w:line="293" w:lineRule="auto"/>
        <w:rPr>
          <w:sz w:val="20"/>
          <w:szCs w:val="20"/>
          <w:color w:val="auto"/>
        </w:rPr>
      </w:pPr>
      <w:r>
        <w:rPr>
          <w:rFonts w:ascii="Arial" w:cs="Arial" w:eastAsia="Arial" w:hAnsi="Arial"/>
          <w:sz w:val="16"/>
          <w:szCs w:val="16"/>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The Company also exercised due diligence on the source of the Subject Minerals. The Company’s due diligence measures have been designed to follow the framework in the Organization for Economic Co-operation and Development Due Diligence Guidance for Responsible Supply Chains of Minerals from Conflict-Affected and High Risk Areas, including the related supplements on gold, tin, tantalum and tungsten (the “</w:t>
      </w:r>
      <w:r>
        <w:rPr>
          <w:rFonts w:ascii="Arial" w:cs="Arial" w:eastAsia="Arial" w:hAnsi="Arial"/>
          <w:sz w:val="16"/>
          <w:szCs w:val="16"/>
          <w:b w:val="1"/>
          <w:bCs w:val="1"/>
          <w:i w:val="1"/>
          <w:iCs w:val="1"/>
          <w:color w:val="auto"/>
        </w:rPr>
        <w:t>OECD Guidelines</w:t>
      </w:r>
      <w:r>
        <w:rPr>
          <w:rFonts w:ascii="Arial" w:cs="Arial" w:eastAsia="Arial" w:hAnsi="Arial"/>
          <w:sz w:val="16"/>
          <w:szCs w:val="16"/>
          <w:color w:val="auto"/>
        </w:rPr>
        <w:t>”).</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RCOI</w:t>
      </w:r>
    </w:p>
    <w:p>
      <w:pPr>
        <w:spacing w:after="0" w:line="12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or products manufactured by the Company. Because the Company does not purchase conflict minerals directly from mines, smelters or refiners, there are many third parties in the supply chain between the Company and the original sources of conflict minerals. As a result, the Company relies on its suppliers and outsourcing manufacturers to provide information regarding the origin of any conflict minerals that are included in its products. In accordance with the OECD Guidelines and related guidance provided by the SEC, the Company worked with its suppliers and outsourcing manufacturers to identify, where possible, the smelters and countries of origin of the Subject Minerals.</w:t>
      </w:r>
    </w:p>
    <w:p>
      <w:pPr>
        <w:spacing w:after="0" w:line="195"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During the Reporting Period, the Company worked to identify its Tier 1 suppliers and outsourcing manufacturers that it believed could potentially provide materials or components containing Subject Minerals (collectively, the “ </w:t>
      </w:r>
      <w:r>
        <w:rPr>
          <w:rFonts w:ascii="Arial" w:cs="Arial" w:eastAsia="Arial" w:hAnsi="Arial"/>
          <w:sz w:val="18"/>
          <w:szCs w:val="18"/>
          <w:b w:val="1"/>
          <w:bCs w:val="1"/>
          <w:i w:val="1"/>
          <w:iCs w:val="1"/>
          <w:color w:val="auto"/>
        </w:rPr>
        <w:t>Covered Suppliers</w:t>
      </w:r>
      <w:r>
        <w:rPr>
          <w:rFonts w:ascii="Arial" w:cs="Arial" w:eastAsia="Arial" w:hAnsi="Arial"/>
          <w:sz w:val="18"/>
          <w:szCs w:val="18"/>
          <w:color w:val="auto"/>
        </w:rPr>
        <w:t xml:space="preserve"> ”) as part of its RCOI. The Company focused on its suppliers providing materials or components for products that the Company identified as containing Subject Minerals and all of its outsourcing manufacturers. During the Reporting Period, the Company asked the Covered Suppliers to complete and return the Conflict Minerals Reporting Template (“</w:t>
      </w:r>
      <w:r>
        <w:rPr>
          <w:rFonts w:ascii="Arial" w:cs="Arial" w:eastAsia="Arial" w:hAnsi="Arial"/>
          <w:sz w:val="18"/>
          <w:szCs w:val="18"/>
          <w:b w:val="1"/>
          <w:bCs w:val="1"/>
          <w:i w:val="1"/>
          <w:iCs w:val="1"/>
          <w:color w:val="auto"/>
        </w:rPr>
        <w:t>CMRT</w:t>
      </w:r>
      <w:r>
        <w:rPr>
          <w:rFonts w:ascii="Arial" w:cs="Arial" w:eastAsia="Arial" w:hAnsi="Arial"/>
          <w:sz w:val="18"/>
          <w:szCs w:val="18"/>
          <w:color w:val="auto"/>
        </w:rPr>
        <w:t xml:space="preserve"> ”) that was developed by the Responsible Minerals Initiative (formerly the Conflict-Free Sourcing Initiative) (the “ </w:t>
      </w:r>
      <w:r>
        <w:rPr>
          <w:rFonts w:ascii="Arial" w:cs="Arial" w:eastAsia="Arial" w:hAnsi="Arial"/>
          <w:sz w:val="18"/>
          <w:szCs w:val="18"/>
          <w:b w:val="1"/>
          <w:bCs w:val="1"/>
          <w:i w:val="1"/>
          <w:iCs w:val="1"/>
          <w:color w:val="auto"/>
        </w:rPr>
        <w:t>RMI</w:t>
      </w:r>
      <w:r>
        <w:rPr>
          <w:rFonts w:ascii="Arial" w:cs="Arial" w:eastAsia="Arial" w:hAnsi="Arial"/>
          <w:sz w:val="18"/>
          <w:szCs w:val="18"/>
          <w:color w:val="auto"/>
        </w:rPr>
        <w:t xml:space="preserve"> ”). The RMI was founded by the Responsible Business Alliance (RBA) (formerly the Electronic Industry Citizenship Coalition) and the Global e-Sustainability Initiative (GeSI) and has grown into a multi-industry initiative addressing conflict mineral issues in the supply chain. The CMRT is a widely-used standard form to collect information through the supply chain, including the names of smelters and refiners of conflict minerals. The RMI’s Responsible Minerals Assurance Process (formerly the</w:t>
      </w:r>
    </w:p>
    <w:p>
      <w:pPr>
        <w:sectPr>
          <w:pgSz w:w="11900" w:h="16838" w:orient="portrait"/>
          <w:cols w:equalWidth="0" w:num="1">
            <w:col w:w="11004"/>
          </w:cols>
          <w:pgMar w:left="436" w:top="274" w:right="459" w:bottom="1440" w:gutter="0" w:footer="0" w:header="0"/>
        </w:sectPr>
      </w:pPr>
    </w:p>
    <w:bookmarkStart w:id="5" w:name="page6"/>
    <w:bookmarkEnd w:id="5"/>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Conflict-Free Smelter Program) (the “ </w:t>
      </w:r>
      <w:r>
        <w:rPr>
          <w:rFonts w:ascii="Arial" w:cs="Arial" w:eastAsia="Arial" w:hAnsi="Arial"/>
          <w:sz w:val="18"/>
          <w:szCs w:val="18"/>
          <w:b w:val="1"/>
          <w:bCs w:val="1"/>
          <w:i w:val="1"/>
          <w:iCs w:val="1"/>
          <w:color w:val="auto"/>
        </w:rPr>
        <w:t>RMAP</w:t>
      </w:r>
      <w:r>
        <w:rPr>
          <w:rFonts w:ascii="Arial" w:cs="Arial" w:eastAsia="Arial" w:hAnsi="Arial"/>
          <w:sz w:val="18"/>
          <w:szCs w:val="18"/>
          <w:color w:val="auto"/>
        </w:rPr>
        <w:t xml:space="preserve"> ”) sponsors independent third-party audits of smelters and refiners of conflict minerals which determine the country of origin of minerals processed through those smelters and refiners.</w:t>
      </w:r>
    </w:p>
    <w:p>
      <w:pPr>
        <w:spacing w:after="0" w:line="170"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Using a risk-based approach, the Company evaluated responses from the Covered Suppliers for plausibility, consistency, and gaps both in terms of which materials or components were stated to contain or not contain Subject Minerals, as well as the origin of those Subject Minerals.</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Company obtained representations from all of its Covered Suppliers, including completed CMRTs indicating the facilities at which the Subject Minerals were processed. Based on the information obtained pursuant to the RCOI process described above, however, the Company does not have sufficient information with respect to the Reporting Period to determine with specificity the country of origin of the Subject Minerals contained in the products. The Company’s RCOI procedures are an evolving process. See “Additional Due Diligence and Risk Mitigation” below for additional detail.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Company’s due diligence process is designed to follow the OECD Guidelines. Due diligence measures undertaken by the Company during the Reporting Period included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Team to Support Supply Chain Due Diligence.</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Company has an internal team, consisting of members from its supply management and legal departments, to manage conflict minerals engagement with its suppliers and outsourcing manufacturers. This team is charged with overseeing and driving conflict minerals compliance. This team also works with the Company’s other employees to provide training and guidance, receive and track responses and facilitate communication between departments with respect to compliance with the SEC’s reporting requirements regarding conflict minerals.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Policy Developed to Establish Expectations of Suppliers.</w:t>
      </w:r>
    </w:p>
    <w:p>
      <w:pPr>
        <w:spacing w:after="0" w:line="225"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The Company has adopted and published a position statement establishing the expectations of its suppliers and outsourcing manufacturers to responsibly source products on a conflict-free basis. The position statement can be found on the Company’s website at </w:t>
      </w:r>
      <w:r>
        <w:rPr>
          <w:rFonts w:ascii="Arial" w:cs="Arial" w:eastAsia="Arial" w:hAnsi="Arial"/>
          <w:sz w:val="18"/>
          <w:szCs w:val="18"/>
          <w:i w:val="1"/>
          <w:iCs w:val="1"/>
          <w:color w:val="auto"/>
        </w:rPr>
        <w:t>http://www.magnachip.com/aboutus/aboutus_sub10.html</w:t>
      </w:r>
      <w:r>
        <w:rPr>
          <w:rFonts w:ascii="Arial" w:cs="Arial" w:eastAsia="Arial" w:hAnsi="Arial"/>
          <w:sz w:val="18"/>
          <w:szCs w:val="18"/>
          <w:color w:val="auto"/>
        </w:rPr>
        <w:t>. The Company’s position statement will be periodically reviewed and updated as needed.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conflict minerals team also continually evaluates its supply agreements and purchasing procedures to determine whether additional contractual or other means of implementing the Company’s policy should be adopted as described below under “</w:t>
      </w:r>
      <w:r>
        <w:rPr>
          <w:rFonts w:ascii="Arial" w:cs="Arial" w:eastAsia="Arial" w:hAnsi="Arial"/>
          <w:sz w:val="18"/>
          <w:szCs w:val="18"/>
          <w:i w:val="1"/>
          <w:iCs w:val="1"/>
          <w:color w:val="auto"/>
        </w:rPr>
        <w:t>Additional Due Diligence and Risk</w:t>
      </w:r>
      <w:r>
        <w:rPr>
          <w:rFonts w:ascii="Arial" w:cs="Arial" w:eastAsia="Arial" w:hAnsi="Arial"/>
          <w:sz w:val="18"/>
          <w:szCs w:val="18"/>
          <w:color w:val="auto"/>
        </w:rPr>
        <w:t xml:space="preserve">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Company continues to assess its supply chain risks and work with its suppliers and outsourcing manufacturers in developing greater supply chain transparency.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and outsourcing manufacturers also works to address any significant due diligence findings as they arise.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11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Where possible, the Company has relied on third party assurances and certifications. For example, the Company accepts as reliable any smelter that is a member of the RMAP (in this Report, we refer to RMAP-compliant smelters as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 Annually on Supply Chain Due Diligence</w:t>
      </w:r>
    </w:p>
    <w:p>
      <w:pPr>
        <w:spacing w:after="0" w:line="117"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 xml:space="preserve">This Report is publicly available at </w:t>
      </w:r>
      <w:r>
        <w:rPr>
          <w:rFonts w:ascii="Arial" w:cs="Arial" w:eastAsia="Arial" w:hAnsi="Arial"/>
          <w:sz w:val="18"/>
          <w:szCs w:val="18"/>
          <w:i w:val="1"/>
          <w:iCs w:val="1"/>
          <w:color w:val="auto"/>
        </w:rPr>
        <w:t>http://www.magnachip.com/aboutus/aboutus_sub10.html</w:t>
      </w:r>
      <w:r>
        <w:rPr>
          <w:rFonts w:ascii="Arial" w:cs="Arial" w:eastAsia="Arial" w:hAnsi="Arial"/>
          <w:sz w:val="18"/>
          <w:szCs w:val="18"/>
          <w:color w:val="auto"/>
        </w:rPr>
        <w:t xml:space="preserve"> and meets the OECD recommendation to report annually on supply chain due diligence.</w:t>
      </w:r>
    </w:p>
    <w:p>
      <w:pPr>
        <w:spacing w:after="0" w:line="193"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Due Diligence Results</w:t>
      </w:r>
      <w:r>
        <w:rPr>
          <w:rFonts w:ascii="Arial" w:cs="Arial" w:eastAsia="Arial" w:hAnsi="Arial"/>
          <w:sz w:val="18"/>
          <w:szCs w:val="18"/>
          <w:b w:val="1"/>
          <w:bCs w:val="1"/>
          <w:color w:val="auto"/>
        </w:rPr>
        <w:t>.</w:t>
      </w:r>
    </w:p>
    <w:p>
      <w:pPr>
        <w:spacing w:after="0" w:line="22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Based solely on the information obtained pursuant to the RCOI and due diligence process described above, including review of CMRTs completed by the Covered Suppliers in 2019, our Covered Suppliers reported that they solely used Members for the Company’s products. Of the Members reported by our Covered Suppliers in 2019, fourteen smelters that were reported have since temporarily ceased operations and may not be considered Members when RMI updates smelter list; however, those smelters were Members prior to ceasing their operations. Nonetheless, the Company does not have sufficient information, with respect to the Reporting Period, to determine the known country of origin of the Subject Minerals because certain of the Covered Suppliers did not provide country of origin information for several smelters and refiners that those Covered Suppliers identified as being Members. Therefore, the Company is not able to determine that the Subject Minerals in the Company’s products came from recycled or scrap sources or did not come from the Covered Countries.</w:t>
      </w:r>
    </w:p>
    <w:p>
      <w:pPr>
        <w:spacing w:after="0" w:line="178"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Any Covered Supplier’s failure to identify a specific facility/smelter and/or country of origin with respect to the Company’s products at any point in its supply chain will drive an equivalent response for the Company and, therefore, the Company is unable to report a complete list of facilities/smelters and/or countries of origin for the Subject Minerals at this time. The Company has, however, included in this Report a list of facilities that may have been used to process the Subject Minerals in the Company’s products as reported by the Covered Suppliers in their completed CMRTs, as noted in “</w:t>
      </w:r>
      <w:r>
        <w:rPr>
          <w:rFonts w:ascii="Arial" w:cs="Arial" w:eastAsia="Arial" w:hAnsi="Arial"/>
          <w:sz w:val="18"/>
          <w:szCs w:val="18"/>
          <w:i w:val="1"/>
          <w:iCs w:val="1"/>
          <w:color w:val="auto"/>
        </w:rPr>
        <w:t>Facilities Used to Process Subject Minerals and Country of Origin</w:t>
      </w:r>
      <w:r>
        <w:rPr>
          <w:rFonts w:ascii="Arial" w:cs="Arial" w:eastAsia="Arial" w:hAnsi="Arial"/>
          <w:sz w:val="18"/>
          <w:szCs w:val="18"/>
          <w:color w:val="auto"/>
        </w:rPr>
        <w:t>” below.</w:t>
      </w:r>
    </w:p>
    <w:p>
      <w:pPr>
        <w:spacing w:after="0" w:line="188"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Company expects to continue to implement and refine its conflict minerals program to improve its supply chain transparency by seeking more accurate and more complete information from its suppliers and outsourcing manufacturers. See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 below for additional detail.</w:t>
      </w:r>
    </w:p>
    <w:p>
      <w:pPr>
        <w:spacing w:after="0" w:line="328"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Due Diligence and Risk Mitigation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117"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Within the Company’s supplier relationships, the Company seeks to manage its sourcing processes ethically, and to hold the Company, its suppliers, and its outsourcing manufacturers to high standards of behavior. This means that the Company is committed to working with its suppliers and outsourcing manufacturers to encourage responsible practices throughout the supply network. The Company continually works to strengthen its commitment to the responsible sourcing of conflict minerals, including by using the Company’s purchasing power and relationships to influence its suppliers and outsourcing manufacturers, and evaluating the use of specific terms and conditions in certain supply agreements and purchase orders. For example, the Company includes in its purchase order form a request that the supplier declare that all products supplied to the Company do not contain Subject Minerals that originate from the Covered Countries and that the supplier does not use smelters that have not been validated to be conflict free. The Company has also required certifications from its suppliers and outsourcing manufacturers that they will adhere to the Company’s conflict minerals policy and assist in its reporting requirements. The Company expects to continue to refine, develop and implement specific terms, conditions and expectations with its suppliers and outsourcing manufacturers that require, among other matters, that no materials or components supplied or manufactured on behalf of the Company contain any conflict minerals that directly or indirectly finance any armed group that has been identified as a perpetrator of human rights abuses.</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continually seeks to improve its supply chain due diligence efforts. Such measures may include, but are not limited to:</w:t>
      </w:r>
    </w:p>
    <w:p>
      <w:pPr>
        <w:sectPr>
          <w:pgSz w:w="11900" w:h="16838" w:orient="portrait"/>
          <w:cols w:equalWidth="0" w:num="1">
            <w:col w:w="11004"/>
          </w:cols>
          <w:pgMar w:left="436" w:top="274" w:right="459" w:bottom="1440" w:gutter="0" w:footer="0" w:header="0"/>
        </w:sectPr>
      </w:pPr>
    </w:p>
    <w:bookmarkStart w:id="7" w:name="page8"/>
    <w:bookmarkEnd w:id="7"/>
    <w:p>
      <w:pPr>
        <w:ind w:left="964" w:hanging="424"/>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assessing the presence of conflict minerals in its supply chain;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130" w:lineRule="exact"/>
        <w:rPr>
          <w:rFonts w:ascii="Arial" w:cs="Arial" w:eastAsia="Arial" w:hAnsi="Arial"/>
          <w:sz w:val="18"/>
          <w:szCs w:val="18"/>
          <w:color w:val="auto"/>
        </w:rPr>
      </w:pPr>
    </w:p>
    <w:p>
      <w:pPr>
        <w:ind w:left="964" w:hanging="424"/>
        <w:spacing w:after="0" w:line="277"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increasing the detail and transparency of responses received in the RCOI and due diligence process, including by continuing to request that suppliers provide CMRTs twice a year.</w:t>
      </w:r>
    </w:p>
    <w:p>
      <w:pPr>
        <w:spacing w:after="0" w:line="75" w:lineRule="exact"/>
        <w:rPr>
          <w:rFonts w:ascii="Arial" w:cs="Arial" w:eastAsia="Arial" w:hAnsi="Arial"/>
          <w:sz w:val="18"/>
          <w:szCs w:val="18"/>
          <w:color w:val="auto"/>
        </w:rPr>
      </w:pPr>
    </w:p>
    <w:p>
      <w:pPr>
        <w:ind w:left="964" w:right="140" w:hanging="424"/>
        <w:spacing w:after="0" w:line="277"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continuing to compare RCOI and due diligence results to information collected via independent conflict free smelter validation programs such as the RMAP; and</w:t>
      </w:r>
    </w:p>
    <w:p>
      <w:pPr>
        <w:spacing w:after="0" w:line="75" w:lineRule="exact"/>
        <w:rPr>
          <w:rFonts w:ascii="Arial" w:cs="Arial" w:eastAsia="Arial" w:hAnsi="Arial"/>
          <w:sz w:val="18"/>
          <w:szCs w:val="18"/>
          <w:color w:val="auto"/>
        </w:rPr>
      </w:pPr>
    </w:p>
    <w:p>
      <w:pPr>
        <w:ind w:left="964" w:right="280" w:hanging="424"/>
        <w:spacing w:after="0" w:line="308" w:lineRule="auto"/>
        <w:tabs>
          <w:tab w:leader="none" w:pos="964" w:val="left"/>
        </w:tabs>
        <w:numPr>
          <w:ilvl w:val="1"/>
          <w:numId w:val="6"/>
        </w:numPr>
        <w:rPr>
          <w:rFonts w:ascii="Arial" w:cs="Arial" w:eastAsia="Arial" w:hAnsi="Arial"/>
          <w:sz w:val="17"/>
          <w:szCs w:val="17"/>
          <w:color w:val="auto"/>
        </w:rPr>
      </w:pPr>
      <w:r>
        <w:rPr>
          <w:rFonts w:ascii="Arial" w:cs="Arial" w:eastAsia="Arial" w:hAnsi="Arial"/>
          <w:sz w:val="17"/>
          <w:szCs w:val="17"/>
          <w:color w:val="auto"/>
        </w:rPr>
        <w:t>contacting suppliers and outsourcing manufacturers regarding smelters identified as a result of the RCOI and due diligence process and request their participation in obtaining a “conflict free” designation from an industry program such as the RMAP.</w:t>
      </w:r>
    </w:p>
    <w:p>
      <w:pPr>
        <w:spacing w:after="0" w:line="290" w:lineRule="exact"/>
        <w:rPr>
          <w:rFonts w:ascii="Arial" w:cs="Arial" w:eastAsia="Arial" w:hAnsi="Arial"/>
          <w:sz w:val="17"/>
          <w:szCs w:val="17"/>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Facilities Used to Process Subject Minerals and Country of Origin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Based on the information obtained pursuant to the RCOI and due diligence process described above, the Company does not have sufficient</w:t>
      </w:r>
    </w:p>
    <w:p>
      <w:pPr>
        <w:spacing w:after="0" w:line="35" w:lineRule="exact"/>
        <w:rPr>
          <w:sz w:val="20"/>
          <w:szCs w:val="20"/>
          <w:color w:val="auto"/>
        </w:rPr>
      </w:pPr>
    </w:p>
    <w:p>
      <w:pPr>
        <w:ind w:left="4" w:right="80"/>
        <w:spacing w:after="0" w:line="253" w:lineRule="auto"/>
        <w:rPr>
          <w:sz w:val="20"/>
          <w:szCs w:val="20"/>
          <w:color w:val="auto"/>
        </w:rPr>
      </w:pPr>
      <w:r>
        <w:rPr>
          <w:rFonts w:ascii="Arial" w:cs="Arial" w:eastAsia="Arial" w:hAnsi="Arial"/>
          <w:sz w:val="18"/>
          <w:szCs w:val="18"/>
          <w:color w:val="auto"/>
        </w:rPr>
        <w:t>information, with respect to the Reporting Period, to determine the known country of origin of the Subject Minerals, or whether the Subject Minerals in its products are from recycled or scrap sources, for the reasons described above under “</w:t>
      </w:r>
      <w:r>
        <w:rPr>
          <w:rFonts w:ascii="Arial" w:cs="Arial" w:eastAsia="Arial" w:hAnsi="Arial"/>
          <w:sz w:val="18"/>
          <w:szCs w:val="18"/>
          <w:i w:val="1"/>
          <w:iCs w:val="1"/>
          <w:color w:val="auto"/>
        </w:rPr>
        <w:t>Due Diligence Results</w:t>
      </w:r>
      <w:r>
        <w:rPr>
          <w:rFonts w:ascii="Arial" w:cs="Arial" w:eastAsia="Arial" w:hAnsi="Arial"/>
          <w:sz w:val="18"/>
          <w:szCs w:val="18"/>
          <w:color w:val="auto"/>
        </w:rPr>
        <w:t>.” Based on the information provided by the Covered Suppliers in their completed CMRTs, however, the Company believes that facilities that may have been used to process the Subject Minerals in the Company’s products include the following smelters and refiners.</w:t>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4"/>
              </w:rPr>
              <w:t>Subject Mineral</w:t>
            </w:r>
          </w:p>
        </w:tc>
        <w:tc>
          <w:tcPr>
            <w:tcW w:w="5760" w:type="dxa"/>
            <w:vAlign w:val="bottom"/>
            <w:gridSpan w:val="3"/>
            <w:vMerge w:val="restart"/>
          </w:tcPr>
          <w:p>
            <w:pPr>
              <w:ind w:left="2720"/>
              <w:spacing w:after="0"/>
              <w:rPr>
                <w:sz w:val="20"/>
                <w:szCs w:val="20"/>
                <w:color w:val="auto"/>
              </w:rPr>
            </w:pPr>
            <w:r>
              <w:rPr>
                <w:rFonts w:ascii="Arial" w:cs="Arial" w:eastAsia="Arial" w:hAnsi="Arial"/>
                <w:sz w:val="14"/>
                <w:szCs w:val="14"/>
                <w:b w:val="1"/>
                <w:bCs w:val="1"/>
                <w:color w:val="auto"/>
              </w:rPr>
              <w:t>Smelter or Refiner Name</w:t>
            </w:r>
          </w:p>
        </w:tc>
        <w:tc>
          <w:tcPr>
            <w:tcW w:w="2980" w:type="dxa"/>
            <w:vAlign w:val="bottom"/>
            <w:gridSpan w:val="2"/>
          </w:tcPr>
          <w:p>
            <w:pPr>
              <w:jc w:val="center"/>
              <w:ind w:left="1631"/>
              <w:spacing w:after="0"/>
              <w:rPr>
                <w:sz w:val="20"/>
                <w:szCs w:val="20"/>
                <w:color w:val="auto"/>
              </w:rPr>
            </w:pPr>
            <w:r>
              <w:rPr>
                <w:rFonts w:ascii="Arial" w:cs="Arial" w:eastAsia="Arial" w:hAnsi="Arial"/>
                <w:sz w:val="14"/>
                <w:szCs w:val="14"/>
                <w:b w:val="1"/>
                <w:bCs w:val="1"/>
                <w:color w:val="auto"/>
                <w:w w:val="94"/>
              </w:rPr>
              <w:t>Country Location of</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760" w:type="dxa"/>
            <w:vAlign w:val="bottom"/>
            <w:gridSpan w:val="3"/>
            <w:vMerge w:val="continue"/>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Smelter or Refiner</w:t>
            </w:r>
          </w:p>
        </w:tc>
        <w:tc>
          <w:tcPr>
            <w:tcW w:w="0" w:type="dxa"/>
            <w:vAlign w:val="bottom"/>
          </w:tcPr>
          <w:p>
            <w:pPr>
              <w:spacing w:after="0"/>
              <w:rPr>
                <w:sz w:val="1"/>
                <w:szCs w:val="1"/>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94"/>
              </w:rPr>
              <w:t>Gold</w:t>
            </w:r>
          </w:p>
        </w:tc>
        <w:tc>
          <w:tcPr>
            <w:tcW w:w="1000" w:type="dxa"/>
            <w:vAlign w:val="bottom"/>
            <w:tcBorders>
              <w:top w:val="single" w:sz="8" w:color="auto"/>
            </w:tcBorders>
          </w:tcPr>
          <w:p>
            <w:pPr>
              <w:spacing w:after="0"/>
              <w:rPr>
                <w:sz w:val="16"/>
                <w:szCs w:val="16"/>
                <w:color w:val="auto"/>
              </w:rPr>
            </w:pPr>
          </w:p>
        </w:tc>
        <w:tc>
          <w:tcPr>
            <w:tcW w:w="2720" w:type="dxa"/>
            <w:vAlign w:val="bottom"/>
          </w:tcPr>
          <w:p>
            <w:pPr>
              <w:ind w:left="500"/>
              <w:spacing w:after="0" w:line="195" w:lineRule="exact"/>
              <w:rPr>
                <w:sz w:val="20"/>
                <w:szCs w:val="20"/>
                <w:color w:val="auto"/>
              </w:rPr>
            </w:pPr>
            <w:r>
              <w:rPr>
                <w:rFonts w:ascii="Arial" w:cs="Arial" w:eastAsia="Arial" w:hAnsi="Arial"/>
                <w:sz w:val="18"/>
                <w:szCs w:val="18"/>
                <w:color w:val="auto"/>
              </w:rPr>
              <w:t>8853 S.p.A.</w:t>
            </w:r>
          </w:p>
        </w:tc>
        <w:tc>
          <w:tcPr>
            <w:tcW w:w="1560" w:type="dxa"/>
            <w:vAlign w:val="bottom"/>
            <w:tcBorders>
              <w:top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720" w:type="dxa"/>
            <w:vAlign w:val="bottom"/>
          </w:tcPr>
          <w:p>
            <w:pPr>
              <w:ind w:left="820"/>
              <w:spacing w:after="0" w:line="195" w:lineRule="exact"/>
              <w:rPr>
                <w:sz w:val="20"/>
                <w:szCs w:val="20"/>
                <w:color w:val="auto"/>
              </w:rPr>
            </w:pPr>
            <w:r>
              <w:rPr>
                <w:rFonts w:ascii="Arial" w:cs="Arial" w:eastAsia="Arial" w:hAnsi="Arial"/>
                <w:sz w:val="18"/>
                <w:szCs w:val="18"/>
                <w:color w:val="auto"/>
              </w:rPr>
              <w:t>Italy</w:t>
            </w: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Advanced Chemical Company</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Aida Chemical Industries Co., Ltd.</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Al Etihad Gold Refinery DMCC</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Allgemeine Gold-und Silberscheideanstalt A.G.</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Almalyk Mining and Metallurgical Complex (AMMC)</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AngloGold Ashanti Corrego do Sitio Mineracao</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Argor-Heraeus S.A.</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Asahi Pretec Corp.</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Asahi Refining Canada Ltd.</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Asahi Refining USA Inc.</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Asaka Riken Co., Ltd.</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AU Traders and Refiners</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Aurubis AG</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Bangalore Refinery</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Bangko Sentral ng Pilipinas (Central Bank of the Philippines)</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Boliden AB</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C. Hafner GmbH + Co. KG</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CCR Refinery - Glencore Canada Corporation</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Cendres + Metaux S.A.</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Chimet S.p.A.</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Chugai Mining</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DODUCO Contacts and Refining GmbH</w:t>
            </w:r>
          </w:p>
        </w:tc>
        <w:tc>
          <w:tcPr>
            <w:tcW w:w="2980" w:type="dxa"/>
            <w:vAlign w:val="bottom"/>
            <w:gridSpan w:val="2"/>
          </w:tcPr>
          <w:p>
            <w:pPr>
              <w:ind w:left="8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bl>
    <w:p>
      <w:pPr>
        <w:sectPr>
          <w:pgSz w:w="11900" w:h="16838" w:orient="portrait"/>
          <w:cols w:equalWidth="0" w:num="1">
            <w:col w:w="10984"/>
          </w:cols>
          <w:pgMar w:left="436" w:top="274" w:right="47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Dowa</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DS PRETECH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DSC (Do Sung Corporation)</w:t>
            </w:r>
          </w:p>
        </w:tc>
        <w:tc>
          <w:tcPr>
            <w:tcW w:w="2400" w:type="dxa"/>
            <w:vAlign w:val="bottom"/>
          </w:tcPr>
          <w:p>
            <w:pPr>
              <w:ind w:left="5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Eco-System Recycling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Emirates Gold DMCC</w:t>
            </w:r>
          </w:p>
        </w:tc>
        <w:tc>
          <w:tcPr>
            <w:tcW w:w="2400" w:type="dxa"/>
            <w:vAlign w:val="bottom"/>
          </w:tcPr>
          <w:p>
            <w:pPr>
              <w:ind w:left="58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Geib Refining Corporation</w:t>
            </w:r>
          </w:p>
        </w:tc>
        <w:tc>
          <w:tcPr>
            <w:tcW w:w="2400" w:type="dxa"/>
            <w:vAlign w:val="bottom"/>
          </w:tcPr>
          <w:p>
            <w:pPr>
              <w:ind w:left="580"/>
              <w:spacing w:after="0"/>
              <w:rPr>
                <w:sz w:val="20"/>
                <w:szCs w:val="20"/>
                <w:color w:val="auto"/>
              </w:rPr>
            </w:pPr>
            <w:r>
              <w:rPr>
                <w:rFonts w:ascii="Arial" w:cs="Arial" w:eastAsia="Arial" w:hAnsi="Arial"/>
                <w:sz w:val="18"/>
                <w:szCs w:val="18"/>
                <w:color w:val="auto"/>
                <w:w w:val="90"/>
              </w:rPr>
              <w:t>United States of America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Gold Refinery of Zijin Mining Group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HeeSung Metal Ltd.</w:t>
            </w:r>
          </w:p>
        </w:tc>
        <w:tc>
          <w:tcPr>
            <w:tcW w:w="2400" w:type="dxa"/>
            <w:vAlign w:val="bottom"/>
          </w:tcPr>
          <w:p>
            <w:pPr>
              <w:ind w:left="5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Heimerle + Meule GmbH</w:t>
            </w:r>
          </w:p>
        </w:tc>
        <w:tc>
          <w:tcPr>
            <w:tcW w:w="2400" w:type="dxa"/>
            <w:vAlign w:val="bottom"/>
          </w:tcPr>
          <w:p>
            <w:pPr>
              <w:ind w:left="5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Heraeus Metals Hong Kong Ltd.</w:t>
            </w:r>
          </w:p>
        </w:tc>
        <w:tc>
          <w:tcPr>
            <w:tcW w:w="2400" w:type="dxa"/>
            <w:vAlign w:val="bottom"/>
          </w:tcPr>
          <w:p>
            <w:pPr>
              <w:ind w:left="5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Heraeus Precious Metals GmbH &amp; Co. KG</w:t>
            </w:r>
          </w:p>
        </w:tc>
        <w:tc>
          <w:tcPr>
            <w:tcW w:w="2400" w:type="dxa"/>
            <w:vAlign w:val="bottom"/>
          </w:tcPr>
          <w:p>
            <w:pPr>
              <w:ind w:left="5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Inner Mongolia Qiankun Gold and Silver Refinery Share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Ishifuku Metal Industry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Istanbul Gold Refinery</w:t>
            </w:r>
          </w:p>
        </w:tc>
        <w:tc>
          <w:tcPr>
            <w:tcW w:w="2400" w:type="dxa"/>
            <w:vAlign w:val="bottom"/>
          </w:tcPr>
          <w:p>
            <w:pPr>
              <w:ind w:left="58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Italpreziosi</w:t>
            </w:r>
          </w:p>
        </w:tc>
        <w:tc>
          <w:tcPr>
            <w:tcW w:w="2400" w:type="dxa"/>
            <w:vAlign w:val="bottom"/>
          </w:tcPr>
          <w:p>
            <w:pPr>
              <w:ind w:left="58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Japan Mint</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Jiangxi Copper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JSC Uralelectromed</w:t>
            </w:r>
          </w:p>
        </w:tc>
        <w:tc>
          <w:tcPr>
            <w:tcW w:w="2400" w:type="dxa"/>
            <w:vAlign w:val="bottom"/>
          </w:tcPr>
          <w:p>
            <w:pPr>
              <w:ind w:left="58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JX Nippon Mining &amp; Metals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Kazzinc</w:t>
            </w:r>
          </w:p>
        </w:tc>
        <w:tc>
          <w:tcPr>
            <w:tcW w:w="2400" w:type="dxa"/>
            <w:vAlign w:val="bottom"/>
          </w:tcPr>
          <w:p>
            <w:pPr>
              <w:ind w:left="58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Kennecott Utah Copper LLC</w:t>
            </w:r>
          </w:p>
        </w:tc>
        <w:tc>
          <w:tcPr>
            <w:tcW w:w="2400" w:type="dxa"/>
            <w:vAlign w:val="bottom"/>
          </w:tcPr>
          <w:p>
            <w:pPr>
              <w:ind w:left="580"/>
              <w:spacing w:after="0"/>
              <w:rPr>
                <w:sz w:val="20"/>
                <w:szCs w:val="20"/>
                <w:color w:val="auto"/>
              </w:rPr>
            </w:pPr>
            <w:r>
              <w:rPr>
                <w:rFonts w:ascii="Arial" w:cs="Arial" w:eastAsia="Arial" w:hAnsi="Arial"/>
                <w:sz w:val="18"/>
                <w:szCs w:val="18"/>
                <w:color w:val="auto"/>
                <w:w w:val="90"/>
              </w:rPr>
              <w:t>United States of America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KGHM Polska Miedz Spolka Akcyjna</w:t>
            </w:r>
          </w:p>
        </w:tc>
        <w:tc>
          <w:tcPr>
            <w:tcW w:w="2400" w:type="dxa"/>
            <w:vAlign w:val="bottom"/>
          </w:tcPr>
          <w:p>
            <w:pPr>
              <w:ind w:left="58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Kojima Chemicals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Korea Zinc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Kyrgyzaltyn JSC</w:t>
            </w:r>
          </w:p>
        </w:tc>
        <w:tc>
          <w:tcPr>
            <w:tcW w:w="2400" w:type="dxa"/>
            <w:vAlign w:val="bottom"/>
          </w:tcPr>
          <w:p>
            <w:pPr>
              <w:ind w:left="580"/>
              <w:spacing w:after="0"/>
              <w:rPr>
                <w:sz w:val="20"/>
                <w:szCs w:val="20"/>
                <w:color w:val="auto"/>
              </w:rPr>
            </w:pPr>
            <w:r>
              <w:rPr>
                <w:rFonts w:ascii="Arial" w:cs="Arial" w:eastAsia="Arial" w:hAnsi="Arial"/>
                <w:sz w:val="18"/>
                <w:szCs w:val="18"/>
                <w:color w:val="auto"/>
              </w:rPr>
              <w:t>Kyrgyzstan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L’Orfebre S.A.</w:t>
            </w:r>
          </w:p>
        </w:tc>
        <w:tc>
          <w:tcPr>
            <w:tcW w:w="2400" w:type="dxa"/>
            <w:vAlign w:val="bottom"/>
          </w:tcPr>
          <w:p>
            <w:pPr>
              <w:ind w:left="580"/>
              <w:spacing w:after="0"/>
              <w:rPr>
                <w:sz w:val="20"/>
                <w:szCs w:val="20"/>
                <w:color w:val="auto"/>
              </w:rPr>
            </w:pPr>
            <w:r>
              <w:rPr>
                <w:rFonts w:ascii="Arial" w:cs="Arial" w:eastAsia="Arial" w:hAnsi="Arial"/>
                <w:sz w:val="18"/>
                <w:szCs w:val="18"/>
                <w:color w:val="auto"/>
              </w:rPr>
              <w:t>Andorra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LS-NIKKO Copper Inc.</w:t>
            </w:r>
          </w:p>
        </w:tc>
        <w:tc>
          <w:tcPr>
            <w:tcW w:w="2400" w:type="dxa"/>
            <w:vAlign w:val="bottom"/>
          </w:tcPr>
          <w:p>
            <w:pPr>
              <w:ind w:left="5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Marsam Metals</w:t>
            </w:r>
          </w:p>
        </w:tc>
        <w:tc>
          <w:tcPr>
            <w:tcW w:w="2400" w:type="dxa"/>
            <w:vAlign w:val="bottom"/>
          </w:tcPr>
          <w:p>
            <w:pPr>
              <w:ind w:left="5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Materion</w:t>
            </w:r>
          </w:p>
        </w:tc>
        <w:tc>
          <w:tcPr>
            <w:tcW w:w="2400" w:type="dxa"/>
            <w:vAlign w:val="bottom"/>
          </w:tcPr>
          <w:p>
            <w:pPr>
              <w:ind w:left="580"/>
              <w:spacing w:after="0"/>
              <w:rPr>
                <w:sz w:val="20"/>
                <w:szCs w:val="20"/>
                <w:color w:val="auto"/>
              </w:rPr>
            </w:pPr>
            <w:r>
              <w:rPr>
                <w:rFonts w:ascii="Arial" w:cs="Arial" w:eastAsia="Arial" w:hAnsi="Arial"/>
                <w:sz w:val="18"/>
                <w:szCs w:val="18"/>
                <w:color w:val="auto"/>
                <w:w w:val="90"/>
              </w:rPr>
              <w:t>United States of America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Matsuda Sangyo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Metalor Technologies (Hong Kong) Ltd.</w:t>
            </w:r>
          </w:p>
        </w:tc>
        <w:tc>
          <w:tcPr>
            <w:tcW w:w="2400" w:type="dxa"/>
            <w:vAlign w:val="bottom"/>
          </w:tcPr>
          <w:p>
            <w:pPr>
              <w:ind w:left="5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Metalor Technologies (Singapore) Pte., Ltd.</w:t>
            </w:r>
          </w:p>
        </w:tc>
        <w:tc>
          <w:tcPr>
            <w:tcW w:w="2400" w:type="dxa"/>
            <w:vAlign w:val="bottom"/>
          </w:tcPr>
          <w:p>
            <w:pPr>
              <w:ind w:left="58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Metalor Technologies (Suzhou) Ltd.</w:t>
            </w:r>
          </w:p>
        </w:tc>
        <w:tc>
          <w:tcPr>
            <w:tcW w:w="2400" w:type="dxa"/>
            <w:vAlign w:val="bottom"/>
          </w:tcPr>
          <w:p>
            <w:pPr>
              <w:ind w:left="5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Metalor Technologies S.A.</w:t>
            </w:r>
          </w:p>
        </w:tc>
        <w:tc>
          <w:tcPr>
            <w:tcW w:w="2400" w:type="dxa"/>
            <w:vAlign w:val="bottom"/>
          </w:tcPr>
          <w:p>
            <w:pPr>
              <w:ind w:left="5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Metalor USA Refining Corporation</w:t>
            </w:r>
          </w:p>
        </w:tc>
        <w:tc>
          <w:tcPr>
            <w:tcW w:w="2400" w:type="dxa"/>
            <w:vAlign w:val="bottom"/>
          </w:tcPr>
          <w:p>
            <w:pPr>
              <w:ind w:left="580"/>
              <w:spacing w:after="0"/>
              <w:rPr>
                <w:sz w:val="20"/>
                <w:szCs w:val="20"/>
                <w:color w:val="auto"/>
              </w:rPr>
            </w:pPr>
            <w:r>
              <w:rPr>
                <w:rFonts w:ascii="Arial" w:cs="Arial" w:eastAsia="Arial" w:hAnsi="Arial"/>
                <w:sz w:val="18"/>
                <w:szCs w:val="18"/>
                <w:color w:val="auto"/>
                <w:w w:val="90"/>
              </w:rPr>
              <w:t>United States of America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Metalurgica Met-Mex Penoles S.A. De C.V.</w:t>
            </w:r>
          </w:p>
        </w:tc>
        <w:tc>
          <w:tcPr>
            <w:tcW w:w="2400" w:type="dxa"/>
            <w:vAlign w:val="bottom"/>
          </w:tcPr>
          <w:p>
            <w:pPr>
              <w:ind w:left="58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Mitsubishi Materials Corporation</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Mitsui Mining and Smelting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MMTC-PAMP India Pvt., Ltd.</w:t>
            </w:r>
          </w:p>
        </w:tc>
        <w:tc>
          <w:tcPr>
            <w:tcW w:w="2400" w:type="dxa"/>
            <w:vAlign w:val="bottom"/>
          </w:tcPr>
          <w:p>
            <w:pPr>
              <w:ind w:left="5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Moscow Special Alloys Processing Plant</w:t>
            </w:r>
          </w:p>
        </w:tc>
        <w:tc>
          <w:tcPr>
            <w:tcW w:w="2400" w:type="dxa"/>
            <w:vAlign w:val="bottom"/>
          </w:tcPr>
          <w:p>
            <w:pPr>
              <w:ind w:left="58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Nadir Metal Rafineri San. Ve Tic. A.S.</w:t>
            </w:r>
          </w:p>
        </w:tc>
        <w:tc>
          <w:tcPr>
            <w:tcW w:w="2400" w:type="dxa"/>
            <w:vAlign w:val="bottom"/>
          </w:tcPr>
          <w:p>
            <w:pPr>
              <w:ind w:left="58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Nihon Material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Ogussa Osterreichische Gold- und Silber-Scheideanstalt GmbH</w:t>
            </w:r>
          </w:p>
        </w:tc>
        <w:tc>
          <w:tcPr>
            <w:tcW w:w="2400" w:type="dxa"/>
            <w:vAlign w:val="bottom"/>
          </w:tcPr>
          <w:p>
            <w:pPr>
              <w:ind w:left="58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Ohura Precious Metal Industry Co., Ltd.</w:t>
            </w:r>
          </w:p>
        </w:tc>
        <w:tc>
          <w:tcPr>
            <w:tcW w:w="2400" w:type="dxa"/>
            <w:vAlign w:val="bottom"/>
          </w:tcPr>
          <w:p>
            <w:pPr>
              <w:ind w:left="5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120" w:type="dxa"/>
            <w:vAlign w:val="bottom"/>
            <w:vMerge w:val="restart"/>
          </w:tcPr>
          <w:p>
            <w:pPr>
              <w:spacing w:after="0"/>
              <w:rPr>
                <w:sz w:val="20"/>
                <w:szCs w:val="20"/>
                <w:color w:val="auto"/>
              </w:rPr>
            </w:pPr>
            <w:r>
              <w:rPr>
                <w:rFonts w:ascii="Arial" w:cs="Arial" w:eastAsia="Arial" w:hAnsi="Arial"/>
                <w:sz w:val="18"/>
                <w:szCs w:val="18"/>
                <w:color w:val="auto"/>
              </w:rPr>
              <w:t>Gold</w:t>
            </w:r>
          </w:p>
        </w:tc>
        <w:tc>
          <w:tcPr>
            <w:tcW w:w="6260" w:type="dxa"/>
            <w:vAlign w:val="bottom"/>
          </w:tcPr>
          <w:p>
            <w:pPr>
              <w:ind w:left="760"/>
              <w:spacing w:after="0"/>
              <w:rPr>
                <w:sz w:val="20"/>
                <w:szCs w:val="20"/>
                <w:color w:val="auto"/>
              </w:rPr>
            </w:pPr>
            <w:r>
              <w:rPr>
                <w:rFonts w:ascii="Arial" w:cs="Arial" w:eastAsia="Arial" w:hAnsi="Arial"/>
                <w:sz w:val="18"/>
                <w:szCs w:val="18"/>
                <w:color w:val="auto"/>
              </w:rPr>
              <w:t>OJSC “The Gulidov Krasnoyarsk Non-Ferrous Metals Plant” (OJSC</w:t>
            </w:r>
          </w:p>
        </w:tc>
        <w:tc>
          <w:tcPr>
            <w:tcW w:w="2400" w:type="dxa"/>
            <w:vAlign w:val="bottom"/>
            <w:vMerge w:val="restart"/>
          </w:tcPr>
          <w:p>
            <w:pPr>
              <w:ind w:left="58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6260" w:type="dxa"/>
            <w:vAlign w:val="bottom"/>
            <w:vMerge w:val="restart"/>
          </w:tcPr>
          <w:p>
            <w:pPr>
              <w:ind w:left="760"/>
              <w:spacing w:after="0"/>
              <w:rPr>
                <w:sz w:val="20"/>
                <w:szCs w:val="20"/>
                <w:color w:val="auto"/>
              </w:rPr>
            </w:pPr>
            <w:r>
              <w:rPr>
                <w:rFonts w:ascii="Arial" w:cs="Arial" w:eastAsia="Arial" w:hAnsi="Arial"/>
                <w:sz w:val="18"/>
                <w:szCs w:val="18"/>
                <w:color w:val="auto"/>
              </w:rPr>
              <w:t>Krastsvetmet)</w:t>
            </w: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74"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OJSC Novosibirsk Refinery</w:t>
            </w:r>
          </w:p>
        </w:tc>
        <w:tc>
          <w:tcPr>
            <w:tcW w:w="2900" w:type="dxa"/>
            <w:vAlign w:val="bottom"/>
          </w:tcPr>
          <w:p>
            <w:pPr>
              <w:ind w:left="980"/>
              <w:spacing w:after="0"/>
              <w:rPr>
                <w:sz w:val="20"/>
                <w:szCs w:val="20"/>
                <w:color w:val="auto"/>
              </w:rPr>
            </w:pPr>
            <w:r>
              <w:rPr>
                <w:rFonts w:ascii="Arial" w:cs="Arial" w:eastAsia="Arial" w:hAnsi="Arial"/>
                <w:sz w:val="18"/>
                <w:szCs w:val="18"/>
                <w:color w:val="auto"/>
              </w:rPr>
              <w:t>Russian Federation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PAMP S.A.</w:t>
            </w:r>
          </w:p>
        </w:tc>
        <w:tc>
          <w:tcPr>
            <w:tcW w:w="2900" w:type="dxa"/>
            <w:vAlign w:val="bottom"/>
          </w:tcPr>
          <w:p>
            <w:pPr>
              <w:ind w:left="980"/>
              <w:spacing w:after="0"/>
              <w:rPr>
                <w:sz w:val="20"/>
                <w:szCs w:val="20"/>
                <w:color w:val="auto"/>
              </w:rPr>
            </w:pPr>
            <w:r>
              <w:rPr>
                <w:rFonts w:ascii="Arial" w:cs="Arial" w:eastAsia="Arial" w:hAnsi="Arial"/>
                <w:sz w:val="18"/>
                <w:szCs w:val="18"/>
                <w:color w:val="auto"/>
              </w:rPr>
              <w:t>Switzerland</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Planta Recuperadora de Metales SpA</w:t>
            </w:r>
          </w:p>
        </w:tc>
        <w:tc>
          <w:tcPr>
            <w:tcW w:w="2900" w:type="dxa"/>
            <w:vAlign w:val="bottom"/>
          </w:tcPr>
          <w:p>
            <w:pPr>
              <w:ind w:left="980"/>
              <w:spacing w:after="0"/>
              <w:rPr>
                <w:sz w:val="20"/>
                <w:szCs w:val="20"/>
                <w:color w:val="auto"/>
              </w:rPr>
            </w:pPr>
            <w:r>
              <w:rPr>
                <w:rFonts w:ascii="Arial" w:cs="Arial" w:eastAsia="Arial" w:hAnsi="Arial"/>
                <w:sz w:val="18"/>
                <w:szCs w:val="18"/>
                <w:color w:val="auto"/>
              </w:rPr>
              <w:t>Chile</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Prioksky Plant of Non-Ferrous Metals</w:t>
            </w:r>
          </w:p>
        </w:tc>
        <w:tc>
          <w:tcPr>
            <w:tcW w:w="2900" w:type="dxa"/>
            <w:vAlign w:val="bottom"/>
          </w:tcPr>
          <w:p>
            <w:pPr>
              <w:ind w:left="980"/>
              <w:spacing w:after="0"/>
              <w:rPr>
                <w:sz w:val="20"/>
                <w:szCs w:val="20"/>
                <w:color w:val="auto"/>
              </w:rPr>
            </w:pPr>
            <w:r>
              <w:rPr>
                <w:rFonts w:ascii="Arial" w:cs="Arial" w:eastAsia="Arial" w:hAnsi="Arial"/>
                <w:sz w:val="18"/>
                <w:szCs w:val="18"/>
                <w:color w:val="auto"/>
              </w:rPr>
              <w:t>Russian Federation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PT Aneka Tambang (Persero) Tbk</w:t>
            </w:r>
          </w:p>
        </w:tc>
        <w:tc>
          <w:tcPr>
            <w:tcW w:w="2900" w:type="dxa"/>
            <w:vAlign w:val="bottom"/>
          </w:tcPr>
          <w:p>
            <w:pPr>
              <w:ind w:left="980"/>
              <w:spacing w:after="0"/>
              <w:rPr>
                <w:sz w:val="20"/>
                <w:szCs w:val="20"/>
                <w:color w:val="auto"/>
              </w:rPr>
            </w:pPr>
            <w:r>
              <w:rPr>
                <w:rFonts w:ascii="Arial" w:cs="Arial" w:eastAsia="Arial" w:hAnsi="Arial"/>
                <w:sz w:val="18"/>
                <w:szCs w:val="18"/>
                <w:color w:val="auto"/>
              </w:rPr>
              <w:t>Indonesia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PX Precinox S.A.</w:t>
            </w:r>
          </w:p>
        </w:tc>
        <w:tc>
          <w:tcPr>
            <w:tcW w:w="2900" w:type="dxa"/>
            <w:vAlign w:val="bottom"/>
          </w:tcPr>
          <w:p>
            <w:pPr>
              <w:ind w:left="980"/>
              <w:spacing w:after="0"/>
              <w:rPr>
                <w:sz w:val="20"/>
                <w:szCs w:val="20"/>
                <w:color w:val="auto"/>
              </w:rPr>
            </w:pPr>
            <w:r>
              <w:rPr>
                <w:rFonts w:ascii="Arial" w:cs="Arial" w:eastAsia="Arial" w:hAnsi="Arial"/>
                <w:sz w:val="18"/>
                <w:szCs w:val="18"/>
                <w:color w:val="auto"/>
              </w:rPr>
              <w:t>Switzerland</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Rand Refinery (Pty) Ltd.</w:t>
            </w:r>
          </w:p>
        </w:tc>
        <w:tc>
          <w:tcPr>
            <w:tcW w:w="2900" w:type="dxa"/>
            <w:vAlign w:val="bottom"/>
          </w:tcPr>
          <w:p>
            <w:pPr>
              <w:ind w:left="980"/>
              <w:spacing w:after="0"/>
              <w:rPr>
                <w:sz w:val="20"/>
                <w:szCs w:val="20"/>
                <w:color w:val="auto"/>
              </w:rPr>
            </w:pPr>
            <w:r>
              <w:rPr>
                <w:rFonts w:ascii="Arial" w:cs="Arial" w:eastAsia="Arial" w:hAnsi="Arial"/>
                <w:sz w:val="18"/>
                <w:szCs w:val="18"/>
                <w:color w:val="auto"/>
              </w:rPr>
              <w:t>South Africa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REMONDIS PMR B.V.</w:t>
            </w:r>
          </w:p>
        </w:tc>
        <w:tc>
          <w:tcPr>
            <w:tcW w:w="2900" w:type="dxa"/>
            <w:vAlign w:val="bottom"/>
          </w:tcPr>
          <w:p>
            <w:pPr>
              <w:ind w:left="980"/>
              <w:spacing w:after="0"/>
              <w:rPr>
                <w:sz w:val="20"/>
                <w:szCs w:val="20"/>
                <w:color w:val="auto"/>
              </w:rPr>
            </w:pPr>
            <w:r>
              <w:rPr>
                <w:rFonts w:ascii="Arial" w:cs="Arial" w:eastAsia="Arial" w:hAnsi="Arial"/>
                <w:sz w:val="18"/>
                <w:szCs w:val="18"/>
                <w:color w:val="auto"/>
              </w:rPr>
              <w:t>Netherlands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Royal Canadian Mint</w:t>
            </w:r>
          </w:p>
        </w:tc>
        <w:tc>
          <w:tcPr>
            <w:tcW w:w="2900" w:type="dxa"/>
            <w:vAlign w:val="bottom"/>
          </w:tcPr>
          <w:p>
            <w:pPr>
              <w:ind w:left="980"/>
              <w:spacing w:after="0"/>
              <w:rPr>
                <w:sz w:val="20"/>
                <w:szCs w:val="20"/>
                <w:color w:val="auto"/>
              </w:rPr>
            </w:pPr>
            <w:r>
              <w:rPr>
                <w:rFonts w:ascii="Arial" w:cs="Arial" w:eastAsia="Arial" w:hAnsi="Arial"/>
                <w:sz w:val="18"/>
                <w:szCs w:val="18"/>
                <w:color w:val="auto"/>
              </w:rPr>
              <w:t>Canada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SAAMP</w:t>
            </w:r>
          </w:p>
        </w:tc>
        <w:tc>
          <w:tcPr>
            <w:tcW w:w="2900" w:type="dxa"/>
            <w:vAlign w:val="bottom"/>
          </w:tcPr>
          <w:p>
            <w:pPr>
              <w:ind w:left="980"/>
              <w:spacing w:after="0"/>
              <w:rPr>
                <w:sz w:val="20"/>
                <w:szCs w:val="20"/>
                <w:color w:val="auto"/>
              </w:rPr>
            </w:pPr>
            <w:r>
              <w:rPr>
                <w:rFonts w:ascii="Arial" w:cs="Arial" w:eastAsia="Arial" w:hAnsi="Arial"/>
                <w:sz w:val="18"/>
                <w:szCs w:val="18"/>
                <w:color w:val="auto"/>
              </w:rPr>
              <w:t>France</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Safimet S.p.A</w:t>
            </w:r>
          </w:p>
        </w:tc>
        <w:tc>
          <w:tcPr>
            <w:tcW w:w="2900" w:type="dxa"/>
            <w:vAlign w:val="bottom"/>
          </w:tcPr>
          <w:p>
            <w:pPr>
              <w:ind w:left="980"/>
              <w:spacing w:after="0"/>
              <w:rPr>
                <w:sz w:val="20"/>
                <w:szCs w:val="20"/>
                <w:color w:val="auto"/>
              </w:rPr>
            </w:pPr>
            <w:r>
              <w:rPr>
                <w:rFonts w:ascii="Arial" w:cs="Arial" w:eastAsia="Arial" w:hAnsi="Arial"/>
                <w:sz w:val="18"/>
                <w:szCs w:val="18"/>
                <w:color w:val="auto"/>
              </w:rPr>
              <w:t>Italy</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Samduck Precious Metals</w:t>
            </w:r>
          </w:p>
        </w:tc>
        <w:tc>
          <w:tcPr>
            <w:tcW w:w="2900" w:type="dxa"/>
            <w:vAlign w:val="bottom"/>
          </w:tcPr>
          <w:p>
            <w:pPr>
              <w:ind w:left="980"/>
              <w:spacing w:after="0"/>
              <w:rPr>
                <w:sz w:val="20"/>
                <w:szCs w:val="20"/>
                <w:color w:val="auto"/>
              </w:rPr>
            </w:pPr>
            <w:r>
              <w:rPr>
                <w:rFonts w:ascii="Arial" w:cs="Arial" w:eastAsia="Arial" w:hAnsi="Arial"/>
                <w:sz w:val="18"/>
                <w:szCs w:val="18"/>
                <w:color w:val="auto"/>
              </w:rPr>
              <w:t>Korea, Republic of</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SAXONIA Edelmetalle GmbH</w:t>
            </w:r>
          </w:p>
        </w:tc>
        <w:tc>
          <w:tcPr>
            <w:tcW w:w="2900" w:type="dxa"/>
            <w:vAlign w:val="bottom"/>
          </w:tcPr>
          <w:p>
            <w:pPr>
              <w:ind w:left="980"/>
              <w:spacing w:after="0"/>
              <w:rPr>
                <w:sz w:val="20"/>
                <w:szCs w:val="20"/>
                <w:color w:val="auto"/>
              </w:rPr>
            </w:pPr>
            <w:r>
              <w:rPr>
                <w:rFonts w:ascii="Arial" w:cs="Arial" w:eastAsia="Arial" w:hAnsi="Arial"/>
                <w:sz w:val="18"/>
                <w:szCs w:val="18"/>
                <w:color w:val="auto"/>
              </w:rPr>
              <w:t>Germany</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SEMPSA Joyeria Plateria S.A.</w:t>
            </w:r>
          </w:p>
        </w:tc>
        <w:tc>
          <w:tcPr>
            <w:tcW w:w="2900" w:type="dxa"/>
            <w:vAlign w:val="bottom"/>
          </w:tcPr>
          <w:p>
            <w:pPr>
              <w:ind w:left="980"/>
              <w:spacing w:after="0"/>
              <w:rPr>
                <w:sz w:val="20"/>
                <w:szCs w:val="20"/>
                <w:color w:val="auto"/>
              </w:rPr>
            </w:pPr>
            <w:r>
              <w:rPr>
                <w:rFonts w:ascii="Arial" w:cs="Arial" w:eastAsia="Arial" w:hAnsi="Arial"/>
                <w:sz w:val="18"/>
                <w:szCs w:val="18"/>
                <w:color w:val="auto"/>
              </w:rPr>
              <w:t>Spain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Shandong Zhaojin Gold &amp; Silver Refinery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Sichuan Tianze Precious Metals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Singway Technology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Taiwan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SOE Shyolkovsky Factory of Secondary Precious Metals</w:t>
            </w:r>
          </w:p>
        </w:tc>
        <w:tc>
          <w:tcPr>
            <w:tcW w:w="2900" w:type="dxa"/>
            <w:vAlign w:val="bottom"/>
          </w:tcPr>
          <w:p>
            <w:pPr>
              <w:ind w:left="980"/>
              <w:spacing w:after="0"/>
              <w:rPr>
                <w:sz w:val="20"/>
                <w:szCs w:val="20"/>
                <w:color w:val="auto"/>
              </w:rPr>
            </w:pPr>
            <w:r>
              <w:rPr>
                <w:rFonts w:ascii="Arial" w:cs="Arial" w:eastAsia="Arial" w:hAnsi="Arial"/>
                <w:sz w:val="18"/>
                <w:szCs w:val="18"/>
                <w:color w:val="auto"/>
              </w:rPr>
              <w:t>Russian Federation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Solar Applied Materials Technology Corp.</w:t>
            </w:r>
          </w:p>
        </w:tc>
        <w:tc>
          <w:tcPr>
            <w:tcW w:w="2900" w:type="dxa"/>
            <w:vAlign w:val="bottom"/>
          </w:tcPr>
          <w:p>
            <w:pPr>
              <w:ind w:left="980"/>
              <w:spacing w:after="0"/>
              <w:rPr>
                <w:sz w:val="20"/>
                <w:szCs w:val="20"/>
                <w:color w:val="auto"/>
              </w:rPr>
            </w:pPr>
            <w:r>
              <w:rPr>
                <w:rFonts w:ascii="Arial" w:cs="Arial" w:eastAsia="Arial" w:hAnsi="Arial"/>
                <w:sz w:val="18"/>
                <w:szCs w:val="18"/>
                <w:color w:val="auto"/>
                <w:w w:val="90"/>
              </w:rPr>
              <w:t>Taiwan, Province of 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Sumitomo Metal Mining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Japan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SungEel HiMetal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Korea, Republic of</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T.C.A S.p.A</w:t>
            </w:r>
          </w:p>
        </w:tc>
        <w:tc>
          <w:tcPr>
            <w:tcW w:w="2900" w:type="dxa"/>
            <w:vAlign w:val="bottom"/>
          </w:tcPr>
          <w:p>
            <w:pPr>
              <w:ind w:left="980"/>
              <w:spacing w:after="0"/>
              <w:rPr>
                <w:sz w:val="20"/>
                <w:szCs w:val="20"/>
                <w:color w:val="auto"/>
              </w:rPr>
            </w:pPr>
            <w:r>
              <w:rPr>
                <w:rFonts w:ascii="Arial" w:cs="Arial" w:eastAsia="Arial" w:hAnsi="Arial"/>
                <w:sz w:val="18"/>
                <w:szCs w:val="18"/>
                <w:color w:val="auto"/>
              </w:rPr>
              <w:t>Italy</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Tanaka Kikinzoku Kogyo K.K.</w:t>
            </w:r>
          </w:p>
        </w:tc>
        <w:tc>
          <w:tcPr>
            <w:tcW w:w="2900" w:type="dxa"/>
            <w:vAlign w:val="bottom"/>
          </w:tcPr>
          <w:p>
            <w:pPr>
              <w:ind w:left="980"/>
              <w:spacing w:after="0"/>
              <w:rPr>
                <w:sz w:val="20"/>
                <w:szCs w:val="20"/>
                <w:color w:val="auto"/>
              </w:rPr>
            </w:pPr>
            <w:r>
              <w:rPr>
                <w:rFonts w:ascii="Arial" w:cs="Arial" w:eastAsia="Arial" w:hAnsi="Arial"/>
                <w:sz w:val="18"/>
                <w:szCs w:val="18"/>
                <w:color w:val="auto"/>
              </w:rPr>
              <w:t>Japan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The Refinery of Shandong Gold Mining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Tokuriki Honten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Japan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Torecom</w:t>
            </w:r>
          </w:p>
        </w:tc>
        <w:tc>
          <w:tcPr>
            <w:tcW w:w="2900" w:type="dxa"/>
            <w:vAlign w:val="bottom"/>
          </w:tcPr>
          <w:p>
            <w:pPr>
              <w:ind w:left="980"/>
              <w:spacing w:after="0"/>
              <w:rPr>
                <w:sz w:val="20"/>
                <w:szCs w:val="20"/>
                <w:color w:val="auto"/>
              </w:rPr>
            </w:pPr>
            <w:r>
              <w:rPr>
                <w:rFonts w:ascii="Arial" w:cs="Arial" w:eastAsia="Arial" w:hAnsi="Arial"/>
                <w:sz w:val="18"/>
                <w:szCs w:val="18"/>
                <w:color w:val="auto"/>
              </w:rPr>
              <w:t>Korea, Republic of</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Umicore Brasil Ltda.</w:t>
            </w:r>
          </w:p>
        </w:tc>
        <w:tc>
          <w:tcPr>
            <w:tcW w:w="2900" w:type="dxa"/>
            <w:vAlign w:val="bottom"/>
          </w:tcPr>
          <w:p>
            <w:pPr>
              <w:ind w:left="980"/>
              <w:spacing w:after="0"/>
              <w:rPr>
                <w:sz w:val="20"/>
                <w:szCs w:val="20"/>
                <w:color w:val="auto"/>
              </w:rPr>
            </w:pPr>
            <w:r>
              <w:rPr>
                <w:rFonts w:ascii="Arial" w:cs="Arial" w:eastAsia="Arial" w:hAnsi="Arial"/>
                <w:sz w:val="18"/>
                <w:szCs w:val="18"/>
                <w:color w:val="auto"/>
              </w:rPr>
              <w:t>Brazil</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Umicore Precious Metals Thailand</w:t>
            </w:r>
          </w:p>
        </w:tc>
        <w:tc>
          <w:tcPr>
            <w:tcW w:w="2900" w:type="dxa"/>
            <w:vAlign w:val="bottom"/>
          </w:tcPr>
          <w:p>
            <w:pPr>
              <w:ind w:left="980"/>
              <w:spacing w:after="0"/>
              <w:rPr>
                <w:sz w:val="20"/>
                <w:szCs w:val="20"/>
                <w:color w:val="auto"/>
              </w:rPr>
            </w:pPr>
            <w:r>
              <w:rPr>
                <w:rFonts w:ascii="Arial" w:cs="Arial" w:eastAsia="Arial" w:hAnsi="Arial"/>
                <w:sz w:val="18"/>
                <w:szCs w:val="18"/>
                <w:color w:val="auto"/>
              </w:rPr>
              <w:t>Thailand</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Umicore S.A. Business Unit Precious Metals Refining</w:t>
            </w:r>
          </w:p>
        </w:tc>
        <w:tc>
          <w:tcPr>
            <w:tcW w:w="2900" w:type="dxa"/>
            <w:vAlign w:val="bottom"/>
          </w:tcPr>
          <w:p>
            <w:pPr>
              <w:ind w:left="980"/>
              <w:spacing w:after="0"/>
              <w:rPr>
                <w:sz w:val="20"/>
                <w:szCs w:val="20"/>
                <w:color w:val="auto"/>
              </w:rPr>
            </w:pPr>
            <w:r>
              <w:rPr>
                <w:rFonts w:ascii="Arial" w:cs="Arial" w:eastAsia="Arial" w:hAnsi="Arial"/>
                <w:sz w:val="18"/>
                <w:szCs w:val="18"/>
                <w:color w:val="auto"/>
              </w:rPr>
              <w:t>Belgium</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United Precious Metal Refining, Inc.</w:t>
            </w:r>
          </w:p>
        </w:tc>
        <w:tc>
          <w:tcPr>
            <w:tcW w:w="2900" w:type="dxa"/>
            <w:vAlign w:val="bottom"/>
          </w:tcPr>
          <w:p>
            <w:pPr>
              <w:ind w:left="980"/>
              <w:spacing w:after="0"/>
              <w:rPr>
                <w:sz w:val="20"/>
                <w:szCs w:val="20"/>
                <w:color w:val="auto"/>
              </w:rPr>
            </w:pPr>
            <w:r>
              <w:rPr>
                <w:rFonts w:ascii="Arial" w:cs="Arial" w:eastAsia="Arial" w:hAnsi="Arial"/>
                <w:sz w:val="18"/>
                <w:szCs w:val="18"/>
                <w:color w:val="auto"/>
                <w:w w:val="95"/>
              </w:rPr>
              <w:t>United States of America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Valcambi S.A.</w:t>
            </w:r>
          </w:p>
        </w:tc>
        <w:tc>
          <w:tcPr>
            <w:tcW w:w="2900" w:type="dxa"/>
            <w:vAlign w:val="bottom"/>
          </w:tcPr>
          <w:p>
            <w:pPr>
              <w:ind w:left="980"/>
              <w:spacing w:after="0"/>
              <w:rPr>
                <w:sz w:val="20"/>
                <w:szCs w:val="20"/>
                <w:color w:val="auto"/>
              </w:rPr>
            </w:pPr>
            <w:r>
              <w:rPr>
                <w:rFonts w:ascii="Arial" w:cs="Arial" w:eastAsia="Arial" w:hAnsi="Arial"/>
                <w:sz w:val="18"/>
                <w:szCs w:val="18"/>
                <w:color w:val="auto"/>
              </w:rPr>
              <w:t>Switzerland</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Western Australian Mint (T/a The Perth Mint)</w:t>
            </w:r>
          </w:p>
        </w:tc>
        <w:tc>
          <w:tcPr>
            <w:tcW w:w="2900" w:type="dxa"/>
            <w:vAlign w:val="bottom"/>
          </w:tcPr>
          <w:p>
            <w:pPr>
              <w:ind w:left="980"/>
              <w:spacing w:after="0"/>
              <w:rPr>
                <w:sz w:val="20"/>
                <w:szCs w:val="20"/>
                <w:color w:val="auto"/>
              </w:rPr>
            </w:pPr>
            <w:r>
              <w:rPr>
                <w:rFonts w:ascii="Arial" w:cs="Arial" w:eastAsia="Arial" w:hAnsi="Arial"/>
                <w:sz w:val="18"/>
                <w:szCs w:val="18"/>
                <w:color w:val="auto"/>
              </w:rPr>
              <w:t>Australia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WIELAND Edelmetalle GmbH</w:t>
            </w:r>
          </w:p>
        </w:tc>
        <w:tc>
          <w:tcPr>
            <w:tcW w:w="2900" w:type="dxa"/>
            <w:vAlign w:val="bottom"/>
          </w:tcPr>
          <w:p>
            <w:pPr>
              <w:ind w:left="980"/>
              <w:spacing w:after="0"/>
              <w:rPr>
                <w:sz w:val="20"/>
                <w:szCs w:val="20"/>
                <w:color w:val="auto"/>
              </w:rPr>
            </w:pPr>
            <w:r>
              <w:rPr>
                <w:rFonts w:ascii="Arial" w:cs="Arial" w:eastAsia="Arial" w:hAnsi="Arial"/>
                <w:sz w:val="18"/>
                <w:szCs w:val="18"/>
                <w:color w:val="auto"/>
              </w:rPr>
              <w:t>Germany</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Yamakin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Japan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Yokohama Metal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Japan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600"/>
              <w:spacing w:after="0"/>
              <w:rPr>
                <w:sz w:val="20"/>
                <w:szCs w:val="20"/>
                <w:color w:val="auto"/>
              </w:rPr>
            </w:pPr>
            <w:r>
              <w:rPr>
                <w:rFonts w:ascii="Arial" w:cs="Arial" w:eastAsia="Arial" w:hAnsi="Arial"/>
                <w:sz w:val="18"/>
                <w:szCs w:val="18"/>
                <w:color w:val="auto"/>
              </w:rPr>
              <w:t>Zhongyuan Gold Smelter of Zhongjin Gold Corporation</w:t>
            </w:r>
          </w:p>
        </w:tc>
        <w:tc>
          <w:tcPr>
            <w:tcW w:w="2900" w:type="dxa"/>
            <w:vAlign w:val="bottom"/>
          </w:tcPr>
          <w:p>
            <w:pPr>
              <w:ind w:left="98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5700" w:type="dxa"/>
            <w:vAlign w:val="bottom"/>
          </w:tcPr>
          <w:p>
            <w:pPr>
              <w:ind w:left="600"/>
              <w:spacing w:after="0"/>
              <w:rPr>
                <w:sz w:val="20"/>
                <w:szCs w:val="20"/>
                <w:color w:val="auto"/>
              </w:rPr>
            </w:pPr>
            <w:r>
              <w:rPr>
                <w:rFonts w:ascii="Arial" w:cs="Arial" w:eastAsia="Arial" w:hAnsi="Arial"/>
                <w:sz w:val="18"/>
                <w:szCs w:val="18"/>
                <w:color w:val="auto"/>
              </w:rPr>
              <w:t>Asaka Riken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Japan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5700" w:type="dxa"/>
            <w:vAlign w:val="bottom"/>
          </w:tcPr>
          <w:p>
            <w:pPr>
              <w:ind w:left="600"/>
              <w:spacing w:after="0"/>
              <w:rPr>
                <w:sz w:val="20"/>
                <w:szCs w:val="20"/>
                <w:color w:val="auto"/>
              </w:rPr>
            </w:pPr>
            <w:r>
              <w:rPr>
                <w:rFonts w:ascii="Arial" w:cs="Arial" w:eastAsia="Arial" w:hAnsi="Arial"/>
                <w:sz w:val="18"/>
                <w:szCs w:val="18"/>
                <w:color w:val="auto"/>
              </w:rPr>
              <w:t>Changsha South Tantalum Niobium Co., Ltd.</w:t>
            </w:r>
          </w:p>
        </w:tc>
        <w:tc>
          <w:tcPr>
            <w:tcW w:w="2900" w:type="dxa"/>
            <w:vAlign w:val="bottom"/>
          </w:tcPr>
          <w:p>
            <w:pPr>
              <w:ind w:left="98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5700" w:type="dxa"/>
            <w:vAlign w:val="bottom"/>
          </w:tcPr>
          <w:p>
            <w:pPr>
              <w:ind w:left="600"/>
              <w:spacing w:after="0"/>
              <w:rPr>
                <w:sz w:val="20"/>
                <w:szCs w:val="20"/>
                <w:color w:val="auto"/>
              </w:rPr>
            </w:pPr>
            <w:r>
              <w:rPr>
                <w:rFonts w:ascii="Arial" w:cs="Arial" w:eastAsia="Arial" w:hAnsi="Arial"/>
                <w:sz w:val="18"/>
                <w:szCs w:val="18"/>
                <w:color w:val="auto"/>
              </w:rPr>
              <w:t>D Block Metals, LLC</w:t>
            </w:r>
          </w:p>
        </w:tc>
        <w:tc>
          <w:tcPr>
            <w:tcW w:w="2900" w:type="dxa"/>
            <w:vAlign w:val="bottom"/>
          </w:tcPr>
          <w:p>
            <w:pPr>
              <w:ind w:left="980"/>
              <w:spacing w:after="0"/>
              <w:rPr>
                <w:sz w:val="20"/>
                <w:szCs w:val="20"/>
                <w:color w:val="auto"/>
              </w:rPr>
            </w:pPr>
            <w:r>
              <w:rPr>
                <w:rFonts w:ascii="Arial" w:cs="Arial" w:eastAsia="Arial" w:hAnsi="Arial"/>
                <w:sz w:val="18"/>
                <w:szCs w:val="18"/>
                <w:color w:val="auto"/>
                <w:w w:val="95"/>
              </w:rPr>
              <w:t>United States of America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5700" w:type="dxa"/>
            <w:vAlign w:val="bottom"/>
          </w:tcPr>
          <w:p>
            <w:pPr>
              <w:ind w:left="600"/>
              <w:spacing w:after="0"/>
              <w:rPr>
                <w:sz w:val="20"/>
                <w:szCs w:val="20"/>
                <w:color w:val="auto"/>
              </w:rPr>
            </w:pPr>
            <w:r>
              <w:rPr>
                <w:rFonts w:ascii="Arial" w:cs="Arial" w:eastAsia="Arial" w:hAnsi="Arial"/>
                <w:sz w:val="18"/>
                <w:szCs w:val="18"/>
                <w:color w:val="auto"/>
              </w:rPr>
              <w:t>Exotech Inc.</w:t>
            </w:r>
          </w:p>
        </w:tc>
        <w:tc>
          <w:tcPr>
            <w:tcW w:w="2900" w:type="dxa"/>
            <w:vAlign w:val="bottom"/>
          </w:tcPr>
          <w:p>
            <w:pPr>
              <w:ind w:left="980"/>
              <w:spacing w:after="0"/>
              <w:rPr>
                <w:sz w:val="20"/>
                <w:szCs w:val="20"/>
                <w:color w:val="auto"/>
              </w:rPr>
            </w:pPr>
            <w:r>
              <w:rPr>
                <w:rFonts w:ascii="Arial" w:cs="Arial" w:eastAsia="Arial" w:hAnsi="Arial"/>
                <w:sz w:val="18"/>
                <w:szCs w:val="18"/>
                <w:color w:val="auto"/>
                <w:w w:val="95"/>
              </w:rPr>
              <w:t>United States of America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5700" w:type="dxa"/>
            <w:vAlign w:val="bottom"/>
          </w:tcPr>
          <w:p>
            <w:pPr>
              <w:ind w:left="600"/>
              <w:spacing w:after="0"/>
              <w:rPr>
                <w:sz w:val="20"/>
                <w:szCs w:val="20"/>
                <w:color w:val="auto"/>
              </w:rPr>
            </w:pPr>
            <w:r>
              <w:rPr>
                <w:rFonts w:ascii="Arial" w:cs="Arial" w:eastAsia="Arial" w:hAnsi="Arial"/>
                <w:sz w:val="18"/>
                <w:szCs w:val="18"/>
                <w:color w:val="auto"/>
              </w:rPr>
              <w:t>F&amp;X Electro-Materials Ltd.</w:t>
            </w:r>
          </w:p>
        </w:tc>
        <w:tc>
          <w:tcPr>
            <w:tcW w:w="2900" w:type="dxa"/>
            <w:vAlign w:val="bottom"/>
          </w:tcPr>
          <w:p>
            <w:pPr>
              <w:ind w:left="98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5700" w:type="dxa"/>
            <w:vAlign w:val="bottom"/>
          </w:tcPr>
          <w:p>
            <w:pPr>
              <w:ind w:left="600"/>
              <w:spacing w:after="0"/>
              <w:rPr>
                <w:sz w:val="20"/>
                <w:szCs w:val="20"/>
                <w:color w:val="auto"/>
              </w:rPr>
            </w:pPr>
            <w:r>
              <w:rPr>
                <w:rFonts w:ascii="Arial" w:cs="Arial" w:eastAsia="Arial" w:hAnsi="Arial"/>
                <w:sz w:val="18"/>
                <w:szCs w:val="18"/>
                <w:color w:val="auto"/>
              </w:rPr>
              <w:t>FIR Metals &amp; Resource Ltd.</w:t>
            </w:r>
          </w:p>
        </w:tc>
        <w:tc>
          <w:tcPr>
            <w:tcW w:w="2900" w:type="dxa"/>
            <w:vAlign w:val="bottom"/>
          </w:tcPr>
          <w:p>
            <w:pPr>
              <w:ind w:left="98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5700" w:type="dxa"/>
            <w:vAlign w:val="bottom"/>
          </w:tcPr>
          <w:p>
            <w:pPr>
              <w:ind w:left="600"/>
              <w:spacing w:after="0"/>
              <w:rPr>
                <w:sz w:val="20"/>
                <w:szCs w:val="20"/>
                <w:color w:val="auto"/>
              </w:rPr>
            </w:pPr>
            <w:r>
              <w:rPr>
                <w:rFonts w:ascii="Arial" w:cs="Arial" w:eastAsia="Arial" w:hAnsi="Arial"/>
                <w:sz w:val="18"/>
                <w:szCs w:val="18"/>
                <w:color w:val="auto"/>
              </w:rPr>
              <w:t>Global Advanced Metals Aizu</w:t>
            </w:r>
          </w:p>
        </w:tc>
        <w:tc>
          <w:tcPr>
            <w:tcW w:w="2900" w:type="dxa"/>
            <w:vAlign w:val="bottom"/>
          </w:tcPr>
          <w:p>
            <w:pPr>
              <w:ind w:left="980"/>
              <w:spacing w:after="0"/>
              <w:rPr>
                <w:sz w:val="20"/>
                <w:szCs w:val="20"/>
                <w:color w:val="auto"/>
              </w:rPr>
            </w:pPr>
            <w:r>
              <w:rPr>
                <w:rFonts w:ascii="Arial" w:cs="Arial" w:eastAsia="Arial" w:hAnsi="Arial"/>
                <w:sz w:val="18"/>
                <w:szCs w:val="18"/>
                <w:color w:val="auto"/>
              </w:rPr>
              <w:t>Japan</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5700" w:type="dxa"/>
            <w:vAlign w:val="bottom"/>
          </w:tcPr>
          <w:p>
            <w:pPr>
              <w:ind w:left="600"/>
              <w:spacing w:after="0"/>
              <w:rPr>
                <w:sz w:val="20"/>
                <w:szCs w:val="20"/>
                <w:color w:val="auto"/>
              </w:rPr>
            </w:pPr>
            <w:r>
              <w:rPr>
                <w:rFonts w:ascii="Arial" w:cs="Arial" w:eastAsia="Arial" w:hAnsi="Arial"/>
                <w:sz w:val="18"/>
                <w:szCs w:val="18"/>
                <w:color w:val="auto"/>
              </w:rPr>
              <w:t>Global Advanced Metals Boyertown</w:t>
            </w:r>
          </w:p>
        </w:tc>
        <w:tc>
          <w:tcPr>
            <w:tcW w:w="2900" w:type="dxa"/>
            <w:vAlign w:val="bottom"/>
          </w:tcPr>
          <w:p>
            <w:pPr>
              <w:ind w:left="980"/>
              <w:spacing w:after="0"/>
              <w:rPr>
                <w:sz w:val="20"/>
                <w:szCs w:val="20"/>
                <w:color w:val="auto"/>
              </w:rPr>
            </w:pPr>
            <w:r>
              <w:rPr>
                <w:rFonts w:ascii="Arial" w:cs="Arial" w:eastAsia="Arial" w:hAnsi="Arial"/>
                <w:sz w:val="18"/>
                <w:szCs w:val="18"/>
                <w:color w:val="auto"/>
                <w:w w:val="95"/>
              </w:rPr>
              <w:t>United States of America</w:t>
            </w:r>
          </w:p>
        </w:tc>
      </w:tr>
    </w:tbl>
    <w:p>
      <w:pPr>
        <w:sectPr>
          <w:pgSz w:w="11900" w:h="16838" w:orient="portrait"/>
          <w:cols w:equalWidth="0" w:num="1">
            <w:col w:w="10019"/>
          </w:cols>
          <w:pgMar w:left="440" w:top="274"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Guangdong Zhiyuan New Material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H.C. Starck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H.C. Starck Hermsdorf GmbH</w:t>
            </w:r>
          </w:p>
        </w:tc>
        <w:tc>
          <w:tcPr>
            <w:tcW w:w="2600" w:type="dxa"/>
            <w:vAlign w:val="bottom"/>
          </w:tcPr>
          <w:p>
            <w:pPr>
              <w:ind w:left="2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H.C. Starck Inc.</w:t>
            </w:r>
          </w:p>
        </w:tc>
        <w:tc>
          <w:tcPr>
            <w:tcW w:w="260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H.C. Starck Ltd.</w:t>
            </w:r>
          </w:p>
        </w:tc>
        <w:tc>
          <w:tcPr>
            <w:tcW w:w="2600" w:type="dxa"/>
            <w:vAlign w:val="bottom"/>
          </w:tcPr>
          <w:p>
            <w:pPr>
              <w:ind w:left="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H.C. Starck Smelting GmbH &amp; Co. KG</w:t>
            </w:r>
          </w:p>
        </w:tc>
        <w:tc>
          <w:tcPr>
            <w:tcW w:w="2600" w:type="dxa"/>
            <w:vAlign w:val="bottom"/>
          </w:tcPr>
          <w:p>
            <w:pPr>
              <w:ind w:left="2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H.C. Starck Tantalum and Niobium GmbH</w:t>
            </w:r>
          </w:p>
        </w:tc>
        <w:tc>
          <w:tcPr>
            <w:tcW w:w="2600" w:type="dxa"/>
            <w:vAlign w:val="bottom"/>
          </w:tcPr>
          <w:p>
            <w:pPr>
              <w:ind w:left="2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Hengyang King Xing Lifeng New Materials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Jiangxi Dinghai Tantalum &amp; Niobium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Jiangxi Tuohong New Raw Material</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JiuJiang JinXin Nonferrous Metals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Jiujiang Tanbre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Jiujiang Zhongao Tantalum &amp; Niobium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KEMET Blue Metals</w:t>
            </w:r>
          </w:p>
        </w:tc>
        <w:tc>
          <w:tcPr>
            <w:tcW w:w="260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LSM Brasil S.A.</w:t>
            </w:r>
          </w:p>
        </w:tc>
        <w:tc>
          <w:tcPr>
            <w:tcW w:w="2600" w:type="dxa"/>
            <w:vAlign w:val="bottom"/>
          </w:tcPr>
          <w:p>
            <w:pPr>
              <w:ind w:left="2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Metallurgical Products India Pvt., Ltd.</w:t>
            </w:r>
          </w:p>
        </w:tc>
        <w:tc>
          <w:tcPr>
            <w:tcW w:w="2600" w:type="dxa"/>
            <w:vAlign w:val="bottom"/>
          </w:tcPr>
          <w:p>
            <w:pPr>
              <w:ind w:left="20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Mineracao Taboca S.A.</w:t>
            </w:r>
          </w:p>
        </w:tc>
        <w:tc>
          <w:tcPr>
            <w:tcW w:w="2600" w:type="dxa"/>
            <w:vAlign w:val="bottom"/>
          </w:tcPr>
          <w:p>
            <w:pPr>
              <w:ind w:left="2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Mitsui Mining and Smelting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Ningxia Orient Tantalum Industry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NPM Silmet AS</w:t>
            </w:r>
          </w:p>
        </w:tc>
        <w:tc>
          <w:tcPr>
            <w:tcW w:w="2600" w:type="dxa"/>
            <w:vAlign w:val="bottom"/>
          </w:tcPr>
          <w:p>
            <w:pPr>
              <w:ind w:left="200"/>
              <w:spacing w:after="0"/>
              <w:rPr>
                <w:sz w:val="20"/>
                <w:szCs w:val="20"/>
                <w:color w:val="auto"/>
              </w:rPr>
            </w:pPr>
            <w:r>
              <w:rPr>
                <w:rFonts w:ascii="Arial" w:cs="Arial" w:eastAsia="Arial" w:hAnsi="Arial"/>
                <w:sz w:val="18"/>
                <w:szCs w:val="18"/>
                <w:color w:val="auto"/>
              </w:rPr>
              <w:t>Estonia</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Tantalum</w:t>
            </w:r>
          </w:p>
        </w:tc>
        <w:tc>
          <w:tcPr>
            <w:tcW w:w="6480" w:type="dxa"/>
            <w:vAlign w:val="bottom"/>
            <w:vMerge w:val="restart"/>
          </w:tcPr>
          <w:p>
            <w:pPr>
              <w:ind w:left="600"/>
              <w:spacing w:after="0"/>
              <w:rPr>
                <w:sz w:val="20"/>
                <w:szCs w:val="20"/>
                <w:color w:val="auto"/>
              </w:rPr>
            </w:pPr>
            <w:r>
              <w:rPr>
                <w:rFonts w:ascii="Arial" w:cs="Arial" w:eastAsia="Arial" w:hAnsi="Arial"/>
                <w:sz w:val="18"/>
                <w:szCs w:val="18"/>
                <w:color w:val="auto"/>
              </w:rPr>
              <w:t>Power Resources Ltd.</w:t>
            </w:r>
          </w:p>
        </w:tc>
        <w:tc>
          <w:tcPr>
            <w:tcW w:w="2600" w:type="dxa"/>
            <w:vAlign w:val="bottom"/>
          </w:tcPr>
          <w:p>
            <w:pPr>
              <w:ind w:left="200"/>
              <w:spacing w:after="0"/>
              <w:rPr>
                <w:sz w:val="20"/>
                <w:szCs w:val="20"/>
                <w:color w:val="auto"/>
              </w:rPr>
            </w:pPr>
            <w:r>
              <w:rPr>
                <w:rFonts w:ascii="Arial" w:cs="Arial" w:eastAsia="Arial" w:hAnsi="Arial"/>
                <w:sz w:val="18"/>
                <w:szCs w:val="18"/>
                <w:color w:val="auto"/>
                <w:w w:val="89"/>
              </w:rPr>
              <w:t>Macedonia, the Former Yugoslav</w:t>
            </w:r>
          </w:p>
        </w:tc>
        <w:tc>
          <w:tcPr>
            <w:tcW w:w="0" w:type="dxa"/>
            <w:vAlign w:val="bottom"/>
          </w:tcPr>
          <w:p>
            <w:pPr>
              <w:spacing w:after="0"/>
              <w:rPr>
                <w:sz w:val="1"/>
                <w:szCs w:val="1"/>
                <w:color w:val="auto"/>
              </w:rPr>
            </w:pPr>
          </w:p>
        </w:tc>
      </w:tr>
      <w:tr>
        <w:trPr>
          <w:trHeight w:val="122"/>
        </w:trPr>
        <w:tc>
          <w:tcPr>
            <w:tcW w:w="1280" w:type="dxa"/>
            <w:vAlign w:val="bottom"/>
            <w:vMerge w:val="continue"/>
          </w:tcPr>
          <w:p>
            <w:pPr>
              <w:spacing w:after="0"/>
              <w:rPr>
                <w:sz w:val="10"/>
                <w:szCs w:val="10"/>
                <w:color w:val="auto"/>
              </w:rPr>
            </w:pPr>
          </w:p>
        </w:tc>
        <w:tc>
          <w:tcPr>
            <w:tcW w:w="6480" w:type="dxa"/>
            <w:vAlign w:val="bottom"/>
            <w:vMerge w:val="continue"/>
          </w:tcPr>
          <w:p>
            <w:pPr>
              <w:spacing w:after="0"/>
              <w:rPr>
                <w:sz w:val="10"/>
                <w:szCs w:val="10"/>
                <w:color w:val="auto"/>
              </w:rPr>
            </w:pPr>
          </w:p>
        </w:tc>
        <w:tc>
          <w:tcPr>
            <w:tcW w:w="2600" w:type="dxa"/>
            <w:vAlign w:val="bottom"/>
            <w:vMerge w:val="restart"/>
          </w:tcPr>
          <w:p>
            <w:pPr>
              <w:ind w:left="200"/>
              <w:spacing w:after="0"/>
              <w:rPr>
                <w:sz w:val="20"/>
                <w:szCs w:val="20"/>
                <w:color w:val="auto"/>
              </w:rPr>
            </w:pPr>
            <w:r>
              <w:rPr>
                <w:rFonts w:ascii="Arial" w:cs="Arial" w:eastAsia="Arial" w:hAnsi="Arial"/>
                <w:sz w:val="18"/>
                <w:szCs w:val="18"/>
                <w:color w:val="auto"/>
              </w:rPr>
              <w:t>Republic of</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QuantumClean</w:t>
            </w:r>
          </w:p>
        </w:tc>
        <w:tc>
          <w:tcPr>
            <w:tcW w:w="260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Resind Industria e Comercio Ltda.</w:t>
            </w:r>
          </w:p>
        </w:tc>
        <w:tc>
          <w:tcPr>
            <w:tcW w:w="2600" w:type="dxa"/>
            <w:vAlign w:val="bottom"/>
          </w:tcPr>
          <w:p>
            <w:pPr>
              <w:ind w:left="2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w w:val="95"/>
              </w:rPr>
              <w:t>RFH Tantalum Smeltery Co., Ltd./Yanling Jincheng Tantalum &amp; Niobium Co.,</w:t>
            </w:r>
          </w:p>
        </w:tc>
        <w:tc>
          <w:tcPr>
            <w:tcW w:w="2600" w:type="dxa"/>
            <w:vAlign w:val="bottom"/>
            <w:vMerge w:val="restart"/>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22"/>
        </w:trPr>
        <w:tc>
          <w:tcPr>
            <w:tcW w:w="1280" w:type="dxa"/>
            <w:vAlign w:val="bottom"/>
            <w:vMerge w:val="continue"/>
          </w:tcPr>
          <w:p>
            <w:pPr>
              <w:spacing w:after="0"/>
              <w:rPr>
                <w:sz w:val="10"/>
                <w:szCs w:val="10"/>
                <w:color w:val="auto"/>
              </w:rPr>
            </w:pPr>
          </w:p>
        </w:tc>
        <w:tc>
          <w:tcPr>
            <w:tcW w:w="6480" w:type="dxa"/>
            <w:vAlign w:val="bottom"/>
            <w:vMerge w:val="restart"/>
          </w:tcPr>
          <w:p>
            <w:pPr>
              <w:ind w:left="600"/>
              <w:spacing w:after="0"/>
              <w:rPr>
                <w:sz w:val="20"/>
                <w:szCs w:val="20"/>
                <w:color w:val="auto"/>
              </w:rPr>
            </w:pPr>
            <w:r>
              <w:rPr>
                <w:rFonts w:ascii="Arial" w:cs="Arial" w:eastAsia="Arial" w:hAnsi="Arial"/>
                <w:sz w:val="18"/>
                <w:szCs w:val="18"/>
                <w:color w:val="auto"/>
              </w:rPr>
              <w:t>Ltd.</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6480" w:type="dxa"/>
            <w:vAlign w:val="bottom"/>
            <w:vMerge w:val="continue"/>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Solikamsk Magnesium Works OAO</w:t>
            </w:r>
          </w:p>
        </w:tc>
        <w:tc>
          <w:tcPr>
            <w:tcW w:w="2600" w:type="dxa"/>
            <w:vAlign w:val="bottom"/>
          </w:tcPr>
          <w:p>
            <w:pPr>
              <w:ind w:left="20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Taki Chemical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Telex Metals</w:t>
            </w:r>
          </w:p>
        </w:tc>
        <w:tc>
          <w:tcPr>
            <w:tcW w:w="260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Ulba Metallurgical Plant JSC</w:t>
            </w:r>
          </w:p>
        </w:tc>
        <w:tc>
          <w:tcPr>
            <w:tcW w:w="2600" w:type="dxa"/>
            <w:vAlign w:val="bottom"/>
          </w:tcPr>
          <w:p>
            <w:pPr>
              <w:ind w:left="20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Tantalum</w:t>
            </w:r>
          </w:p>
        </w:tc>
        <w:tc>
          <w:tcPr>
            <w:tcW w:w="6480" w:type="dxa"/>
            <w:vAlign w:val="bottom"/>
          </w:tcPr>
          <w:p>
            <w:pPr>
              <w:ind w:left="600"/>
              <w:spacing w:after="0"/>
              <w:rPr>
                <w:sz w:val="20"/>
                <w:szCs w:val="20"/>
                <w:color w:val="auto"/>
              </w:rPr>
            </w:pPr>
            <w:r>
              <w:rPr>
                <w:rFonts w:ascii="Arial" w:cs="Arial" w:eastAsia="Arial" w:hAnsi="Arial"/>
                <w:sz w:val="18"/>
                <w:szCs w:val="18"/>
                <w:color w:val="auto"/>
              </w:rPr>
              <w:t>XinXing HaoRong Electronic Material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Alpha</w:t>
            </w:r>
          </w:p>
        </w:tc>
        <w:tc>
          <w:tcPr>
            <w:tcW w:w="260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Chenzhou Yunxiang Mining and Metallurgy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Chifeng Dajingzi Tin Industry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China Tin Group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CV Dua Sekawan</w:t>
            </w:r>
          </w:p>
        </w:tc>
        <w:tc>
          <w:tcPr>
            <w:tcW w:w="2600" w:type="dxa"/>
            <w:vAlign w:val="bottom"/>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CV United Smelting</w:t>
            </w:r>
          </w:p>
        </w:tc>
        <w:tc>
          <w:tcPr>
            <w:tcW w:w="2600" w:type="dxa"/>
            <w:vAlign w:val="bottom"/>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CV Venus Inti Perkasa</w:t>
            </w:r>
          </w:p>
        </w:tc>
        <w:tc>
          <w:tcPr>
            <w:tcW w:w="2600" w:type="dxa"/>
            <w:vAlign w:val="bottom"/>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Dowa</w:t>
            </w:r>
          </w:p>
        </w:tc>
        <w:tc>
          <w:tcPr>
            <w:tcW w:w="2600" w:type="dxa"/>
            <w:vAlign w:val="bottom"/>
          </w:tcPr>
          <w:p>
            <w:pPr>
              <w:ind w:left="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EM Vinto</w:t>
            </w:r>
          </w:p>
        </w:tc>
        <w:tc>
          <w:tcPr>
            <w:tcW w:w="2600" w:type="dxa"/>
            <w:vAlign w:val="bottom"/>
          </w:tcPr>
          <w:p>
            <w:pPr>
              <w:ind w:left="200"/>
              <w:spacing w:after="0"/>
              <w:rPr>
                <w:sz w:val="20"/>
                <w:szCs w:val="20"/>
                <w:color w:val="auto"/>
              </w:rPr>
            </w:pPr>
            <w:r>
              <w:rPr>
                <w:rFonts w:ascii="Arial" w:cs="Arial" w:eastAsia="Arial" w:hAnsi="Arial"/>
                <w:sz w:val="18"/>
                <w:szCs w:val="18"/>
                <w:color w:val="auto"/>
              </w:rPr>
              <w:t>Bolivia (Plurinational State of)</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Fenix Metals</w:t>
            </w:r>
          </w:p>
        </w:tc>
        <w:tc>
          <w:tcPr>
            <w:tcW w:w="2600" w:type="dxa"/>
            <w:vAlign w:val="bottom"/>
          </w:tcPr>
          <w:p>
            <w:pPr>
              <w:ind w:left="20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Gejiu Kai Meng Industry and Trade LLC</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Gejiu Non-Ferrous Metal Processing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Gejiu Yunxin Nonferrous Electrolysis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480" w:type="dxa"/>
            <w:vAlign w:val="bottom"/>
          </w:tcPr>
          <w:p>
            <w:pPr>
              <w:ind w:left="600"/>
              <w:spacing w:after="0"/>
              <w:rPr>
                <w:sz w:val="20"/>
                <w:szCs w:val="20"/>
                <w:color w:val="auto"/>
              </w:rPr>
            </w:pPr>
            <w:r>
              <w:rPr>
                <w:rFonts w:ascii="Arial" w:cs="Arial" w:eastAsia="Arial" w:hAnsi="Arial"/>
                <w:sz w:val="18"/>
                <w:szCs w:val="18"/>
                <w:color w:val="auto"/>
              </w:rPr>
              <w:t>Gejiu Zili Mining And Metallurgy Co., Ltd.</w:t>
            </w:r>
          </w:p>
        </w:tc>
        <w:tc>
          <w:tcPr>
            <w:tcW w:w="260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0360"/>
          </w:cols>
          <w:pgMar w:left="440" w:top="274" w:right="10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Guangdong Hanhe Non-Ferrous Metal Co., Ltd.</w:t>
            </w:r>
          </w:p>
        </w:tc>
        <w:tc>
          <w:tcPr>
            <w:tcW w:w="3420" w:type="dxa"/>
            <w:vAlign w:val="bottom"/>
          </w:tcPr>
          <w:p>
            <w:pPr>
              <w:ind w:left="1200"/>
              <w:spacing w:after="0"/>
              <w:rPr>
                <w:sz w:val="20"/>
                <w:szCs w:val="20"/>
                <w:color w:val="auto"/>
              </w:rPr>
            </w:pPr>
            <w:r>
              <w:rPr>
                <w:rFonts w:ascii="Arial" w:cs="Arial" w:eastAsia="Arial" w:hAnsi="Arial"/>
                <w:sz w:val="18"/>
                <w:szCs w:val="18"/>
                <w:color w:val="auto"/>
              </w:rPr>
              <w:t>China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Guanyang Guida Nonferrous Metal Smelting Plant</w:t>
            </w:r>
          </w:p>
        </w:tc>
        <w:tc>
          <w:tcPr>
            <w:tcW w:w="3420" w:type="dxa"/>
            <w:vAlign w:val="bottom"/>
          </w:tcPr>
          <w:p>
            <w:pPr>
              <w:ind w:left="1200"/>
              <w:spacing w:after="0"/>
              <w:rPr>
                <w:sz w:val="20"/>
                <w:szCs w:val="20"/>
                <w:color w:val="auto"/>
              </w:rPr>
            </w:pPr>
            <w:r>
              <w:rPr>
                <w:rFonts w:ascii="Arial" w:cs="Arial" w:eastAsia="Arial" w:hAnsi="Arial"/>
                <w:sz w:val="18"/>
                <w:szCs w:val="18"/>
                <w:color w:val="auto"/>
              </w:rPr>
              <w:t>China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HuiChang Hill Tin Industry Co., Ltd.</w:t>
            </w:r>
          </w:p>
        </w:tc>
        <w:tc>
          <w:tcPr>
            <w:tcW w:w="3420" w:type="dxa"/>
            <w:vAlign w:val="bottom"/>
          </w:tcPr>
          <w:p>
            <w:pPr>
              <w:ind w:left="1200"/>
              <w:spacing w:after="0"/>
              <w:rPr>
                <w:sz w:val="20"/>
                <w:szCs w:val="20"/>
                <w:color w:val="auto"/>
              </w:rPr>
            </w:pPr>
            <w:r>
              <w:rPr>
                <w:rFonts w:ascii="Arial" w:cs="Arial" w:eastAsia="Arial" w:hAnsi="Arial"/>
                <w:sz w:val="18"/>
                <w:szCs w:val="18"/>
                <w:color w:val="auto"/>
              </w:rPr>
              <w:t>China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Huichang Jinshunda Tin Co., Ltd.</w:t>
            </w:r>
          </w:p>
        </w:tc>
        <w:tc>
          <w:tcPr>
            <w:tcW w:w="3420" w:type="dxa"/>
            <w:vAlign w:val="bottom"/>
          </w:tcPr>
          <w:p>
            <w:pPr>
              <w:ind w:left="1200"/>
              <w:spacing w:after="0"/>
              <w:rPr>
                <w:sz w:val="20"/>
                <w:szCs w:val="20"/>
                <w:color w:val="auto"/>
              </w:rPr>
            </w:pPr>
            <w:r>
              <w:rPr>
                <w:rFonts w:ascii="Arial" w:cs="Arial" w:eastAsia="Arial" w:hAnsi="Arial"/>
                <w:sz w:val="18"/>
                <w:szCs w:val="18"/>
                <w:color w:val="auto"/>
              </w:rPr>
              <w:t>China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Jiangxi New Nanshan Technology Ltd.</w:t>
            </w:r>
          </w:p>
        </w:tc>
        <w:tc>
          <w:tcPr>
            <w:tcW w:w="3420" w:type="dxa"/>
            <w:vAlign w:val="bottom"/>
          </w:tcPr>
          <w:p>
            <w:pPr>
              <w:ind w:left="1200"/>
              <w:spacing w:after="0"/>
              <w:rPr>
                <w:sz w:val="20"/>
                <w:szCs w:val="20"/>
                <w:color w:val="auto"/>
              </w:rPr>
            </w:pPr>
            <w:r>
              <w:rPr>
                <w:rFonts w:ascii="Arial" w:cs="Arial" w:eastAsia="Arial" w:hAnsi="Arial"/>
                <w:sz w:val="18"/>
                <w:szCs w:val="18"/>
                <w:color w:val="auto"/>
              </w:rPr>
              <w:t>China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Magnu’s Minerais Metais e Ligas Ltda.</w:t>
            </w:r>
          </w:p>
        </w:tc>
        <w:tc>
          <w:tcPr>
            <w:tcW w:w="3420" w:type="dxa"/>
            <w:vAlign w:val="bottom"/>
          </w:tcPr>
          <w:p>
            <w:pPr>
              <w:ind w:left="1200"/>
              <w:spacing w:after="0"/>
              <w:rPr>
                <w:sz w:val="20"/>
                <w:szCs w:val="20"/>
                <w:color w:val="auto"/>
              </w:rPr>
            </w:pPr>
            <w:r>
              <w:rPr>
                <w:rFonts w:ascii="Arial" w:cs="Arial" w:eastAsia="Arial" w:hAnsi="Arial"/>
                <w:sz w:val="18"/>
                <w:szCs w:val="18"/>
                <w:color w:val="auto"/>
              </w:rPr>
              <w:t>Brazil</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Malaysia Smelting Corporation (MSC)</w:t>
            </w:r>
          </w:p>
        </w:tc>
        <w:tc>
          <w:tcPr>
            <w:tcW w:w="3420" w:type="dxa"/>
            <w:vAlign w:val="bottom"/>
          </w:tcPr>
          <w:p>
            <w:pPr>
              <w:ind w:left="1200"/>
              <w:spacing w:after="0"/>
              <w:rPr>
                <w:sz w:val="20"/>
                <w:szCs w:val="20"/>
                <w:color w:val="auto"/>
              </w:rPr>
            </w:pPr>
            <w:r>
              <w:rPr>
                <w:rFonts w:ascii="Arial" w:cs="Arial" w:eastAsia="Arial" w:hAnsi="Arial"/>
                <w:sz w:val="18"/>
                <w:szCs w:val="18"/>
                <w:color w:val="auto"/>
              </w:rPr>
              <w:t>Malaysia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Melt Metais e Ligas S.A.</w:t>
            </w:r>
          </w:p>
        </w:tc>
        <w:tc>
          <w:tcPr>
            <w:tcW w:w="3420" w:type="dxa"/>
            <w:vAlign w:val="bottom"/>
          </w:tcPr>
          <w:p>
            <w:pPr>
              <w:ind w:left="1200"/>
              <w:spacing w:after="0"/>
              <w:rPr>
                <w:sz w:val="20"/>
                <w:szCs w:val="20"/>
                <w:color w:val="auto"/>
              </w:rPr>
            </w:pPr>
            <w:r>
              <w:rPr>
                <w:rFonts w:ascii="Arial" w:cs="Arial" w:eastAsia="Arial" w:hAnsi="Arial"/>
                <w:sz w:val="18"/>
                <w:szCs w:val="18"/>
                <w:color w:val="auto"/>
              </w:rPr>
              <w:t>Brazil</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Metallic Resources, Inc.</w:t>
            </w:r>
          </w:p>
        </w:tc>
        <w:tc>
          <w:tcPr>
            <w:tcW w:w="3420" w:type="dxa"/>
            <w:vAlign w:val="bottom"/>
          </w:tcPr>
          <w:p>
            <w:pPr>
              <w:ind w:left="1200"/>
              <w:spacing w:after="0"/>
              <w:rPr>
                <w:sz w:val="20"/>
                <w:szCs w:val="20"/>
                <w:color w:val="auto"/>
              </w:rPr>
            </w:pPr>
            <w:r>
              <w:rPr>
                <w:rFonts w:ascii="Arial" w:cs="Arial" w:eastAsia="Arial" w:hAnsi="Arial"/>
                <w:sz w:val="18"/>
                <w:szCs w:val="18"/>
                <w:color w:val="auto"/>
              </w:rPr>
              <w:t>United States of America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Metallo Belgium N.V.</w:t>
            </w:r>
          </w:p>
        </w:tc>
        <w:tc>
          <w:tcPr>
            <w:tcW w:w="3420" w:type="dxa"/>
            <w:vAlign w:val="bottom"/>
          </w:tcPr>
          <w:p>
            <w:pPr>
              <w:ind w:left="1200"/>
              <w:spacing w:after="0"/>
              <w:rPr>
                <w:sz w:val="20"/>
                <w:szCs w:val="20"/>
                <w:color w:val="auto"/>
              </w:rPr>
            </w:pPr>
            <w:r>
              <w:rPr>
                <w:rFonts w:ascii="Arial" w:cs="Arial" w:eastAsia="Arial" w:hAnsi="Arial"/>
                <w:sz w:val="18"/>
                <w:szCs w:val="18"/>
                <w:color w:val="auto"/>
              </w:rPr>
              <w:t>Belgium</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Metallo Spain S.L.U.</w:t>
            </w:r>
          </w:p>
        </w:tc>
        <w:tc>
          <w:tcPr>
            <w:tcW w:w="3420" w:type="dxa"/>
            <w:vAlign w:val="bottom"/>
          </w:tcPr>
          <w:p>
            <w:pPr>
              <w:ind w:left="1200"/>
              <w:spacing w:after="0"/>
              <w:rPr>
                <w:sz w:val="20"/>
                <w:szCs w:val="20"/>
                <w:color w:val="auto"/>
              </w:rPr>
            </w:pPr>
            <w:r>
              <w:rPr>
                <w:rFonts w:ascii="Arial" w:cs="Arial" w:eastAsia="Arial" w:hAnsi="Arial"/>
                <w:sz w:val="18"/>
                <w:szCs w:val="18"/>
                <w:color w:val="auto"/>
              </w:rPr>
              <w:t>Spain</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Mineracao Taboca S.A.</w:t>
            </w:r>
          </w:p>
        </w:tc>
        <w:tc>
          <w:tcPr>
            <w:tcW w:w="3420" w:type="dxa"/>
            <w:vAlign w:val="bottom"/>
          </w:tcPr>
          <w:p>
            <w:pPr>
              <w:ind w:left="1200"/>
              <w:spacing w:after="0"/>
              <w:rPr>
                <w:sz w:val="20"/>
                <w:szCs w:val="20"/>
                <w:color w:val="auto"/>
              </w:rPr>
            </w:pPr>
            <w:r>
              <w:rPr>
                <w:rFonts w:ascii="Arial" w:cs="Arial" w:eastAsia="Arial" w:hAnsi="Arial"/>
                <w:sz w:val="18"/>
                <w:szCs w:val="18"/>
                <w:color w:val="auto"/>
              </w:rPr>
              <w:t>Brazil</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Minsur</w:t>
            </w:r>
          </w:p>
        </w:tc>
        <w:tc>
          <w:tcPr>
            <w:tcW w:w="3420" w:type="dxa"/>
            <w:vAlign w:val="bottom"/>
          </w:tcPr>
          <w:p>
            <w:pPr>
              <w:ind w:left="1200"/>
              <w:spacing w:after="0"/>
              <w:rPr>
                <w:sz w:val="20"/>
                <w:szCs w:val="20"/>
                <w:color w:val="auto"/>
              </w:rPr>
            </w:pPr>
            <w:r>
              <w:rPr>
                <w:rFonts w:ascii="Arial" w:cs="Arial" w:eastAsia="Arial" w:hAnsi="Arial"/>
                <w:sz w:val="18"/>
                <w:szCs w:val="18"/>
                <w:color w:val="auto"/>
              </w:rPr>
              <w:t>Peru</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Mitsubishi Materials Corporation</w:t>
            </w:r>
          </w:p>
        </w:tc>
        <w:tc>
          <w:tcPr>
            <w:tcW w:w="3420" w:type="dxa"/>
            <w:vAlign w:val="bottom"/>
          </w:tcPr>
          <w:p>
            <w:pPr>
              <w:ind w:left="1200"/>
              <w:spacing w:after="0"/>
              <w:rPr>
                <w:sz w:val="20"/>
                <w:szCs w:val="20"/>
                <w:color w:val="auto"/>
              </w:rPr>
            </w:pPr>
            <w:r>
              <w:rPr>
                <w:rFonts w:ascii="Arial" w:cs="Arial" w:eastAsia="Arial" w:hAnsi="Arial"/>
                <w:sz w:val="18"/>
                <w:szCs w:val="18"/>
                <w:color w:val="auto"/>
              </w:rPr>
              <w:t>Japan</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O.M. Manufacturing (Thailand) Co., Ltd.</w:t>
            </w:r>
          </w:p>
        </w:tc>
        <w:tc>
          <w:tcPr>
            <w:tcW w:w="3420" w:type="dxa"/>
            <w:vAlign w:val="bottom"/>
          </w:tcPr>
          <w:p>
            <w:pPr>
              <w:ind w:left="1200"/>
              <w:spacing w:after="0"/>
              <w:rPr>
                <w:sz w:val="20"/>
                <w:szCs w:val="20"/>
                <w:color w:val="auto"/>
              </w:rPr>
            </w:pPr>
            <w:r>
              <w:rPr>
                <w:rFonts w:ascii="Arial" w:cs="Arial" w:eastAsia="Arial" w:hAnsi="Arial"/>
                <w:sz w:val="18"/>
                <w:szCs w:val="18"/>
                <w:color w:val="auto"/>
              </w:rPr>
              <w:t>Thailand</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O.M. Manufacturing Philippines, Inc.</w:t>
            </w:r>
          </w:p>
        </w:tc>
        <w:tc>
          <w:tcPr>
            <w:tcW w:w="3420" w:type="dxa"/>
            <w:vAlign w:val="bottom"/>
          </w:tcPr>
          <w:p>
            <w:pPr>
              <w:ind w:left="1200"/>
              <w:spacing w:after="0"/>
              <w:rPr>
                <w:sz w:val="20"/>
                <w:szCs w:val="20"/>
                <w:color w:val="auto"/>
              </w:rPr>
            </w:pPr>
            <w:r>
              <w:rPr>
                <w:rFonts w:ascii="Arial" w:cs="Arial" w:eastAsia="Arial" w:hAnsi="Arial"/>
                <w:sz w:val="18"/>
                <w:szCs w:val="18"/>
                <w:color w:val="auto"/>
              </w:rPr>
              <w:t>Philippines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Operaciones Metalurgicas S.A.</w:t>
            </w:r>
          </w:p>
        </w:tc>
        <w:tc>
          <w:tcPr>
            <w:tcW w:w="3420" w:type="dxa"/>
            <w:vAlign w:val="bottom"/>
          </w:tcPr>
          <w:p>
            <w:pPr>
              <w:ind w:left="1200"/>
              <w:spacing w:after="0"/>
              <w:rPr>
                <w:sz w:val="20"/>
                <w:szCs w:val="20"/>
                <w:color w:val="auto"/>
              </w:rPr>
            </w:pPr>
            <w:r>
              <w:rPr>
                <w:rFonts w:ascii="Arial" w:cs="Arial" w:eastAsia="Arial" w:hAnsi="Arial"/>
                <w:sz w:val="18"/>
                <w:szCs w:val="18"/>
                <w:color w:val="auto"/>
                <w:w w:val="93"/>
              </w:rPr>
              <w:t>Bolivia (Plurinational State of)</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Aries Kencana Sejahtera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Artha Cipta Langgeng</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ATD Makmur Mandiri Jaya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Babel Inti Perkasa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Bangka Prima Tin</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Bangka Serumpun</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Bangka Tin Industry</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Belitung Industri Sejahtera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Bukit Timah</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DS Jaya Abadi</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Menara Cipta Mulia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Mitra Stania Prima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Panca Mega Persada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Prima Timah Utama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Rajehan Ariq</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Refined Bangka Tin</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Sariwiguna Binasentosa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Stanindo Inti Perkasa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Sukses Inti Makmur</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Timah Tbk Kundur</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Timah Tbk Mentok</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Tinindo Inter Nusa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PT Tommy Utama</w:t>
            </w:r>
          </w:p>
        </w:tc>
        <w:tc>
          <w:tcPr>
            <w:tcW w:w="3420" w:type="dxa"/>
            <w:vAlign w:val="bottom"/>
          </w:tcPr>
          <w:p>
            <w:pPr>
              <w:ind w:left="1200"/>
              <w:spacing w:after="0"/>
              <w:rPr>
                <w:sz w:val="20"/>
                <w:szCs w:val="20"/>
                <w:color w:val="auto"/>
              </w:rPr>
            </w:pPr>
            <w:r>
              <w:rPr>
                <w:rFonts w:ascii="Arial" w:cs="Arial" w:eastAsia="Arial" w:hAnsi="Arial"/>
                <w:sz w:val="18"/>
                <w:szCs w:val="18"/>
                <w:color w:val="auto"/>
              </w:rPr>
              <w:t>Indonesia</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Resind Industria e Comercio Ltda.</w:t>
            </w:r>
          </w:p>
        </w:tc>
        <w:tc>
          <w:tcPr>
            <w:tcW w:w="3420" w:type="dxa"/>
            <w:vAlign w:val="bottom"/>
          </w:tcPr>
          <w:p>
            <w:pPr>
              <w:ind w:left="1200"/>
              <w:spacing w:after="0"/>
              <w:rPr>
                <w:sz w:val="20"/>
                <w:szCs w:val="20"/>
                <w:color w:val="auto"/>
              </w:rPr>
            </w:pPr>
            <w:r>
              <w:rPr>
                <w:rFonts w:ascii="Arial" w:cs="Arial" w:eastAsia="Arial" w:hAnsi="Arial"/>
                <w:sz w:val="18"/>
                <w:szCs w:val="18"/>
                <w:color w:val="auto"/>
              </w:rPr>
              <w:t>Brazil</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Rui Da Hung</w:t>
            </w:r>
          </w:p>
        </w:tc>
        <w:tc>
          <w:tcPr>
            <w:tcW w:w="3420" w:type="dxa"/>
            <w:vAlign w:val="bottom"/>
          </w:tcPr>
          <w:p>
            <w:pPr>
              <w:ind w:left="1200"/>
              <w:spacing w:after="0"/>
              <w:rPr>
                <w:sz w:val="20"/>
                <w:szCs w:val="20"/>
                <w:color w:val="auto"/>
              </w:rPr>
            </w:pPr>
            <w:r>
              <w:rPr>
                <w:rFonts w:ascii="Arial" w:cs="Arial" w:eastAsia="Arial" w:hAnsi="Arial"/>
                <w:sz w:val="18"/>
                <w:szCs w:val="18"/>
                <w:color w:val="auto"/>
              </w:rPr>
              <w:t>Taiwan</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Soft Metais Ltda.</w:t>
            </w:r>
          </w:p>
        </w:tc>
        <w:tc>
          <w:tcPr>
            <w:tcW w:w="3420" w:type="dxa"/>
            <w:vAlign w:val="bottom"/>
          </w:tcPr>
          <w:p>
            <w:pPr>
              <w:ind w:left="1200"/>
              <w:spacing w:after="0"/>
              <w:rPr>
                <w:sz w:val="20"/>
                <w:szCs w:val="20"/>
                <w:color w:val="auto"/>
              </w:rPr>
            </w:pPr>
            <w:r>
              <w:rPr>
                <w:rFonts w:ascii="Arial" w:cs="Arial" w:eastAsia="Arial" w:hAnsi="Arial"/>
                <w:sz w:val="18"/>
                <w:szCs w:val="18"/>
                <w:color w:val="auto"/>
              </w:rPr>
              <w:t>Brazil</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5700" w:type="dxa"/>
            <w:vAlign w:val="bottom"/>
          </w:tcPr>
          <w:p>
            <w:pPr>
              <w:ind w:left="820"/>
              <w:spacing w:after="0"/>
              <w:rPr>
                <w:sz w:val="20"/>
                <w:szCs w:val="20"/>
                <w:color w:val="auto"/>
              </w:rPr>
            </w:pPr>
            <w:r>
              <w:rPr>
                <w:rFonts w:ascii="Arial" w:cs="Arial" w:eastAsia="Arial" w:hAnsi="Arial"/>
                <w:sz w:val="18"/>
                <w:szCs w:val="18"/>
                <w:color w:val="auto"/>
              </w:rPr>
              <w:t>Thai Nguyen Mining and Metallurgy Co., Ltd.</w:t>
            </w:r>
          </w:p>
        </w:tc>
        <w:tc>
          <w:tcPr>
            <w:tcW w:w="3420" w:type="dxa"/>
            <w:vAlign w:val="bottom"/>
          </w:tcPr>
          <w:p>
            <w:pPr>
              <w:ind w:left="1200"/>
              <w:spacing w:after="0"/>
              <w:rPr>
                <w:sz w:val="20"/>
                <w:szCs w:val="20"/>
                <w:color w:val="auto"/>
              </w:rPr>
            </w:pPr>
            <w:r>
              <w:rPr>
                <w:rFonts w:ascii="Arial" w:cs="Arial" w:eastAsia="Arial" w:hAnsi="Arial"/>
                <w:sz w:val="18"/>
                <w:szCs w:val="18"/>
                <w:color w:val="auto"/>
              </w:rPr>
              <w:t>Vietnam</w:t>
            </w:r>
          </w:p>
        </w:tc>
      </w:tr>
    </w:tbl>
    <w:p>
      <w:pPr>
        <w:sectPr>
          <w:pgSz w:w="11900" w:h="16838" w:orient="portrait"/>
          <w:cols w:equalWidth="0" w:num="1">
            <w:col w:w="10180"/>
          </w:cols>
          <w:pgMar w:left="440" w:top="274" w:right="127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600"/>
              <w:spacing w:after="0"/>
              <w:rPr>
                <w:sz w:val="20"/>
                <w:szCs w:val="20"/>
                <w:color w:val="auto"/>
              </w:rPr>
            </w:pPr>
            <w:r>
              <w:rPr>
                <w:rFonts w:ascii="Arial" w:cs="Arial" w:eastAsia="Arial" w:hAnsi="Arial"/>
                <w:sz w:val="18"/>
                <w:szCs w:val="18"/>
                <w:color w:val="auto"/>
              </w:rPr>
              <w:t>Thaisarco</w:t>
            </w:r>
          </w:p>
        </w:tc>
        <w:tc>
          <w:tcPr>
            <w:tcW w:w="2480" w:type="dxa"/>
            <w:vAlign w:val="bottom"/>
          </w:tcPr>
          <w:p>
            <w:pPr>
              <w:ind w:left="660"/>
              <w:spacing w:after="0"/>
              <w:rPr>
                <w:sz w:val="20"/>
                <w:szCs w:val="20"/>
                <w:color w:val="auto"/>
              </w:rPr>
            </w:pPr>
            <w:r>
              <w:rPr>
                <w:rFonts w:ascii="Arial" w:cs="Arial" w:eastAsia="Arial" w:hAnsi="Arial"/>
                <w:sz w:val="18"/>
                <w:szCs w:val="18"/>
                <w:color w:val="auto"/>
              </w:rPr>
              <w:t>Thailand</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600"/>
              <w:spacing w:after="0"/>
              <w:rPr>
                <w:sz w:val="20"/>
                <w:szCs w:val="20"/>
                <w:color w:val="auto"/>
              </w:rPr>
            </w:pPr>
            <w:r>
              <w:rPr>
                <w:rFonts w:ascii="Arial" w:cs="Arial" w:eastAsia="Arial" w:hAnsi="Arial"/>
                <w:sz w:val="18"/>
                <w:szCs w:val="18"/>
                <w:color w:val="auto"/>
              </w:rPr>
              <w:t>Tin Technology &amp; Refining</w:t>
            </w:r>
          </w:p>
        </w:tc>
        <w:tc>
          <w:tcPr>
            <w:tcW w:w="2480" w:type="dxa"/>
            <w:vAlign w:val="bottom"/>
          </w:tcPr>
          <w:p>
            <w:pPr>
              <w:ind w:left="6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600"/>
              <w:spacing w:after="0"/>
              <w:rPr>
                <w:sz w:val="20"/>
                <w:szCs w:val="20"/>
                <w:color w:val="auto"/>
              </w:rPr>
            </w:pPr>
            <w:r>
              <w:rPr>
                <w:rFonts w:ascii="Arial" w:cs="Arial" w:eastAsia="Arial" w:hAnsi="Arial"/>
                <w:sz w:val="18"/>
                <w:szCs w:val="18"/>
                <w:color w:val="auto"/>
              </w:rPr>
              <w:t>White Solder Metalurgia e Mineracao Ltda.</w:t>
            </w:r>
          </w:p>
        </w:tc>
        <w:tc>
          <w:tcPr>
            <w:tcW w:w="2480" w:type="dxa"/>
            <w:vAlign w:val="bottom"/>
          </w:tcPr>
          <w:p>
            <w:pPr>
              <w:ind w:left="660"/>
              <w:spacing w:after="0"/>
              <w:rPr>
                <w:sz w:val="20"/>
                <w:szCs w:val="20"/>
                <w:color w:val="auto"/>
              </w:rPr>
            </w:pPr>
            <w:r>
              <w:rPr>
                <w:rFonts w:ascii="Arial" w:cs="Arial" w:eastAsia="Arial" w:hAnsi="Arial"/>
                <w:sz w:val="18"/>
                <w:szCs w:val="18"/>
                <w:color w:val="auto"/>
              </w:rPr>
              <w:t>Brazil</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600"/>
              <w:spacing w:after="0"/>
              <w:rPr>
                <w:sz w:val="20"/>
                <w:szCs w:val="20"/>
                <w:color w:val="auto"/>
              </w:rPr>
            </w:pPr>
            <w:r>
              <w:rPr>
                <w:rFonts w:ascii="Arial" w:cs="Arial" w:eastAsia="Arial" w:hAnsi="Arial"/>
                <w:sz w:val="18"/>
                <w:szCs w:val="18"/>
                <w:color w:val="auto"/>
              </w:rPr>
              <w:t>Yunnan Chengfeng Non-ferrous Metals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Tin</w:t>
            </w:r>
          </w:p>
        </w:tc>
        <w:tc>
          <w:tcPr>
            <w:tcW w:w="6020" w:type="dxa"/>
            <w:vAlign w:val="bottom"/>
          </w:tcPr>
          <w:p>
            <w:pPr>
              <w:ind w:left="600"/>
              <w:spacing w:after="0"/>
              <w:rPr>
                <w:sz w:val="20"/>
                <w:szCs w:val="20"/>
                <w:color w:val="auto"/>
              </w:rPr>
            </w:pPr>
            <w:r>
              <w:rPr>
                <w:rFonts w:ascii="Arial" w:cs="Arial" w:eastAsia="Arial" w:hAnsi="Arial"/>
                <w:sz w:val="18"/>
                <w:szCs w:val="18"/>
                <w:color w:val="auto"/>
              </w:rPr>
              <w:t>Yunnan Tin Company Limited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A.L.M.T. Corp.</w:t>
            </w:r>
          </w:p>
        </w:tc>
        <w:tc>
          <w:tcPr>
            <w:tcW w:w="248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ACL Metais Eireli</w:t>
            </w:r>
          </w:p>
        </w:tc>
        <w:tc>
          <w:tcPr>
            <w:tcW w:w="2480" w:type="dxa"/>
            <w:vAlign w:val="bottom"/>
          </w:tcPr>
          <w:p>
            <w:pPr>
              <w:ind w:left="660"/>
              <w:spacing w:after="0"/>
              <w:rPr>
                <w:sz w:val="20"/>
                <w:szCs w:val="20"/>
                <w:color w:val="auto"/>
              </w:rPr>
            </w:pPr>
            <w:r>
              <w:rPr>
                <w:rFonts w:ascii="Arial" w:cs="Arial" w:eastAsia="Arial" w:hAnsi="Arial"/>
                <w:sz w:val="18"/>
                <w:szCs w:val="18"/>
                <w:color w:val="auto"/>
              </w:rPr>
              <w:t>Brazil</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Asia Tungsten Products Vietnam Ltd</w:t>
            </w:r>
          </w:p>
        </w:tc>
        <w:tc>
          <w:tcPr>
            <w:tcW w:w="2480" w:type="dxa"/>
            <w:vAlign w:val="bottom"/>
          </w:tcPr>
          <w:p>
            <w:pPr>
              <w:ind w:left="660"/>
              <w:spacing w:after="0"/>
              <w:rPr>
                <w:sz w:val="20"/>
                <w:szCs w:val="20"/>
                <w:color w:val="auto"/>
              </w:rPr>
            </w:pPr>
            <w:r>
              <w:rPr>
                <w:rFonts w:ascii="Arial" w:cs="Arial" w:eastAsia="Arial" w:hAnsi="Arial"/>
                <w:sz w:val="18"/>
                <w:szCs w:val="18"/>
                <w:color w:val="auto"/>
              </w:rPr>
              <w:t>Vietnam</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Chenzhou Diamond Tungsten Products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Chongyi Zhangyuan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Fujian Jinxin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Ganzhou Haichuang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Ganzhou Huaxing Tungsten Products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Ganzhou Jiangwu Ferrotungsten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Ganzhou Seadragon W &amp; Mo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Global Tungsten &amp; Powders Corp.</w:t>
            </w:r>
          </w:p>
        </w:tc>
        <w:tc>
          <w:tcPr>
            <w:tcW w:w="2480" w:type="dxa"/>
            <w:vAlign w:val="bottom"/>
          </w:tcPr>
          <w:p>
            <w:pPr>
              <w:ind w:left="6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Guangdong Xianglu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H.C. Starck Smelting GmbH &amp; Co. KG</w:t>
            </w:r>
          </w:p>
        </w:tc>
        <w:tc>
          <w:tcPr>
            <w:tcW w:w="248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H.C. Starck Tungsten GmbH</w:t>
            </w:r>
          </w:p>
        </w:tc>
        <w:tc>
          <w:tcPr>
            <w:tcW w:w="248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Hunan Chenzhou Mining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Hunan Chuangda Vanadium Tungsten Co., Ltd. Wuji</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Hunan Chunchang Nonferrous Metals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Hydrometallurg, JSC</w:t>
            </w:r>
          </w:p>
        </w:tc>
        <w:tc>
          <w:tcPr>
            <w:tcW w:w="2480" w:type="dxa"/>
            <w:vAlign w:val="bottom"/>
          </w:tcPr>
          <w:p>
            <w:pPr>
              <w:ind w:left="660"/>
              <w:spacing w:after="0"/>
              <w:rPr>
                <w:sz w:val="20"/>
                <w:szCs w:val="20"/>
                <w:color w:val="auto"/>
              </w:rPr>
            </w:pPr>
            <w:r>
              <w:rPr>
                <w:rFonts w:ascii="Arial" w:cs="Arial" w:eastAsia="Arial" w:hAnsi="Arial"/>
                <w:sz w:val="18"/>
                <w:szCs w:val="18"/>
                <w:color w:val="auto"/>
              </w:rPr>
              <w:t>Russian Federation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Japan New Metals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Jiangwu H.C. Starck Tungsten Products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Jiangxi Gan Bei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Jiangxi Tonggu Non-ferrous Metallurgical &amp; Chemical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Jiangxi Xinsheng Tungsten Industry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Jiangxi Yaosheng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Kennametal Fallon</w:t>
            </w:r>
          </w:p>
        </w:tc>
        <w:tc>
          <w:tcPr>
            <w:tcW w:w="2480" w:type="dxa"/>
            <w:vAlign w:val="bottom"/>
          </w:tcPr>
          <w:p>
            <w:pPr>
              <w:ind w:left="6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Kennametal Huntsville</w:t>
            </w:r>
          </w:p>
        </w:tc>
        <w:tc>
          <w:tcPr>
            <w:tcW w:w="2480" w:type="dxa"/>
            <w:vAlign w:val="bottom"/>
          </w:tcPr>
          <w:p>
            <w:pPr>
              <w:ind w:left="6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KGETS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Korea, Republic of</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Malipo Haiyu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Masan Tungsten Chemical LLC (MTC)</w:t>
            </w:r>
          </w:p>
        </w:tc>
        <w:tc>
          <w:tcPr>
            <w:tcW w:w="2480" w:type="dxa"/>
            <w:vAlign w:val="bottom"/>
          </w:tcPr>
          <w:p>
            <w:pPr>
              <w:ind w:left="660"/>
              <w:spacing w:after="0"/>
              <w:rPr>
                <w:sz w:val="20"/>
                <w:szCs w:val="20"/>
                <w:color w:val="auto"/>
              </w:rPr>
            </w:pPr>
            <w:r>
              <w:rPr>
                <w:rFonts w:ascii="Arial" w:cs="Arial" w:eastAsia="Arial" w:hAnsi="Arial"/>
                <w:sz w:val="18"/>
                <w:szCs w:val="18"/>
                <w:color w:val="auto"/>
              </w:rPr>
              <w:t>Vietnam</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Moliren Ltd.</w:t>
            </w:r>
          </w:p>
        </w:tc>
        <w:tc>
          <w:tcPr>
            <w:tcW w:w="2480" w:type="dxa"/>
            <w:vAlign w:val="bottom"/>
          </w:tcPr>
          <w:p>
            <w:pPr>
              <w:ind w:left="660"/>
              <w:spacing w:after="0"/>
              <w:rPr>
                <w:sz w:val="20"/>
                <w:szCs w:val="20"/>
                <w:color w:val="auto"/>
              </w:rPr>
            </w:pPr>
            <w:r>
              <w:rPr>
                <w:rFonts w:ascii="Arial" w:cs="Arial" w:eastAsia="Arial" w:hAnsi="Arial"/>
                <w:sz w:val="18"/>
                <w:szCs w:val="18"/>
                <w:color w:val="auto"/>
              </w:rPr>
              <w:t>Russian Federation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Niagara Refining LLC</w:t>
            </w:r>
          </w:p>
        </w:tc>
        <w:tc>
          <w:tcPr>
            <w:tcW w:w="2480" w:type="dxa"/>
            <w:vAlign w:val="bottom"/>
          </w:tcPr>
          <w:p>
            <w:pPr>
              <w:ind w:left="66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Philippine Chuangxin Industrial Co., Inc.</w:t>
            </w:r>
          </w:p>
        </w:tc>
        <w:tc>
          <w:tcPr>
            <w:tcW w:w="2480" w:type="dxa"/>
            <w:vAlign w:val="bottom"/>
          </w:tcPr>
          <w:p>
            <w:pPr>
              <w:ind w:left="660"/>
              <w:spacing w:after="0"/>
              <w:rPr>
                <w:sz w:val="20"/>
                <w:szCs w:val="20"/>
                <w:color w:val="auto"/>
              </w:rPr>
            </w:pPr>
            <w:r>
              <w:rPr>
                <w:rFonts w:ascii="Arial" w:cs="Arial" w:eastAsia="Arial" w:hAnsi="Arial"/>
                <w:sz w:val="18"/>
                <w:szCs w:val="18"/>
                <w:color w:val="auto"/>
              </w:rPr>
              <w:t>Philippines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Tejing (Vietnam)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Vietnam</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Unecha Refractory metals plant</w:t>
            </w:r>
          </w:p>
        </w:tc>
        <w:tc>
          <w:tcPr>
            <w:tcW w:w="2480" w:type="dxa"/>
            <w:vAlign w:val="bottom"/>
          </w:tcPr>
          <w:p>
            <w:pPr>
              <w:ind w:left="660"/>
              <w:spacing w:after="0"/>
              <w:rPr>
                <w:sz w:val="20"/>
                <w:szCs w:val="20"/>
                <w:color w:val="auto"/>
              </w:rPr>
            </w:pPr>
            <w:r>
              <w:rPr>
                <w:rFonts w:ascii="Arial" w:cs="Arial" w:eastAsia="Arial" w:hAnsi="Arial"/>
                <w:sz w:val="18"/>
                <w:szCs w:val="18"/>
                <w:color w:val="auto"/>
              </w:rPr>
              <w:t>Russian Federation</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Wolfram Bergbau und Hutten AG</w:t>
            </w:r>
          </w:p>
        </w:tc>
        <w:tc>
          <w:tcPr>
            <w:tcW w:w="2480" w:type="dxa"/>
            <w:vAlign w:val="bottom"/>
          </w:tcPr>
          <w:p>
            <w:pPr>
              <w:ind w:left="660"/>
              <w:spacing w:after="0"/>
              <w:rPr>
                <w:sz w:val="20"/>
                <w:szCs w:val="20"/>
                <w:color w:val="auto"/>
              </w:rPr>
            </w:pPr>
            <w:r>
              <w:rPr>
                <w:rFonts w:ascii="Arial" w:cs="Arial" w:eastAsia="Arial" w:hAnsi="Arial"/>
                <w:sz w:val="18"/>
                <w:szCs w:val="18"/>
                <w:color w:val="auto"/>
              </w:rPr>
              <w:t>Austria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Woltech Korea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Korea, Republic of</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Xiamen Tungsten (H.C.)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Xiamen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Xinfeng Huarui Tungsten &amp; Molybdenum New Material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Tungsten</w:t>
            </w:r>
          </w:p>
        </w:tc>
        <w:tc>
          <w:tcPr>
            <w:tcW w:w="6020" w:type="dxa"/>
            <w:vAlign w:val="bottom"/>
          </w:tcPr>
          <w:p>
            <w:pPr>
              <w:ind w:left="600"/>
              <w:spacing w:after="0"/>
              <w:rPr>
                <w:sz w:val="20"/>
                <w:szCs w:val="20"/>
                <w:color w:val="auto"/>
              </w:rPr>
            </w:pPr>
            <w:r>
              <w:rPr>
                <w:rFonts w:ascii="Arial" w:cs="Arial" w:eastAsia="Arial" w:hAnsi="Arial"/>
                <w:sz w:val="18"/>
                <w:szCs w:val="18"/>
                <w:color w:val="auto"/>
              </w:rPr>
              <w:t>Xinhai Rendan Shaoguan Tungsten Co., Ltd.</w:t>
            </w:r>
          </w:p>
        </w:tc>
        <w:tc>
          <w:tcPr>
            <w:tcW w:w="2480" w:type="dxa"/>
            <w:vAlign w:val="bottom"/>
          </w:tcPr>
          <w:p>
            <w:pPr>
              <w:ind w:left="660"/>
              <w:spacing w:after="0"/>
              <w:rPr>
                <w:sz w:val="20"/>
                <w:szCs w:val="20"/>
                <w:color w:val="auto"/>
              </w:rPr>
            </w:pPr>
            <w:r>
              <w:rPr>
                <w:rFonts w:ascii="Arial" w:cs="Arial" w:eastAsia="Arial" w:hAnsi="Arial"/>
                <w:sz w:val="18"/>
                <w:szCs w:val="18"/>
                <w:color w:val="auto"/>
              </w:rPr>
              <w:t>China</w:t>
            </w:r>
          </w:p>
        </w:tc>
      </w:tr>
    </w:tbl>
    <w:p>
      <w:pPr>
        <w:spacing w:after="0" w:line="1" w:lineRule="exact"/>
        <w:rPr>
          <w:sz w:val="20"/>
          <w:szCs w:val="20"/>
          <w:color w:val="auto"/>
        </w:rPr>
      </w:pP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2020-05-29T15:18:14Z</dcterms:created>
  <dcterms:modified xsi:type="dcterms:W3CDTF">2020-05-29T15:18:14Z</dcterms:modified>
</cp:coreProperties>
</file>