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540" w:right="100" w:hanging="424"/>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87" w:lineRule="exact"/>
        <w:rPr>
          <w:sz w:val="24"/>
          <w:szCs w:val="24"/>
          <w:color w:val="auto"/>
        </w:rPr>
      </w:pPr>
    </w:p>
    <w:p>
      <w:pPr>
        <w:ind w:left="3580"/>
        <w:spacing w:after="0"/>
        <w:tabs>
          <w:tab w:leader="none" w:pos="6700" w:val="left"/>
          <w:tab w:leader="none" w:pos="7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3776345</wp:posOffset>
            </wp:positionH>
            <wp:positionV relativeFrom="paragraph">
              <wp:posOffset>-7620</wp:posOffset>
            </wp:positionV>
            <wp:extent cx="1066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403225</wp:posOffset>
            </wp:positionV>
            <wp:extent cx="227139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7139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83-0406195</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(352) 45-62-62</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34"/>
        </w:trPr>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2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2" w:lineRule="exact"/>
        <w:rPr>
          <w:sz w:val="24"/>
          <w:szCs w:val="24"/>
          <w:color w:val="auto"/>
        </w:rPr>
      </w:pPr>
    </w:p>
    <w:p>
      <w:pPr>
        <w:jc w:val="both"/>
        <w:ind w:left="120" w:right="22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419" w:right="439" w:bottom="0" w:gutter="0" w:footer="0" w:header="0"/>
        </w:sectPr>
      </w:pPr>
    </w:p>
    <w:p>
      <w:pPr>
        <w:spacing w:after="0" w:line="211" w:lineRule="exact"/>
        <w:rPr>
          <w:sz w:val="24"/>
          <w:szCs w:val="24"/>
          <w:color w:val="auto"/>
        </w:rPr>
      </w:pPr>
    </w:p>
    <w:p>
      <w:pPr>
        <w:ind w:left="1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40" w:space="380"/>
            <w:col w:w="5660" w:space="720"/>
            <w:col w:w="1700" w:space="720"/>
            <w:col w:w="220"/>
          </w:cols>
          <w:pgMar w:left="320" w:top="419" w:right="439" w:bottom="0" w:gutter="0" w:footer="0" w:header="0"/>
          <w:type w:val="continuous"/>
        </w:sectPr>
      </w:pPr>
    </w:p>
    <w:p>
      <w:pPr>
        <w:spacing w:after="0" w:line="33" w:lineRule="exact"/>
        <w:rPr>
          <w:sz w:val="24"/>
          <w:szCs w:val="24"/>
          <w:color w:val="auto"/>
        </w:rPr>
      </w:pPr>
    </w:p>
    <w:p>
      <w:pPr>
        <w:ind w:left="1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640" w:space="480"/>
            <w:col w:w="5660" w:space="720"/>
            <w:col w:w="1960" w:space="460"/>
            <w:col w:w="220"/>
          </w:cols>
          <w:pgMar w:left="320" w:top="419" w:right="439" w:bottom="0" w:gutter="0" w:footer="0" w:header="0"/>
          <w:type w:val="continuous"/>
        </w:sectPr>
      </w:pPr>
    </w:p>
    <w:bookmarkStart w:id="1" w:name="page2"/>
    <w:bookmarkEnd w:id="1"/>
    <w:p>
      <w:pPr>
        <w:ind w:left="8380"/>
        <w:spacing w:after="0" w:line="207" w:lineRule="exact"/>
        <w:tabs>
          <w:tab w:leader="none" w:pos="10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0"/>
          <w:szCs w:val="20"/>
          <w:color w:val="auto"/>
        </w:rPr>
      </w:pPr>
    </w:p>
    <w:p>
      <w:pPr>
        <w:ind w:right="10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440"/>
        <w:spacing w:after="0" w:line="207" w:lineRule="exact"/>
        <w:tabs>
          <w:tab w:leader="none" w:pos="87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April 30, 2021, the registrant had 46,333,946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0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300" w:type="dxa"/>
            <w:vAlign w:val="bottom"/>
            <w:gridSpan w:val="20"/>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10300" w:type="dxa"/>
            <w:vAlign w:val="bottom"/>
            <w:gridSpan w:val="20"/>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ind w:left="360"/>
              <w:spacing w:after="0" w:line="196" w:lineRule="exact"/>
              <w:rPr>
                <w:sz w:val="20"/>
                <w:szCs w:val="20"/>
                <w:color w:val="auto"/>
              </w:rPr>
            </w:pPr>
            <w:r>
              <w:rPr>
                <w:rFonts w:ascii="Arial" w:cs="Arial" w:eastAsia="Arial" w:hAnsi="Arial"/>
                <w:sz w:val="18"/>
                <w:szCs w:val="18"/>
                <w:color w:val="auto"/>
              </w:rPr>
              <w:t>Item 1.</w:t>
            </w:r>
          </w:p>
        </w:tc>
        <w:tc>
          <w:tcPr>
            <w:tcW w:w="40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Interim Consolidated Financial Statements (Unaudited)</w:t>
              </w:r>
            </w:hyperlink>
          </w:p>
        </w:tc>
        <w:tc>
          <w:tcPr>
            <w:tcW w:w="5200" w:type="dxa"/>
            <w:vAlign w:val="bottom"/>
            <w:gridSpan w:val="9"/>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20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Magnachip Semiconductor Corporation and Subsidiaries Consolidated Balance Sheets as of March 31, 2021 and</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December 31, 2020</w:t>
              </w:r>
            </w:hyperlink>
          </w:p>
        </w:tc>
        <w:tc>
          <w:tcPr>
            <w:tcW w:w="6680" w:type="dxa"/>
            <w:vAlign w:val="bottom"/>
            <w:tcBorders>
              <w:top w:val="single" w:sz="8" w:color="0000EE"/>
            </w:tcBorders>
            <w:gridSpan w:val="10"/>
          </w:tcPr>
          <w:p>
            <w:pPr>
              <w:spacing w:after="0"/>
              <w:rPr>
                <w:sz w:val="17"/>
                <w:szCs w:val="17"/>
                <w:color w:val="auto"/>
              </w:rPr>
            </w:pPr>
          </w:p>
        </w:tc>
        <w:tc>
          <w:tcPr>
            <w:tcW w:w="1100" w:type="dxa"/>
            <w:vAlign w:val="bottom"/>
            <w:gridSpan w:val="5"/>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0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Magnachip Semiconductor Corporation and Subsidiaries Consolidated Statements of Operations for the Three Months Ended</w:t>
              </w:r>
            </w:hyperlink>
          </w:p>
        </w:tc>
        <w:tc>
          <w:tcPr>
            <w:tcW w:w="1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8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March 31, 2021 and 2020</w:t>
              </w:r>
            </w:hyperlink>
          </w:p>
        </w:tc>
        <w:tc>
          <w:tcPr>
            <w:tcW w:w="7340" w:type="dxa"/>
            <w:vAlign w:val="bottom"/>
            <w:gridSpan w:val="12"/>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6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Magnachip Semiconductor Corporation and Subsidiaries Consolidated Statements of Comprehensive Loss for the Three</w:t>
              </w:r>
            </w:hyperlink>
          </w:p>
        </w:tc>
        <w:tc>
          <w:tcPr>
            <w:tcW w:w="54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9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Months Ended March 31, 2021 and 2020</w:t>
              </w:r>
            </w:hyperlink>
          </w:p>
        </w:tc>
        <w:tc>
          <w:tcPr>
            <w:tcW w:w="6240" w:type="dxa"/>
            <w:vAlign w:val="bottom"/>
            <w:gridSpan w:val="11"/>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0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Magnachip Semiconductor Corporation and Subsidiaries Consolidated Statements of Changes in Stockholders’ Equity for the</w:t>
              </w:r>
            </w:hyperlink>
          </w:p>
        </w:tc>
        <w:tc>
          <w:tcPr>
            <w:tcW w:w="1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20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Three Months Ended March 31, 2021 and 2020</w:t>
              </w:r>
            </w:hyperlink>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200" w:type="dxa"/>
            <w:vAlign w:val="bottom"/>
            <w:gridSpan w:val="19"/>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Magnachip Semiconductor Corporation and Subsidiaries Consolidated Statements of Cash Flows for the Three Months Ended</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March 31, 2021 and 2020</w:t>
              </w:r>
            </w:hyperlink>
          </w:p>
        </w:tc>
        <w:tc>
          <w:tcPr>
            <w:tcW w:w="7220" w:type="dxa"/>
            <w:vAlign w:val="bottom"/>
            <w:tcBorders>
              <w:top w:val="single" w:sz="8" w:color="0000EE"/>
            </w:tcBorders>
            <w:gridSpan w:val="11"/>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200" w:type="dxa"/>
            <w:vAlign w:val="bottom"/>
            <w:gridSpan w:val="1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Magnachip Semiconductor Corporation and Subsidiaries Notes to Consolidated Financial Statements</w:t>
              </w:r>
            </w:hyperlink>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100" w:type="dxa"/>
            <w:vAlign w:val="bottom"/>
          </w:tcPr>
          <w:p>
            <w:pPr>
              <w:ind w:left="360"/>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Discussion and Analysis of Financial Condition and Results of Operations</w:t>
              </w:r>
            </w:hyperlink>
          </w:p>
        </w:tc>
        <w:tc>
          <w:tcPr>
            <w:tcW w:w="820" w:type="dxa"/>
            <w:vAlign w:val="bottom"/>
            <w:tcBorders>
              <w:top w:val="single" w:sz="8" w:color="0000EE"/>
            </w:tcBorders>
          </w:tcPr>
          <w:p>
            <w:pPr>
              <w:spacing w:after="0"/>
              <w:rPr>
                <w:sz w:val="17"/>
                <w:szCs w:val="17"/>
                <w:color w:val="auto"/>
              </w:rPr>
            </w:pPr>
          </w:p>
        </w:tc>
        <w:tc>
          <w:tcPr>
            <w:tcW w:w="1920" w:type="dxa"/>
            <w:vAlign w:val="bottom"/>
            <w:gridSpan w:val="6"/>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100" w:type="dxa"/>
            <w:vAlign w:val="bottom"/>
          </w:tcPr>
          <w:p>
            <w:pPr>
              <w:ind w:left="360"/>
              <w:spacing w:after="0" w:line="196" w:lineRule="exact"/>
              <w:rPr>
                <w:sz w:val="20"/>
                <w:szCs w:val="20"/>
                <w:color w:val="auto"/>
              </w:rPr>
            </w:pPr>
            <w:r>
              <w:rPr>
                <w:rFonts w:ascii="Arial" w:cs="Arial" w:eastAsia="Arial" w:hAnsi="Arial"/>
                <w:sz w:val="18"/>
                <w:szCs w:val="18"/>
                <w:color w:val="auto"/>
              </w:rPr>
              <w:t>Item 3.</w:t>
            </w:r>
          </w:p>
        </w:tc>
        <w:tc>
          <w:tcPr>
            <w:tcW w:w="9200" w:type="dxa"/>
            <w:vAlign w:val="bottom"/>
            <w:gridSpan w:val="19"/>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100" w:type="dxa"/>
            <w:vAlign w:val="bottom"/>
          </w:tcPr>
          <w:p>
            <w:pPr>
              <w:ind w:left="360"/>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5"/>
          </w:tcPr>
          <w:p>
            <w:pPr>
              <w:spacing w:after="0"/>
              <w:rPr>
                <w:sz w:val="17"/>
                <w:szCs w:val="17"/>
                <w:color w:val="auto"/>
              </w:rPr>
            </w:pPr>
          </w:p>
        </w:tc>
        <w:tc>
          <w:tcPr>
            <w:tcW w:w="4840" w:type="dxa"/>
            <w:vAlign w:val="bottom"/>
            <w:gridSpan w:val="8"/>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300" w:type="dxa"/>
            <w:vAlign w:val="bottom"/>
            <w:gridSpan w:val="2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PART II OTHER INFORMATION</w:t>
              </w:r>
            </w:hyperlink>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100" w:type="dxa"/>
            <w:vAlign w:val="bottom"/>
            <w:tcBorders>
              <w:top w:val="single" w:sz="8" w:color="0000EE"/>
            </w:tcBorders>
          </w:tcPr>
          <w:p>
            <w:pPr>
              <w:ind w:left="360"/>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Legal Proceedings</w:t>
              </w:r>
            </w:hyperlink>
          </w:p>
        </w:tc>
        <w:tc>
          <w:tcPr>
            <w:tcW w:w="80" w:type="dxa"/>
            <w:vAlign w:val="bottom"/>
            <w:tcBorders>
              <w:top w:val="single" w:sz="8" w:color="0000EE"/>
            </w:tcBorders>
          </w:tcPr>
          <w:p>
            <w:pPr>
              <w:spacing w:after="0"/>
              <w:rPr>
                <w:sz w:val="17"/>
                <w:szCs w:val="17"/>
                <w:color w:val="auto"/>
              </w:rPr>
            </w:pPr>
          </w:p>
        </w:tc>
        <w:tc>
          <w:tcPr>
            <w:tcW w:w="7780" w:type="dxa"/>
            <w:vAlign w:val="bottom"/>
            <w:gridSpan w:val="15"/>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100" w:type="dxa"/>
            <w:vAlign w:val="bottom"/>
          </w:tcPr>
          <w:p>
            <w:pPr>
              <w:ind w:left="360"/>
              <w:spacing w:after="0" w:line="196" w:lineRule="exact"/>
              <w:rPr>
                <w:sz w:val="20"/>
                <w:szCs w:val="20"/>
                <w:color w:val="auto"/>
              </w:rPr>
            </w:pPr>
            <w:r>
              <w:rPr>
                <w:rFonts w:ascii="Arial" w:cs="Arial" w:eastAsia="Arial" w:hAnsi="Arial"/>
                <w:sz w:val="18"/>
                <w:szCs w:val="18"/>
                <w:color w:val="auto"/>
              </w:rPr>
              <w:t>Item 1A.</w:t>
            </w:r>
          </w:p>
        </w:tc>
        <w:tc>
          <w:tcPr>
            <w:tcW w:w="9200" w:type="dxa"/>
            <w:vAlign w:val="bottom"/>
            <w:gridSpan w:val="1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100" w:type="dxa"/>
            <w:vAlign w:val="bottom"/>
          </w:tcPr>
          <w:p>
            <w:pPr>
              <w:ind w:left="360"/>
              <w:spacing w:after="0" w:line="196" w:lineRule="exact"/>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8300" w:type="dxa"/>
            <w:vAlign w:val="bottom"/>
            <w:gridSpan w:val="17"/>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SIGNATURES</w:t>
              </w:r>
            </w:hyperlink>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85"/>
        </w:trPr>
        <w:tc>
          <w:tcPr>
            <w:tcW w:w="1100" w:type="dxa"/>
            <w:vAlign w:val="bottom"/>
          </w:tcPr>
          <w:p>
            <w:pPr>
              <w:spacing w:after="0"/>
              <w:rPr>
                <w:sz w:val="24"/>
                <w:szCs w:val="24"/>
                <w:color w:val="auto"/>
              </w:rPr>
            </w:pPr>
          </w:p>
        </w:tc>
        <w:tc>
          <w:tcPr>
            <w:tcW w:w="6460" w:type="dxa"/>
            <w:vAlign w:val="bottom"/>
            <w:gridSpan w:val="12"/>
          </w:tcPr>
          <w:p>
            <w:pPr>
              <w:ind w:left="436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8360" w:type="dxa"/>
            <w:vAlign w:val="bottom"/>
          </w:tcPr>
          <w:p>
            <w:pPr>
              <w:jc w:val="center"/>
              <w:ind w:left="1470"/>
              <w:spacing w:after="0"/>
              <w:rPr>
                <w:sz w:val="20"/>
                <w:szCs w:val="20"/>
                <w:color w:val="auto"/>
              </w:rPr>
            </w:pPr>
            <w:r>
              <w:rPr>
                <w:rFonts w:ascii="Arial" w:cs="Arial" w:eastAsia="Arial" w:hAnsi="Arial"/>
                <w:sz w:val="18"/>
                <w:szCs w:val="18"/>
                <w:b w:val="1"/>
                <w:bCs w:val="1"/>
                <w:color w:val="auto"/>
              </w:rPr>
              <w:t>PART I—FINANCIAL INFORMATION</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360" w:type="dxa"/>
            <w:vAlign w:val="bottom"/>
          </w:tcPr>
          <w:p>
            <w:pPr>
              <w:ind w:left="540"/>
              <w:spacing w:after="0"/>
              <w:rPr>
                <w:sz w:val="20"/>
                <w:szCs w:val="20"/>
                <w:color w:val="auto"/>
              </w:rPr>
            </w:pPr>
            <w:r>
              <w:rPr>
                <w:rFonts w:ascii="Arial" w:cs="Arial" w:eastAsia="Arial" w:hAnsi="Arial"/>
                <w:sz w:val="18"/>
                <w:szCs w:val="18"/>
                <w:b w:val="1"/>
                <w:bCs w:val="1"/>
                <w:color w:val="auto"/>
              </w:rPr>
              <w:t>Interim Consolidated Financial Statements (Unaudited)</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540" w:type="dxa"/>
            <w:vAlign w:val="bottom"/>
          </w:tcPr>
          <w:p>
            <w:pPr>
              <w:spacing w:after="0"/>
              <w:rPr>
                <w:sz w:val="24"/>
                <w:szCs w:val="24"/>
                <w:color w:val="auto"/>
              </w:rPr>
            </w:pPr>
          </w:p>
        </w:tc>
        <w:tc>
          <w:tcPr>
            <w:tcW w:w="8360" w:type="dxa"/>
            <w:vAlign w:val="bottom"/>
          </w:tcPr>
          <w:p>
            <w:pPr>
              <w:jc w:val="center"/>
              <w:ind w:left="1490"/>
              <w:spacing w:after="0"/>
              <w:rPr>
                <w:sz w:val="20"/>
                <w:szCs w:val="20"/>
                <w:color w:val="auto"/>
              </w:rPr>
            </w:pPr>
            <w:r>
              <w:rPr>
                <w:rFonts w:ascii="Arial" w:cs="Arial" w:eastAsia="Arial" w:hAnsi="Arial"/>
                <w:sz w:val="18"/>
                <w:szCs w:val="18"/>
                <w:b w:val="1"/>
                <w:bCs w:val="1"/>
                <w:color w:val="auto"/>
              </w:rPr>
              <w:t>MAGNACHIP SEMICONDUCTOR CORPORATION AND SUBSIDIARIES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8360" w:type="dxa"/>
            <w:vAlign w:val="bottom"/>
          </w:tcPr>
          <w:p>
            <w:pPr>
              <w:jc w:val="center"/>
              <w:ind w:left="1470"/>
              <w:spacing w:after="0"/>
              <w:rPr>
                <w:sz w:val="20"/>
                <w:szCs w:val="20"/>
                <w:color w:val="auto"/>
              </w:rPr>
            </w:pPr>
            <w:r>
              <w:rPr>
                <w:rFonts w:ascii="Arial" w:cs="Arial" w:eastAsia="Arial" w:hAnsi="Arial"/>
                <w:sz w:val="18"/>
                <w:szCs w:val="18"/>
                <w:b w:val="1"/>
                <w:bCs w:val="1"/>
                <w:color w:val="auto"/>
                <w:w w:val="97"/>
              </w:rPr>
              <w:t>CONSOLIDATED BALANCE SHEETS (Unaudited)</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54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1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 w:type="dxa"/>
            <w:vAlign w:val="bottom"/>
          </w:tcPr>
          <w:p>
            <w:pPr>
              <w:spacing w:after="0"/>
              <w:rPr>
                <w:sz w:val="10"/>
                <w:szCs w:val="10"/>
                <w:color w:val="auto"/>
              </w:rPr>
            </w:pPr>
          </w:p>
        </w:tc>
        <w:tc>
          <w:tcPr>
            <w:tcW w:w="8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5"/>
          </w:tcPr>
          <w:p>
            <w:pPr>
              <w:jc w:val="right"/>
              <w:ind w:right="51"/>
              <w:spacing w:after="0" w:line="119" w:lineRule="exact"/>
              <w:rPr>
                <w:sz w:val="20"/>
                <w:szCs w:val="20"/>
                <w:color w:val="auto"/>
              </w:rPr>
            </w:pPr>
            <w:r>
              <w:rPr>
                <w:rFonts w:ascii="Arial" w:cs="Arial" w:eastAsia="Arial" w:hAnsi="Arial"/>
                <w:sz w:val="13"/>
                <w:szCs w:val="13"/>
                <w:b w:val="1"/>
                <w:bCs w:val="1"/>
                <w:color w:val="auto"/>
              </w:rPr>
              <w:t>(In thousands of US dollars,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except share data)</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Assets</w:t>
            </w:r>
          </w:p>
        </w:tc>
        <w:tc>
          <w:tcPr>
            <w:tcW w:w="8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290,194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279,940</w:t>
            </w:r>
          </w:p>
        </w:tc>
        <w:tc>
          <w:tcPr>
            <w:tcW w:w="0" w:type="dxa"/>
            <w:vAlign w:val="bottom"/>
          </w:tcPr>
          <w:p>
            <w:pPr>
              <w:spacing w:after="0"/>
              <w:rPr>
                <w:sz w:val="1"/>
                <w:szCs w:val="1"/>
                <w:color w:val="auto"/>
              </w:rPr>
            </w:pPr>
          </w:p>
        </w:tc>
      </w:tr>
      <w:tr>
        <w:trPr>
          <w:trHeight w:val="216"/>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52,250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64,390</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29,964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39,039</w:t>
            </w:r>
          </w:p>
        </w:tc>
        <w:tc>
          <w:tcPr>
            <w:tcW w:w="0" w:type="dxa"/>
            <w:vAlign w:val="bottom"/>
          </w:tcPr>
          <w:p>
            <w:pPr>
              <w:spacing w:after="0"/>
              <w:rPr>
                <w:sz w:val="1"/>
                <w:szCs w:val="1"/>
                <w:color w:val="auto"/>
              </w:rPr>
            </w:pPr>
          </w:p>
        </w:tc>
      </w:tr>
      <w:tr>
        <w:trPr>
          <w:trHeight w:val="216"/>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5,649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16"/>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Hedge collateral</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5,250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 (Notes 10 and 18)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9,321</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836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394,878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91,014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96,383</w:t>
            </w: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4,592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Long-term prepaid expenses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5,993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42,906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44,541</w:t>
            </w: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9,739</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551,407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571,690</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43,357</w:t>
            </w:r>
          </w:p>
        </w:tc>
        <w:tc>
          <w:tcPr>
            <w:tcW w:w="4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52,164</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17,867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16,241</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12,398</w:t>
            </w:r>
          </w:p>
        </w:tc>
        <w:tc>
          <w:tcPr>
            <w:tcW w:w="0" w:type="dxa"/>
            <w:vAlign w:val="bottom"/>
          </w:tcPr>
          <w:p>
            <w:pPr>
              <w:spacing w:after="0"/>
              <w:rPr>
                <w:sz w:val="1"/>
                <w:szCs w:val="1"/>
                <w:color w:val="auto"/>
              </w:rPr>
            </w:pPr>
          </w:p>
        </w:tc>
      </w:tr>
      <w:tr>
        <w:trPr>
          <w:trHeight w:val="216"/>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2,352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portion of long-term borrowings, net</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83,479</w:t>
            </w:r>
          </w:p>
        </w:tc>
        <w:tc>
          <w:tcPr>
            <w:tcW w:w="0" w:type="dxa"/>
            <w:vAlign w:val="bottom"/>
          </w:tcPr>
          <w:p>
            <w:pPr>
              <w:spacing w:after="0"/>
              <w:rPr>
                <w:sz w:val="1"/>
                <w:szCs w:val="1"/>
                <w:color w:val="auto"/>
              </w:rPr>
            </w:pPr>
          </w:p>
        </w:tc>
      </w:tr>
      <w:tr>
        <w:trPr>
          <w:trHeight w:val="216"/>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Other current liabilities (Note 10)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6,558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4,595</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173,618</w:t>
            </w: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39,070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40,462</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10,131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9,588</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131,060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226,090</w:t>
            </w: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18)</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0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9"/>
              </w:rPr>
              <w:t>Common stock, $0.01 par value, 150,000,000 shares authorized, 55,469,375 shares issued and 46,257,413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18"/>
                <w:szCs w:val="18"/>
                <w:color w:val="auto"/>
                <w:w w:val="92"/>
              </w:rPr>
              <w:t>outstanding at March 31, 2021 and 44,943,854 shares issued and 35,783,347 outstanding at December 31, 2020</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555</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250,829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163,010</w:t>
            </w:r>
          </w:p>
        </w:tc>
        <w:tc>
          <w:tcPr>
            <w:tcW w:w="0" w:type="dxa"/>
            <w:vAlign w:val="bottom"/>
          </w:tcPr>
          <w:p>
            <w:pPr>
              <w:spacing w:after="0"/>
              <w:rPr>
                <w:sz w:val="1"/>
                <w:szCs w:val="1"/>
                <w:color w:val="auto"/>
              </w:rPr>
            </w:pPr>
          </w:p>
        </w:tc>
      </w:tr>
      <w:tr>
        <w:trPr>
          <w:trHeight w:val="216"/>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279,361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286,834</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6"/>
              </w:rPr>
              <w:t>Treasury stock, 9,211,962 shares at March 31, 2021 and 9,160,507 shares at December 31, 2020, respectively</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8"/>
              </w:rPr>
              <w:t>(109,407)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(108,397)</w:t>
            </w:r>
          </w:p>
        </w:tc>
        <w:tc>
          <w:tcPr>
            <w:tcW w:w="0" w:type="dxa"/>
            <w:vAlign w:val="bottom"/>
          </w:tcPr>
          <w:p>
            <w:pPr>
              <w:spacing w:after="0"/>
              <w:rPr>
                <w:sz w:val="1"/>
                <w:szCs w:val="1"/>
                <w:color w:val="auto"/>
              </w:rPr>
            </w:pPr>
          </w:p>
        </w:tc>
      </w:tr>
      <w:tr>
        <w:trPr>
          <w:trHeight w:val="216"/>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420,347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345,600</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836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551,407</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571,690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8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52"/>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20" w:type="dxa"/>
            <w:vAlign w:val="bottom"/>
            <w:gridSpan w:val="6"/>
          </w:tcPr>
          <w:p>
            <w:pPr>
              <w:jc w:val="right"/>
              <w:ind w:right="212"/>
              <w:spacing w:after="0" w:line="119" w:lineRule="exact"/>
              <w:rPr>
                <w:sz w:val="20"/>
                <w:szCs w:val="20"/>
                <w:color w:val="auto"/>
              </w:rPr>
            </w:pPr>
            <w:r>
              <w:rPr>
                <w:rFonts w:ascii="Arial" w:cs="Arial" w:eastAsia="Arial" w:hAnsi="Arial"/>
                <w:sz w:val="13"/>
                <w:szCs w:val="13"/>
                <w:b w:val="1"/>
                <w:bCs w:val="1"/>
                <w:color w:val="auto"/>
              </w:rPr>
              <w:t>(In thousands of US dollars,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8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except share data)</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112,906</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110,736</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9,737</w:t>
            </w:r>
          </w:p>
        </w:tc>
        <w:tc>
          <w:tcPr>
            <w:tcW w:w="0" w:type="dxa"/>
            <w:vAlign w:val="bottom"/>
          </w:tcPr>
          <w:p>
            <w:pPr>
              <w:spacing w:after="0"/>
              <w:rPr>
                <w:sz w:val="1"/>
                <w:szCs w:val="1"/>
                <w:color w:val="auto"/>
              </w:rPr>
            </w:pPr>
          </w:p>
        </w:tc>
      </w:tr>
      <w:tr>
        <w:trPr>
          <w:trHeight w:val="223"/>
        </w:trPr>
        <w:tc>
          <w:tcPr>
            <w:tcW w:w="85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123,019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79,247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81,606</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transitional Fab 3 foundry services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9,390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9,737</w:t>
            </w: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88,637</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29,130</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12,102</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13,423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10,509</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5,965</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(1,041)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loss, net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(30,971)</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 expense</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(7,183)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(29,775)</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(7,473)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(31,078)</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7,329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(7,473)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(23,749)</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Basic and diluted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(0.19)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(0.19)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40,292,838</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34,893,157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 (Unaudited)</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7"/>
          </w:tcPr>
          <w:p>
            <w:pPr>
              <w:jc w:val="right"/>
              <w:ind w:right="321"/>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9020" w:type="dxa"/>
            <w:vAlign w:val="bottom"/>
          </w:tcPr>
          <w:p>
            <w:pPr>
              <w:spacing w:after="0"/>
              <w:rPr>
                <w:sz w:val="10"/>
                <w:szCs w:val="10"/>
                <w:color w:val="auto"/>
              </w:rPr>
            </w:pPr>
          </w:p>
        </w:tc>
        <w:tc>
          <w:tcPr>
            <w:tcW w:w="940" w:type="dxa"/>
            <w:vAlign w:val="bottom"/>
            <w:tcBorders>
              <w:top w:val="single" w:sz="8" w:color="auto"/>
            </w:tcBorders>
            <w:gridSpan w:val="4"/>
          </w:tcPr>
          <w:p>
            <w:pPr>
              <w:jc w:val="center"/>
              <w:ind w:right="200"/>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r>
      <w:tr>
        <w:trPr>
          <w:trHeight w:val="171"/>
        </w:trPr>
        <w:tc>
          <w:tcPr>
            <w:tcW w:w="9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28"/>
        </w:trPr>
        <w:tc>
          <w:tcPr>
            <w:tcW w:w="9020" w:type="dxa"/>
            <w:vAlign w:val="bottom"/>
          </w:tcPr>
          <w:p>
            <w:pPr>
              <w:spacing w:after="0"/>
              <w:rPr>
                <w:sz w:val="11"/>
                <w:szCs w:val="11"/>
                <w:color w:val="auto"/>
              </w:rPr>
            </w:pPr>
          </w:p>
        </w:tc>
        <w:tc>
          <w:tcPr>
            <w:tcW w:w="1880" w:type="dxa"/>
            <w:vAlign w:val="bottom"/>
            <w:gridSpan w:val="7"/>
          </w:tcPr>
          <w:p>
            <w:pPr>
              <w:jc w:val="right"/>
              <w:spacing w:after="0" w:line="129" w:lineRule="exact"/>
              <w:rPr>
                <w:sz w:val="20"/>
                <w:szCs w:val="20"/>
                <w:color w:val="auto"/>
              </w:rPr>
            </w:pPr>
            <w:r>
              <w:rPr>
                <w:rFonts w:ascii="Arial" w:cs="Arial" w:eastAsia="Arial" w:hAnsi="Arial"/>
                <w:sz w:val="14"/>
                <w:szCs w:val="14"/>
                <w:b w:val="1"/>
                <w:bCs w:val="1"/>
                <w:color w:val="auto"/>
                <w:w w:val="95"/>
              </w:rPr>
              <w:t>(In thousands of US dollars)</w:t>
            </w:r>
          </w:p>
        </w:tc>
        <w:tc>
          <w:tcPr>
            <w:tcW w:w="120" w:type="dxa"/>
            <w:vAlign w:val="bottom"/>
          </w:tcPr>
          <w:p>
            <w:pPr>
              <w:spacing w:after="0"/>
              <w:rPr>
                <w:sz w:val="11"/>
                <w:szCs w:val="1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(7,473)</w:t>
            </w:r>
          </w:p>
        </w:tc>
        <w:tc>
          <w:tcPr>
            <w:tcW w:w="3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(23,749)</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(2,058)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22,251</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Derivative adjustments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Fair valuation of derivatives</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(5,004)</w:t>
            </w: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Reclassification adjustment for loss (gain) on derivatives included in net loss</w:t>
            </w:r>
          </w:p>
        </w:tc>
        <w:tc>
          <w:tcPr>
            <w:tcW w:w="14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(511)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58</w:t>
            </w:r>
          </w:p>
        </w:tc>
      </w:tr>
      <w:tr>
        <w:trPr>
          <w:trHeight w:val="27"/>
        </w:trPr>
        <w:tc>
          <w:tcPr>
            <w:tcW w:w="9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(4,694)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17,305</w:t>
            </w: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(12,167</w:t>
            </w:r>
          </w:p>
        </w:tc>
        <w:tc>
          <w:tcPr>
            <w:tcW w:w="2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9"/>
              </w:rPr>
              <w:t>Additional</w:t>
            </w:r>
          </w:p>
        </w:tc>
        <w:tc>
          <w:tcPr>
            <w:tcW w:w="94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rPr>
              <w:t>Retained</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8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w w:val="95"/>
              </w:rPr>
              <w:t>Common Stock</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80" w:type="dxa"/>
            <w:vAlign w:val="bottom"/>
            <w:tcBorders>
              <w:bottom w:val="single" w:sz="8" w:color="auto"/>
            </w:tcBorders>
            <w:gridSpan w:val="5"/>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restart"/>
          </w:tcPr>
          <w:p>
            <w:pPr>
              <w:jc w:val="right"/>
              <w:ind w:right="400"/>
              <w:spacing w:after="0" w:line="149" w:lineRule="exact"/>
              <w:rPr>
                <w:sz w:val="20"/>
                <w:szCs w:val="20"/>
                <w:color w:val="auto"/>
              </w:rPr>
            </w:pPr>
            <w:r>
              <w:rPr>
                <w:rFonts w:ascii="Arial" w:cs="Arial" w:eastAsia="Arial" w:hAnsi="Arial"/>
                <w:sz w:val="14"/>
                <w:szCs w:val="14"/>
                <w:b w:val="1"/>
                <w:bCs w:val="1"/>
                <w:color w:val="auto"/>
              </w:rPr>
              <w:t>Paid-In</w:t>
            </w:r>
          </w:p>
        </w:tc>
        <w:tc>
          <w:tcPr>
            <w:tcW w:w="940" w:type="dxa"/>
            <w:vAlign w:val="bottom"/>
            <w:gridSpan w:val="2"/>
            <w:vMerge w:val="restart"/>
          </w:tcPr>
          <w:p>
            <w:pPr>
              <w:jc w:val="right"/>
              <w:ind w:right="241"/>
              <w:spacing w:after="0" w:line="149" w:lineRule="exact"/>
              <w:rPr>
                <w:sz w:val="20"/>
                <w:szCs w:val="20"/>
                <w:color w:val="auto"/>
              </w:rPr>
            </w:pPr>
            <w:r>
              <w:rPr>
                <w:rFonts w:ascii="Arial" w:cs="Arial" w:eastAsia="Arial" w:hAnsi="Arial"/>
                <w:sz w:val="14"/>
                <w:szCs w:val="14"/>
                <w:b w:val="1"/>
                <w:bCs w:val="1"/>
                <w:color w:val="auto"/>
              </w:rPr>
              <w:t>Earnings</w:t>
            </w:r>
          </w:p>
        </w:tc>
        <w:tc>
          <w:tcPr>
            <w:tcW w:w="1000" w:type="dxa"/>
            <w:vAlign w:val="bottom"/>
            <w:gridSpan w:val="2"/>
            <w:vMerge w:val="restart"/>
          </w:tcPr>
          <w:p>
            <w:pPr>
              <w:jc w:val="right"/>
              <w:ind w:right="261"/>
              <w:spacing w:after="0" w:line="149" w:lineRule="exact"/>
              <w:rPr>
                <w:sz w:val="20"/>
                <w:szCs w:val="20"/>
                <w:color w:val="auto"/>
              </w:rPr>
            </w:pPr>
            <w:r>
              <w:rPr>
                <w:rFonts w:ascii="Arial" w:cs="Arial" w:eastAsia="Arial" w:hAnsi="Arial"/>
                <w:sz w:val="14"/>
                <w:szCs w:val="14"/>
                <w:b w:val="1"/>
                <w:bCs w:val="1"/>
                <w:color w:val="auto"/>
              </w:rPr>
              <w:t>Treasury</w:t>
            </w:r>
          </w:p>
        </w:tc>
        <w:tc>
          <w:tcPr>
            <w:tcW w:w="11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of US dollars, except share data)</w:t>
            </w:r>
          </w:p>
        </w:tc>
        <w:tc>
          <w:tcPr>
            <w:tcW w:w="10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08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20"/>
              <w:spacing w:after="0" w:line="125" w:lineRule="exact"/>
              <w:rPr>
                <w:sz w:val="20"/>
                <w:szCs w:val="20"/>
                <w:color w:val="auto"/>
              </w:rPr>
            </w:pPr>
            <w:r>
              <w:rPr>
                <w:rFonts w:ascii="Arial" w:cs="Arial" w:eastAsia="Arial" w:hAnsi="Arial"/>
                <w:sz w:val="14"/>
                <w:szCs w:val="14"/>
                <w:b w:val="1"/>
                <w:bCs w:val="1"/>
                <w:color w:val="auto"/>
                <w:w w:val="98"/>
              </w:rPr>
              <w:t>Capital</w:t>
            </w:r>
          </w:p>
        </w:tc>
        <w:tc>
          <w:tcPr>
            <w:tcW w:w="940" w:type="dxa"/>
            <w:vAlign w:val="bottom"/>
            <w:gridSpan w:val="2"/>
          </w:tcPr>
          <w:p>
            <w:pPr>
              <w:jc w:val="right"/>
              <w:ind w:right="261"/>
              <w:spacing w:after="0" w:line="125" w:lineRule="exact"/>
              <w:rPr>
                <w:sz w:val="20"/>
                <w:szCs w:val="20"/>
                <w:color w:val="auto"/>
              </w:rPr>
            </w:pPr>
            <w:r>
              <w:rPr>
                <w:rFonts w:ascii="Arial" w:cs="Arial" w:eastAsia="Arial" w:hAnsi="Arial"/>
                <w:sz w:val="14"/>
                <w:szCs w:val="14"/>
                <w:b w:val="1"/>
                <w:bCs w:val="1"/>
                <w:color w:val="auto"/>
              </w:rPr>
              <w:t>(Deficit)</w:t>
            </w:r>
          </w:p>
        </w:tc>
        <w:tc>
          <w:tcPr>
            <w:tcW w:w="1000" w:type="dxa"/>
            <w:vAlign w:val="bottom"/>
            <w:gridSpan w:val="2"/>
          </w:tcPr>
          <w:p>
            <w:pPr>
              <w:jc w:val="right"/>
              <w:ind w:right="361"/>
              <w:spacing w:after="0" w:line="125" w:lineRule="exact"/>
              <w:rPr>
                <w:sz w:val="20"/>
                <w:szCs w:val="20"/>
                <w:color w:val="auto"/>
              </w:rPr>
            </w:pPr>
            <w:r>
              <w:rPr>
                <w:rFonts w:ascii="Arial" w:cs="Arial" w:eastAsia="Arial" w:hAnsi="Arial"/>
                <w:sz w:val="14"/>
                <w:szCs w:val="14"/>
                <w:b w:val="1"/>
                <w:bCs w:val="1"/>
                <w:color w:val="auto"/>
              </w:rPr>
              <w:t>Stock</w:t>
            </w:r>
          </w:p>
        </w:tc>
        <w:tc>
          <w:tcPr>
            <w:tcW w:w="1140" w:type="dxa"/>
            <w:vAlign w:val="bottom"/>
            <w:gridSpan w:val="3"/>
          </w:tcPr>
          <w:p>
            <w:pPr>
              <w:jc w:val="center"/>
              <w:ind w:right="160"/>
              <w:spacing w:after="0" w:line="125" w:lineRule="exact"/>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auto"/>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Three Months Ended March 31, 2021:</w:t>
            </w: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2020</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35,783,347</w:t>
            </w:r>
          </w:p>
        </w:tc>
        <w:tc>
          <w:tcPr>
            <w:tcW w:w="160" w:type="dxa"/>
            <w:vAlign w:val="bottom"/>
          </w:tcPr>
          <w:p>
            <w:pPr>
              <w:spacing w:after="0"/>
              <w:rPr>
                <w:sz w:val="18"/>
                <w:szCs w:val="18"/>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450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163,010</w:t>
            </w:r>
          </w:p>
        </w:tc>
        <w:tc>
          <w:tcPr>
            <w:tcW w:w="940" w:type="dxa"/>
            <w:vAlign w:val="bottom"/>
            <w:gridSpan w:val="2"/>
          </w:tcPr>
          <w:p>
            <w:pPr>
              <w:jc w:val="right"/>
              <w:ind w:right="161"/>
              <w:spacing w:after="0"/>
              <w:rPr>
                <w:sz w:val="20"/>
                <w:szCs w:val="20"/>
                <w:color w:val="auto"/>
              </w:rPr>
            </w:pPr>
            <w:r>
              <w:rPr>
                <w:rFonts w:ascii="Arial" w:cs="Arial" w:eastAsia="Arial" w:hAnsi="Arial"/>
                <w:sz w:val="18"/>
                <w:szCs w:val="18"/>
                <w:color w:val="auto"/>
                <w:w w:val="90"/>
              </w:rPr>
              <w:t>$286,834</w:t>
            </w:r>
          </w:p>
        </w:tc>
        <w:tc>
          <w:tcPr>
            <w:tcW w:w="1000" w:type="dxa"/>
            <w:vAlign w:val="bottom"/>
            <w:gridSpan w:val="2"/>
          </w:tcPr>
          <w:p>
            <w:pPr>
              <w:jc w:val="right"/>
              <w:ind w:right="101"/>
              <w:spacing w:after="0"/>
              <w:rPr>
                <w:sz w:val="20"/>
                <w:szCs w:val="20"/>
                <w:color w:val="auto"/>
              </w:rPr>
            </w:pPr>
            <w:r>
              <w:rPr>
                <w:rFonts w:ascii="Arial" w:cs="Arial" w:eastAsia="Arial" w:hAnsi="Arial"/>
                <w:sz w:val="18"/>
                <w:szCs w:val="18"/>
                <w:color w:val="auto"/>
                <w:w w:val="91"/>
              </w:rPr>
              <w:t>$(108,397)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3,703</w:t>
            </w:r>
          </w:p>
        </w:tc>
        <w:tc>
          <w:tcPr>
            <w:tcW w:w="900" w:type="dxa"/>
            <w:vAlign w:val="bottom"/>
            <w:gridSpan w:val="3"/>
          </w:tcPr>
          <w:p>
            <w:pPr>
              <w:jc w:val="right"/>
              <w:ind w:right="41"/>
              <w:spacing w:after="0"/>
              <w:rPr>
                <w:sz w:val="20"/>
                <w:szCs w:val="20"/>
                <w:color w:val="auto"/>
              </w:rPr>
            </w:pPr>
            <w:r>
              <w:rPr>
                <w:rFonts w:ascii="Arial" w:cs="Arial" w:eastAsia="Arial" w:hAnsi="Arial"/>
                <w:sz w:val="18"/>
                <w:szCs w:val="18"/>
                <w:color w:val="auto"/>
              </w:rPr>
              <w:t>$345,600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1,646</w:t>
            </w: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4080" w:type="dxa"/>
            <w:vAlign w:val="bottom"/>
            <w:gridSpan w:val="2"/>
          </w:tcPr>
          <w:p>
            <w:pPr>
              <w:ind w:left="360"/>
              <w:spacing w:after="0"/>
              <w:rPr>
                <w:sz w:val="20"/>
                <w:szCs w:val="20"/>
                <w:color w:val="auto"/>
              </w:rPr>
            </w:pPr>
            <w:r>
              <w:rPr>
                <w:rFonts w:ascii="Arial" w:cs="Arial" w:eastAsia="Arial" w:hAnsi="Arial"/>
                <w:sz w:val="18"/>
                <w:szCs w:val="18"/>
                <w:color w:val="auto"/>
              </w:rPr>
              <w:t>Exchange of exchangeable senior notes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10,144,131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83,639</w:t>
            </w:r>
          </w:p>
        </w:tc>
        <w:tc>
          <w:tcPr>
            <w:tcW w:w="9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1"/>
              <w:spacing w:after="0"/>
              <w:rPr>
                <w:sz w:val="20"/>
                <w:szCs w:val="20"/>
                <w:color w:val="auto"/>
              </w:rPr>
            </w:pPr>
            <w:r>
              <w:rPr>
                <w:rFonts w:ascii="Arial" w:cs="Arial" w:eastAsia="Arial" w:hAnsi="Arial"/>
                <w:sz w:val="18"/>
                <w:szCs w:val="18"/>
                <w:color w:val="auto"/>
              </w:rPr>
              <w:t>83,740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Exercise of stock options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175,760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2,536</w:t>
            </w: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16"/>
        </w:trPr>
        <w:tc>
          <w:tcPr>
            <w:tcW w:w="4080" w:type="dxa"/>
            <w:vAlign w:val="bottom"/>
            <w:gridSpan w:val="2"/>
          </w:tcPr>
          <w:p>
            <w:pPr>
              <w:ind w:left="360"/>
              <w:spacing w:after="0"/>
              <w:rPr>
                <w:sz w:val="20"/>
                <w:szCs w:val="20"/>
                <w:color w:val="auto"/>
              </w:rPr>
            </w:pPr>
            <w:r>
              <w:rPr>
                <w:rFonts w:ascii="Arial" w:cs="Arial" w:eastAsia="Arial" w:hAnsi="Arial"/>
                <w:sz w:val="18"/>
                <w:szCs w:val="18"/>
                <w:color w:val="auto"/>
              </w:rPr>
              <w:t>Settlement of restricted stock units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205,630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Acquisition of treasury stock</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(51,455)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(1,010)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4080" w:type="dxa"/>
            <w:vAlign w:val="bottom"/>
            <w:gridSpan w:val="2"/>
          </w:tcPr>
          <w:p>
            <w:pPr>
              <w:ind w:left="360"/>
              <w:spacing w:after="0"/>
              <w:rPr>
                <w:sz w:val="20"/>
                <w:szCs w:val="20"/>
                <w:color w:val="auto"/>
              </w:rPr>
            </w:pPr>
            <w:r>
              <w:rPr>
                <w:rFonts w:ascii="Arial" w:cs="Arial" w:eastAsia="Arial" w:hAnsi="Arial"/>
                <w:sz w:val="18"/>
                <w:szCs w:val="18"/>
                <w:color w:val="auto"/>
              </w:rPr>
              <w:t>Other comprehensive loss, net</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(4,694)</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(4,694)</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(7,473)</w:t>
            </w:r>
          </w:p>
        </w:tc>
        <w:tc>
          <w:tcPr>
            <w:tcW w:w="10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(7,473)</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2021</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46,257,413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9"/>
              </w:rPr>
              <w:t>555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250,829</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279,361</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(109,407</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420,347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34,800,312</w:t>
            </w:r>
          </w:p>
        </w:tc>
        <w:tc>
          <w:tcPr>
            <w:tcW w:w="160" w:type="dxa"/>
            <w:vAlign w:val="bottom"/>
          </w:tcPr>
          <w:p>
            <w:pPr>
              <w:spacing w:after="0"/>
              <w:rPr>
                <w:sz w:val="18"/>
                <w:szCs w:val="18"/>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439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152,404</w:t>
            </w:r>
          </w:p>
        </w:tc>
        <w:tc>
          <w:tcPr>
            <w:tcW w:w="940" w:type="dxa"/>
            <w:vAlign w:val="bottom"/>
            <w:gridSpan w:val="2"/>
          </w:tcPr>
          <w:p>
            <w:pPr>
              <w:jc w:val="right"/>
              <w:ind w:right="101"/>
              <w:spacing w:after="0"/>
              <w:rPr>
                <w:sz w:val="20"/>
                <w:szCs w:val="20"/>
                <w:color w:val="auto"/>
              </w:rPr>
            </w:pPr>
            <w:r>
              <w:rPr>
                <w:rFonts w:ascii="Arial" w:cs="Arial" w:eastAsia="Arial" w:hAnsi="Arial"/>
                <w:sz w:val="18"/>
                <w:szCs w:val="18"/>
                <w:color w:val="auto"/>
                <w:w w:val="90"/>
              </w:rPr>
              <w:t>$ (58,131)</w:t>
            </w:r>
          </w:p>
        </w:tc>
        <w:tc>
          <w:tcPr>
            <w:tcW w:w="1000" w:type="dxa"/>
            <w:vAlign w:val="bottom"/>
            <w:gridSpan w:val="2"/>
          </w:tcPr>
          <w:p>
            <w:pPr>
              <w:jc w:val="right"/>
              <w:ind w:right="101"/>
              <w:spacing w:after="0"/>
              <w:rPr>
                <w:sz w:val="20"/>
                <w:szCs w:val="20"/>
                <w:color w:val="auto"/>
              </w:rPr>
            </w:pPr>
            <w:r>
              <w:rPr>
                <w:rFonts w:ascii="Arial" w:cs="Arial" w:eastAsia="Arial" w:hAnsi="Arial"/>
                <w:sz w:val="18"/>
                <w:szCs w:val="18"/>
                <w:color w:val="auto"/>
                <w:w w:val="91"/>
              </w:rPr>
              <w:t>$(107,033)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(2,660)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9"/>
              </w:rPr>
              <w:t>$ (14,981)</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885</w:t>
            </w: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4080" w:type="dxa"/>
            <w:vAlign w:val="bottom"/>
            <w:gridSpan w:val="2"/>
          </w:tcPr>
          <w:p>
            <w:pPr>
              <w:ind w:left="360"/>
              <w:spacing w:after="0"/>
              <w:rPr>
                <w:sz w:val="20"/>
                <w:szCs w:val="20"/>
                <w:color w:val="auto"/>
              </w:rPr>
            </w:pPr>
            <w:r>
              <w:rPr>
                <w:rFonts w:ascii="Arial" w:cs="Arial" w:eastAsia="Arial" w:hAnsi="Arial"/>
                <w:sz w:val="18"/>
                <w:szCs w:val="18"/>
                <w:color w:val="auto"/>
              </w:rPr>
              <w:t>Settlement of restricted stock units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308,364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Acquisition of treasury stock</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(53,994)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(616)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408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 net</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17,305</w:t>
            </w:r>
          </w:p>
        </w:tc>
        <w:tc>
          <w:tcPr>
            <w:tcW w:w="900" w:type="dxa"/>
            <w:vAlign w:val="bottom"/>
            <w:gridSpan w:val="3"/>
          </w:tcPr>
          <w:p>
            <w:pPr>
              <w:jc w:val="right"/>
              <w:ind w:right="41"/>
              <w:spacing w:after="0"/>
              <w:rPr>
                <w:sz w:val="20"/>
                <w:szCs w:val="20"/>
                <w:color w:val="auto"/>
              </w:rPr>
            </w:pPr>
            <w:r>
              <w:rPr>
                <w:rFonts w:ascii="Arial" w:cs="Arial" w:eastAsia="Arial" w:hAnsi="Arial"/>
                <w:sz w:val="18"/>
                <w:szCs w:val="18"/>
                <w:color w:val="auto"/>
              </w:rPr>
              <w:t>17,305</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(23,749)</w:t>
            </w:r>
          </w:p>
        </w:tc>
        <w:tc>
          <w:tcPr>
            <w:tcW w:w="10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(23,749)</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35,054,682</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9"/>
              </w:rPr>
              <w:t>442</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153,286</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(81,880</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(107,649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(21,156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902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r>
      <w:tr>
        <w:trPr>
          <w:trHeight w:val="171"/>
        </w:trPr>
        <w:tc>
          <w:tcPr>
            <w:tcW w:w="9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29"/>
        </w:trPr>
        <w:tc>
          <w:tcPr>
            <w:tcW w:w="9020" w:type="dxa"/>
            <w:vAlign w:val="bottom"/>
          </w:tcPr>
          <w:p>
            <w:pPr>
              <w:spacing w:after="0"/>
              <w:rPr>
                <w:sz w:val="11"/>
                <w:szCs w:val="11"/>
                <w:color w:val="auto"/>
              </w:rPr>
            </w:pPr>
          </w:p>
        </w:tc>
        <w:tc>
          <w:tcPr>
            <w:tcW w:w="1880" w:type="dxa"/>
            <w:vAlign w:val="bottom"/>
            <w:gridSpan w:val="6"/>
          </w:tcPr>
          <w:p>
            <w:pPr>
              <w:jc w:val="right"/>
              <w:spacing w:after="0" w:line="129" w:lineRule="exact"/>
              <w:rPr>
                <w:sz w:val="20"/>
                <w:szCs w:val="20"/>
                <w:color w:val="auto"/>
              </w:rPr>
            </w:pPr>
            <w:r>
              <w:rPr>
                <w:rFonts w:ascii="Arial" w:cs="Arial" w:eastAsia="Arial" w:hAnsi="Arial"/>
                <w:sz w:val="14"/>
                <w:szCs w:val="14"/>
                <w:b w:val="1"/>
                <w:bCs w:val="1"/>
                <w:color w:val="auto"/>
                <w:w w:val="95"/>
              </w:rPr>
              <w:t>(In thousands of US dollars)</w:t>
            </w:r>
          </w:p>
        </w:tc>
        <w:tc>
          <w:tcPr>
            <w:tcW w:w="120" w:type="dxa"/>
            <w:vAlign w:val="bottom"/>
          </w:tcPr>
          <w:p>
            <w:pPr>
              <w:spacing w:after="0"/>
              <w:rPr>
                <w:sz w:val="11"/>
                <w:szCs w:val="1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(7,473)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(23,749)</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3,448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7,935</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5,071</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598</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foreign currency,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38,480</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Restructuring and other charges</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9,504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2,138</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inventory reserves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1,646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885</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assets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Others, net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9,794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(10,430)</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accounts receivable,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6,937</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6,071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(4,863)</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1,982</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5,427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909</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1,988</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 accounts payable</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(1,817)</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(6,611)</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Accrued income taxes</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(10,700)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1,336</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1,808</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severance benefits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(2,080)</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Others, net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r>
      <w:tr>
        <w:trPr>
          <w:trHeight w:val="27"/>
        </w:trPr>
        <w:tc>
          <w:tcPr>
            <w:tcW w:w="9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21,068</w:t>
            </w:r>
          </w:p>
        </w:tc>
      </w:tr>
      <w:tr>
        <w:trPr>
          <w:trHeight w:val="216"/>
        </w:trPr>
        <w:tc>
          <w:tcPr>
            <w:tcW w:w="90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4,239</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Payment of hedge collateral</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(7,841)</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property, plant and equipment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(3,351)</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guarantee deposits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Others, net</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r>
      <w:tr>
        <w:trPr>
          <w:trHeight w:val="27"/>
        </w:trPr>
        <w:tc>
          <w:tcPr>
            <w:tcW w:w="9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(7,127)</w:t>
            </w:r>
          </w:p>
        </w:tc>
      </w:tr>
      <w:tr>
        <w:trPr>
          <w:trHeight w:val="216"/>
        </w:trPr>
        <w:tc>
          <w:tcPr>
            <w:tcW w:w="90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Acquisition of treasury stock</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(1,021)</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Repayment of principal portion of finance lease liabilities</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r>
      <w:tr>
        <w:trPr>
          <w:trHeight w:val="27"/>
        </w:trPr>
        <w:tc>
          <w:tcPr>
            <w:tcW w:w="9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(1,216)</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(10,444)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(7,089)</w:t>
            </w:r>
          </w:p>
        </w:tc>
      </w:tr>
      <w:tr>
        <w:trPr>
          <w:trHeight w:val="27"/>
        </w:trPr>
        <w:tc>
          <w:tcPr>
            <w:tcW w:w="9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5,636</w:t>
            </w:r>
          </w:p>
        </w:tc>
      </w:tr>
      <w:tr>
        <w:trPr>
          <w:trHeight w:val="216"/>
        </w:trPr>
        <w:tc>
          <w:tcPr>
            <w:tcW w:w="902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279,940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151,657</w:t>
            </w: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End of the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290,194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157,293</w:t>
            </w:r>
          </w:p>
        </w:tc>
        <w:tc>
          <w:tcPr>
            <w:tcW w:w="12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9,522</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1,534</w:t>
            </w:r>
          </w:p>
        </w:tc>
      </w:tr>
      <w:tr>
        <w:trPr>
          <w:trHeight w:val="216"/>
        </w:trPr>
        <w:tc>
          <w:tcPr>
            <w:tcW w:w="9020" w:type="dxa"/>
            <w:vAlign w:val="bottom"/>
          </w:tcPr>
          <w:p>
            <w:pPr>
              <w:spacing w:after="0"/>
              <w:rPr>
                <w:sz w:val="20"/>
                <w:szCs w:val="20"/>
                <w:color w:val="auto"/>
              </w:rPr>
            </w:pPr>
            <w:r>
              <w:rPr>
                <w:rFonts w:ascii="Arial" w:cs="Arial" w:eastAsia="Arial" w:hAnsi="Arial"/>
                <w:sz w:val="18"/>
                <w:szCs w:val="18"/>
                <w:b w:val="1"/>
                <w:bCs w:val="1"/>
                <w:color w:val="auto"/>
              </w:rPr>
              <w:t>Non-cash investing activities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additions in other 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687</w:t>
            </w:r>
          </w:p>
        </w:tc>
      </w:tr>
      <w:tr>
        <w:trPr>
          <w:trHeight w:val="216"/>
        </w:trPr>
        <w:tc>
          <w:tcPr>
            <w:tcW w:w="9020" w:type="dxa"/>
            <w:vAlign w:val="bottom"/>
          </w:tcPr>
          <w:p>
            <w:pPr>
              <w:spacing w:after="0"/>
              <w:rPr>
                <w:sz w:val="20"/>
                <w:szCs w:val="20"/>
                <w:color w:val="auto"/>
              </w:rPr>
            </w:pPr>
            <w:r>
              <w:rPr>
                <w:rFonts w:ascii="Arial" w:cs="Arial" w:eastAsia="Arial" w:hAnsi="Arial"/>
                <w:sz w:val="18"/>
                <w:szCs w:val="18"/>
                <w:b w:val="1"/>
                <w:bCs w:val="1"/>
                <w:color w:val="auto"/>
              </w:rPr>
              <w:t>Non-cash financing activities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Exchange of exchangeable senior notes into 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83,740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auto"/>
                <w:w w:val="97"/>
              </w:rPr>
              <w:t>Acquisition of treasury stock to satisfy the tax withholding obligations in connection with equity-based compensation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140"/>
          </w:cols>
          <w:pgMar w:left="320" w:top="486" w:right="439" w:bottom="1440" w:gutter="0" w:footer="0" w:header="0"/>
        </w:sectPr>
      </w:pP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40"/>
          </w:cols>
          <w:pgMar w:left="320" w:top="486"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Business, Basis of Presentation and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Magnachip Semiconductor Corporation (together with its subsidiaries, the “Company”) is a designer and manufacturer of analog and mixed-signal semiconductor platform solutions for communications, Internet of Things (“IoT”) applications, consumer, industrial and automotive applications. The Company provides technology platforms for analog, mixed signal, power, high voltage, non-volatile memory and Radio Frequency (“RF”) applications.</w:t>
      </w:r>
    </w:p>
    <w:p>
      <w:pPr>
        <w:spacing w:after="0" w:line="14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On September 1, 2020 (the “Closing Date”), the Company completed the sale of the Company’s Foundry Services Group business and its fabrication facility located in Cheongju, Korea, known as “Fab 4” to Key Foundry Co., Ltd. (the “Buyer”), a Korean corporation, in exchange for a purchase price equal to approximately $350.6 million in cash, pursuant to the terms of a business transfer agreement (the “Business Transfer Agreement”) dated March 31, 2020 by and among the Company and Magnus Semiconductor, LLC, a Korean limited liability company (“Magnus”). The purchase price was paid in a combination of U.S. Dollars in the amount of $46.5 million and Korean Won in the amount of approximately KRW</w:t>
      </w:r>
    </w:p>
    <w:p>
      <w:pPr>
        <w:spacing w:after="0" w:line="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360.6 billion. In addition to the purchase price, the Buyer assumed all severance liabilities relating to the transferred employees, which had a value of approximately $100 million. The Buyer is a wholly owned subsidiary of Magnus, which was established by Alchemist Capital Partners Korea Co., Ltd. and Credian Partners, Inc. On April 20, 2020, Magnus assigned, and the Buyer assumed, all rights and obligations of Magnus under the Business Transfer Agreement. This divestiture of the Foundry Services Group business and Fab 4 was made in connection with the Company’s strategic shift of its operational focus to its standard products business. The Foundry Services Group was historically a reportable segment. The Foundry Services Group business was classified as discontinued operations in the Company’s consolidated statements of operations and excluded from both continuing operations and segment results for the three months ended March 31, 2020. Accordingly, the Company has one reportable segment, its standard products business, together with transitional foundry services associated with its fabrication facility located in Gumi, Korea, known as “Fab 3,” that it expects to perform for the Buyer for a period of up to three years from the Closing Date (the “Transitional Fab 3 Foundry Services”).</w:t>
      </w:r>
    </w:p>
    <w:p>
      <w:pPr>
        <w:spacing w:after="0" w:line="172"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The Company’s standard products business includes its Display Solutions and Power Solutions business lines.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and industrial applications.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(“ASC”) 270, “Interim Reporting” and, accordingly, do not include all of the information and note disclosures required by U.S. GAAP for complete financial statements, except for the changes below. The results of operations for the three months ended March 31, 2021 are not necessarily indicative of the results to be expected for a full year or for any other periods. The consolidated statement of cash flow for the three months ended March 31, 2020 has not been adjusted to separately disclose the cash flow related to discontinued operations, but the material items in the operating and investing activities of the cash flow relating to discontinued operations for the same period is disclosed in Note 3. Unless otherwise stated, information in these notes to consolidated financial statements relates to the Company’s continuing operations and excludes the discontinued operations.</w:t>
      </w:r>
    </w:p>
    <w:p>
      <w:pPr>
        <w:spacing w:after="0" w:line="18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December 31, 2020 balance sheet data was derived from the Company’s audited financial statements, but does not include all disclosures required by U.S. GAAP. The interim consolidated financial statements should be read in conjunction with the Company’s Annual Report on Form 10-K for the fiscal year ended December 31,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No. 2019-12, “Income Taxes (Topic 740): Simplifying the Accounting for Income Taxes” (“ASU 2019-12”). ASU 2019-12 removes certain exceptions to the general principles in Topic 740 and improves consistent application of and simplifies GAAP for other areas of Topic 740 by clarifying and amending existing guidance. The Company adopted ASU 2019-12 as of January 1, 2021, and the adoption of ASU 2019-12 did not have a material impact on the Company’s consolidated financial statements.</w:t>
      </w:r>
    </w:p>
    <w:p>
      <w:pPr>
        <w:sectPr>
          <w:pgSz w:w="11900" w:h="16838" w:orient="portrait"/>
          <w:cols w:equalWidth="0" w:num="1">
            <w:col w:w="11120"/>
          </w:cols>
          <w:pgMar w:left="320" w:top="486" w:right="459" w:bottom="1440" w:gutter="0" w:footer="0" w:header="0"/>
        </w:sectPr>
      </w:pP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20"/>
          </w:cols>
          <w:pgMar w:left="320" w:top="486" w:right="4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Merger Agreement</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On March 25, 2021, the Company, South Dearborn Limited, an exempted company incorporated in the Cayman Islands with limited liability (“Parent”), formed by an affiliate of Wise Road Capital LTD, and Michigan Merger Sub, Inc., a Delaware corporation and a wholly owned subsidiary of Parent (“Merger Sub”), entered into an Agreement and Plan of Merger (the “Merger Agreement”). The Merger Agreement provides that, among other things, Merger Sub will be merged with and into the Company (the “Merger”), with the Company continuing its corporate existence under the General Corporation Law of the State of Delaware (the “DGCL”) as the surviving corporation and becoming a wholly owned subsidiary of Parent.</w:t>
      </w:r>
    </w:p>
    <w:p>
      <w:pPr>
        <w:spacing w:after="0" w:line="16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Pursuant to the Merger Agreement, each share of the Company’s common stock, par value $0.01 per share (the “Common Stock”), issued and outstanding immediately before the effective time of the Merger (the “Effective Time”) (other than (a) shares of Common Stock owned by the Company or any of its wholly owned subsidiaries or by Parent or any of its subsidiaries immediately before the Effective Time (collectively, “Excluded Shares”) and (b) any shares of Common Stock for which the holder thereof (i) has not voted in favor of the Merger or consented to it in writing and (ii) has properly and validly exercised their statutory rights of appraisal in respect of such shares of Common Stock in accordance with Section 262 of the DGCL (collectively, “Dissenting Shares”)) will be cancelled and will cease to exist and will be automatically converted into the right to receive $29.00 in cash, without interest (the “Merger Consideration”), subject to applicable withholding taxes.</w:t>
      </w:r>
    </w:p>
    <w:p>
      <w:pPr>
        <w:spacing w:after="0" w:line="177" w:lineRule="exact"/>
        <w:rPr>
          <w:sz w:val="20"/>
          <w:szCs w:val="20"/>
          <w:color w:val="auto"/>
        </w:rPr>
      </w:pPr>
    </w:p>
    <w:p>
      <w:pPr>
        <w:ind w:left="120" w:right="240" w:firstLine="440"/>
        <w:spacing w:after="0" w:line="273" w:lineRule="auto"/>
        <w:rPr>
          <w:sz w:val="20"/>
          <w:szCs w:val="20"/>
          <w:color w:val="auto"/>
        </w:rPr>
      </w:pPr>
      <w:r>
        <w:rPr>
          <w:rFonts w:ascii="Arial" w:cs="Arial" w:eastAsia="Arial" w:hAnsi="Arial"/>
          <w:sz w:val="17"/>
          <w:szCs w:val="17"/>
          <w:color w:val="auto"/>
        </w:rPr>
        <w:t>Consummation of the Merger is subject to certain customary closing conditions, including (i) approval of the Merger Agreement by our stockholders, (ii) the receipt of certain required or requested governmental approvals, (iii) the absence of any order or law issued, enacted or deemed applicable by certain governmental authorities specified in the Merger Agreement that makes consummation of the Merger illegal and that remains in effect (a “Prohibitive Order”), (iv) the absence of a Company Material Adverse Effect (as defined in the Merger Agreement) and (v) other customary closing conditions, including the accuracy of each party’s representations and warranties, and each party’s compliance with its obligations under the Merger Agreement (subject in the case of this clause (v) to certain materiality qualifiers).</w:t>
      </w:r>
    </w:p>
    <w:p>
      <w:pPr>
        <w:spacing w:after="0" w:line="17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Merger Agreement contains termination rights for each of the Company and Parent, including if (i) the consummation of the Merger does not occur by 11:59 p.m. (New York time) on September 25, 2021 (subject to extension to December 25, 2021 and again to March 25, 2022 at the option of either party if certain regulatory approvals have not been obtained by such date or certain governmental authorities specified in the Merger Agreement have issued, enacted or deemed applicable a Prohibitive Order), (ii) the Requisite Company Vote is not obtained, (iii) any of certain governmental authorities specified in the Merger Agreement issues, enacts or deems applicable after the date of the Merger Agreement a Prohibitive Order that has become final and non-appealable, or (iv) the other party has breached the Merger Agreement, which breach would give rise to a failure, or has materially contributed to the failure, of certain conditions to the non-breaching party’s obligations to close (subject to a cure period). Additionally, each of the Company and Parent may terminate the Merger Agreement in certain other circumstances.</w:t>
      </w:r>
    </w:p>
    <w:p>
      <w:pPr>
        <w:spacing w:after="0" w:line="178"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Merger is expected to close during the second half of 2021, subject to customary closing conditions as discussed above. For the three months ended March 31, 2021, the Company incurred $9,831 thousand of professional fees and certain transaction related expenses incurred in connection with the Merger, which were recognized in other charges in the consolidated statements of operations.</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foregoing description of the Merger Agreement is not complete and is qualified in its entirety by reference to the Merger Agreement, which is included as Exhibit 2.1 to this Quarterly Report on Form 10-Q.</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Discontinued Operations and Assets Held for Sale</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On September 1, 2020, the Company completed the sale of the Company’s Foundry Services Group business and Fab 4. As a result of the sale of the Foundry Services Group business and Fab 4, the Company recorded a gain of $287,117 thousand and all operations from the Foundry Services Group business and Fab 4 were classified as discontinued operations for the three months ended March 31, 2020. Following the consummation of the sale, and for up to three years, the Company is expected to provide the Transitional Fab 3 Foundry Services at an agreed upon cost plus mark-up. For the periods prior to the Closing Date, revenue from providing the Transitional Fab 3 Foundry Services to the Foundry Services Group is recorded at cost on both of the continuing and discontinued businesses for comparative purposes. Cash inflows to the Company from the Buyer related to providing the Transitional Fab 3 Foundry Services was $13,624 thousand for the three months ended March 31, 2021.</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results from discontinued operations, net of tax, for the three months ended March 31, 2020.</w:t>
      </w:r>
    </w:p>
    <w:p>
      <w:pPr>
        <w:spacing w:after="0" w:line="25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r>
      <w:tr>
        <w:trPr>
          <w:trHeight w:val="119"/>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tcPr>
          <w:p>
            <w:pPr>
              <w:jc w:val="center"/>
              <w:ind w:right="73"/>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gridSpan w:val="2"/>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28"/>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(In thousands of US dollars)</w:t>
            </w:r>
          </w:p>
        </w:tc>
        <w:tc>
          <w:tcPr>
            <w:tcW w:w="100" w:type="dxa"/>
            <w:vAlign w:val="bottom"/>
            <w:gridSpan w:val="2"/>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Net sales – Foundry Services Group</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86,279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sales – transitional Fab 3 foundry services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(9,737)</w:t>
            </w:r>
          </w:p>
        </w:tc>
      </w:tr>
      <w:tr>
        <w:trPr>
          <w:trHeight w:val="223"/>
        </w:trPr>
        <w:tc>
          <w:tcPr>
            <w:tcW w:w="20" w:type="dxa"/>
            <w:vAlign w:val="bottom"/>
          </w:tcPr>
          <w:p>
            <w:pPr>
              <w:spacing w:after="0"/>
              <w:rPr>
                <w:sz w:val="19"/>
                <w:szCs w:val="19"/>
                <w:color w:val="auto"/>
              </w:rPr>
            </w:pPr>
          </w:p>
        </w:tc>
        <w:tc>
          <w:tcPr>
            <w:tcW w:w="5620" w:type="dxa"/>
            <w:vAlign w:val="bottom"/>
          </w:tcPr>
          <w:p>
            <w:pPr>
              <w:ind w:left="70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Cost of sales – Foundry Services Group</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65,583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sales – transitional Fab 3 foundry services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(9,737)</w:t>
            </w:r>
          </w:p>
        </w:tc>
      </w:tr>
      <w:tr>
        <w:trPr>
          <w:trHeight w:val="230"/>
        </w:trPr>
        <w:tc>
          <w:tcPr>
            <w:tcW w:w="20" w:type="dxa"/>
            <w:vAlign w:val="bottom"/>
          </w:tcPr>
          <w:p>
            <w:pPr>
              <w:spacing w:after="0"/>
              <w:rPr>
                <w:sz w:val="20"/>
                <w:szCs w:val="20"/>
                <w:color w:val="auto"/>
              </w:rPr>
            </w:pPr>
          </w:p>
        </w:tc>
        <w:tc>
          <w:tcPr>
            <w:tcW w:w="5620" w:type="dxa"/>
            <w:vAlign w:val="bottom"/>
          </w:tcPr>
          <w:p>
            <w:pPr>
              <w:ind w:left="700"/>
              <w:spacing w:after="0"/>
              <w:rPr>
                <w:sz w:val="20"/>
                <w:szCs w:val="20"/>
                <w:color w:val="auto"/>
              </w:rPr>
            </w:pPr>
            <w:r>
              <w:rPr>
                <w:rFonts w:ascii="Arial" w:cs="Arial" w:eastAsia="Arial" w:hAnsi="Arial"/>
                <w:sz w:val="18"/>
                <w:szCs w:val="18"/>
                <w:color w:val="auto"/>
              </w:rPr>
              <w:t>Total cost of sales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55,846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20,696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5,644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7,403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2,115</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2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from discontinued operations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5,534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Foreign currency gain,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2,097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r>
      <w:tr>
        <w:trPr>
          <w:trHeight w:val="209"/>
        </w:trPr>
        <w:tc>
          <w:tcPr>
            <w:tcW w:w="5640" w:type="dxa"/>
            <w:vAlign w:val="bottom"/>
            <w:gridSpan w:val="2"/>
          </w:tcPr>
          <w:p>
            <w:pPr>
              <w:spacing w:after="0"/>
              <w:rPr>
                <w:sz w:val="20"/>
                <w:szCs w:val="20"/>
                <w:color w:val="auto"/>
              </w:rPr>
            </w:pPr>
            <w:r>
              <w:rPr>
                <w:rFonts w:ascii="Arial" w:cs="Arial" w:eastAsia="Arial" w:hAnsi="Arial"/>
                <w:sz w:val="18"/>
                <w:szCs w:val="18"/>
                <w:color w:val="auto"/>
              </w:rPr>
              <w:t>Income from discontinued operations before income tax</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expense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7,738</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CEEFF"/>
          </w:tcPr>
          <w:p>
            <w:pPr>
              <w:spacing w:after="0"/>
              <w:rPr>
                <w:sz w:val="18"/>
                <w:szCs w:val="18"/>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the three months ended March 31, 2020, the Company recorded $2,115 thousand in professional fees incurred in connection with the Foundry Services Group business and Fab 4, and recorded such costs as restructuring and other charges in the above.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supplemental cash flows information related to discontinued operations:</w:t>
      </w:r>
    </w:p>
    <w:p>
      <w:pPr>
        <w:spacing w:after="0" w:line="25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r>
      <w:tr>
        <w:trPr>
          <w:trHeight w:val="119"/>
        </w:trPr>
        <w:tc>
          <w:tcPr>
            <w:tcW w:w="33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r>
      <w:tr>
        <w:trPr>
          <w:trHeight w:val="171"/>
        </w:trPr>
        <w:tc>
          <w:tcPr>
            <w:tcW w:w="3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r>
      <w:tr>
        <w:trPr>
          <w:trHeight w:val="129"/>
        </w:trPr>
        <w:tc>
          <w:tcPr>
            <w:tcW w:w="33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7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(In thousands of US dollars)</w:t>
            </w:r>
          </w:p>
        </w:tc>
        <w:tc>
          <w:tcPr>
            <w:tcW w:w="100" w:type="dxa"/>
            <w:vAlign w:val="bottom"/>
          </w:tcPr>
          <w:p>
            <w:pPr>
              <w:spacing w:after="0"/>
              <w:rPr>
                <w:sz w:val="11"/>
                <w:szCs w:val="1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Significant non-cash operating activities: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5,365</w:t>
            </w: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3,052</w:t>
            </w: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30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(1,479)</w:t>
            </w:r>
          </w:p>
        </w:tc>
      </w:tr>
      <w:tr>
        <w:trPr>
          <w:trHeight w:val="350"/>
        </w:trPr>
        <w:tc>
          <w:tcPr>
            <w:tcW w:w="3300" w:type="dxa"/>
            <w:vAlign w:val="bottom"/>
          </w:tcPr>
          <w:p>
            <w:pPr>
              <w:spacing w:after="0"/>
              <w:rPr>
                <w:sz w:val="24"/>
                <w:szCs w:val="24"/>
                <w:color w:val="auto"/>
              </w:rPr>
            </w:pPr>
          </w:p>
        </w:tc>
        <w:tc>
          <w:tcPr>
            <w:tcW w:w="2340" w:type="dxa"/>
            <w:vAlign w:val="bottom"/>
          </w:tcPr>
          <w:p>
            <w:pPr>
              <w:jc w:val="right"/>
              <w:ind w:right="171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Inventories as of March 31, 2021 and December 31, 2020 consist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24,449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30,968</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Materials in-transit</w:t>
            </w: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736</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(6,281)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(5,901)</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Inventories, net</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29,964</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39,039</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inventory reserve for the three months ended March 31, 2021 and 2020 are as follows (in thousands):</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8"/>
              </w:rPr>
              <w:t>Three Months Ended</w:t>
            </w:r>
          </w:p>
        </w:tc>
      </w:tr>
      <w:tr>
        <w:trPr>
          <w:trHeight w:val="119"/>
        </w:trPr>
        <w:tc>
          <w:tcPr>
            <w:tcW w:w="50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4"/>
                <w:szCs w:val="14"/>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(5,901)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(5,947)</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Change in reserve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reserve charged to costs of sales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(2,164)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(1,275)</w:t>
            </w: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Sale of previously reserved inventory</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906</w:t>
            </w:r>
          </w:p>
        </w:tc>
      </w:tr>
      <w:tr>
        <w:trPr>
          <w:trHeight w:val="27"/>
        </w:trPr>
        <w:tc>
          <w:tcPr>
            <w:tcW w:w="5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(1,530)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Write off</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Reclassified to assets held for sale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694</w:t>
            </w:r>
          </w:p>
        </w:tc>
      </w:tr>
      <w:tr>
        <w:trPr>
          <w:trHeight w:val="27"/>
        </w:trPr>
        <w:tc>
          <w:tcPr>
            <w:tcW w:w="5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70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(6,281)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(4,807)</w:t>
            </w:r>
          </w:p>
        </w:tc>
      </w:tr>
      <w:tr>
        <w:trPr>
          <w:trHeight w:val="20"/>
        </w:trPr>
        <w:tc>
          <w:tcPr>
            <w:tcW w:w="5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spacing w:after="0" w:line="11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20"/>
          </w:cols>
          <w:pgMar w:left="320" w:top="486" w:right="8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Property, Plant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plant and equipment as of March 31, 2021 and December 31, 2020 are comprised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1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24,882</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102,365</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106,244</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Others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39,600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40,116</w:t>
            </w: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166,405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171,586</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w w:val="92"/>
              </w:rPr>
              <w:t>(89,948)</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(90,370)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14,557</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15,167</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91,014</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96,383</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Aggregate depreciation expenses totaled $3,262 thousand and $2,409 thousand for the three months ended March 31, 2021 and 2020, respectively.</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Intangible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Intangible assets as of March 31, 2021 and December 31, 2020 are comprised of the following (in thousands):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4"/>
                <w:szCs w:val="14"/>
                <w:b w:val="1"/>
                <w:bCs w:val="1"/>
                <w:color w:val="auto"/>
              </w:rPr>
              <w:t>March 31, 2021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6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600" w:type="dxa"/>
            <w:vAlign w:val="bottom"/>
            <w:gridSpan w:val="4"/>
          </w:tcPr>
          <w:p>
            <w:pPr>
              <w:ind w:left="420"/>
              <w:spacing w:after="0" w:line="119" w:lineRule="exact"/>
              <w:rPr>
                <w:sz w:val="20"/>
                <w:szCs w:val="20"/>
                <w:color w:val="auto"/>
              </w:rPr>
            </w:pPr>
            <w:r>
              <w:rPr>
                <w:rFonts w:ascii="Arial" w:cs="Arial" w:eastAsia="Arial" w:hAnsi="Arial"/>
                <w:sz w:val="13"/>
                <w:szCs w:val="13"/>
                <w:b w:val="1"/>
                <w:bCs w:val="1"/>
                <w:color w:val="auto"/>
              </w:rPr>
              <w:t>Accumulated</w:t>
            </w: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amount</w:t>
            </w: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9,288</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360" w:type="dxa"/>
            <w:vAlign w:val="bottom"/>
            <w:tcBorders>
              <w:top w:val="single" w:sz="8" w:color="CCEEFF"/>
            </w:tcBorders>
            <w:shd w:val="clear" w:color="auto" w:fill="CCEEFF"/>
          </w:tcPr>
          <w:p>
            <w:pPr>
              <w:jc w:val="right"/>
              <w:ind w:right="281"/>
              <w:spacing w:after="0"/>
              <w:rPr>
                <w:sz w:val="20"/>
                <w:szCs w:val="20"/>
                <w:color w:val="auto"/>
              </w:rPr>
            </w:pPr>
            <w:r>
              <w:rPr>
                <w:rFonts w:ascii="Arial" w:cs="Arial" w:eastAsia="Arial" w:hAnsi="Arial"/>
                <w:sz w:val="8"/>
                <w:szCs w:val="8"/>
                <w:color w:val="auto"/>
                <w:w w:val="73"/>
              </w:rPr>
              <w:t>)</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2,602</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9,288</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(6,686</w:t>
            </w:r>
          </w:p>
        </w:tc>
        <w:tc>
          <w:tcPr>
            <w:tcW w:w="360" w:type="dxa"/>
            <w:vAlign w:val="bottom"/>
          </w:tcPr>
          <w:p>
            <w:pPr>
              <w:jc w:val="right"/>
              <w:ind w:right="281"/>
              <w:spacing w:after="0"/>
              <w:rPr>
                <w:sz w:val="20"/>
                <w:szCs w:val="20"/>
                <w:color w:val="auto"/>
              </w:rPr>
            </w:pPr>
            <w:r>
              <w:rPr>
                <w:rFonts w:ascii="Arial" w:cs="Arial" w:eastAsia="Arial" w:hAnsi="Arial"/>
                <w:sz w:val="8"/>
                <w:szCs w:val="8"/>
                <w:color w:val="auto"/>
                <w:w w:val="73"/>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2,602</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4"/>
                <w:szCs w:val="14"/>
                <w:b w:val="1"/>
                <w:bCs w:val="1"/>
                <w:color w:val="auto"/>
              </w:rPr>
              <w:t>December 31, 2020</w:t>
            </w: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6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600" w:type="dxa"/>
            <w:vAlign w:val="bottom"/>
            <w:gridSpan w:val="4"/>
          </w:tcPr>
          <w:p>
            <w:pPr>
              <w:ind w:left="420"/>
              <w:spacing w:after="0" w:line="119" w:lineRule="exact"/>
              <w:rPr>
                <w:sz w:val="20"/>
                <w:szCs w:val="20"/>
                <w:color w:val="auto"/>
              </w:rPr>
            </w:pPr>
            <w:r>
              <w:rPr>
                <w:rFonts w:ascii="Arial" w:cs="Arial" w:eastAsia="Arial" w:hAnsi="Arial"/>
                <w:sz w:val="13"/>
                <w:szCs w:val="13"/>
                <w:b w:val="1"/>
                <w:bCs w:val="1"/>
                <w:color w:val="auto"/>
              </w:rPr>
              <w:t>Accumulated</w:t>
            </w: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amount</w:t>
            </w: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9,486</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w:t>
            </w:r>
          </w:p>
        </w:tc>
        <w:tc>
          <w:tcPr>
            <w:tcW w:w="360" w:type="dxa"/>
            <w:vAlign w:val="bottom"/>
            <w:tcBorders>
              <w:top w:val="single" w:sz="8" w:color="CCEEFF"/>
            </w:tcBorders>
            <w:shd w:val="clear" w:color="auto" w:fill="CCEEFF"/>
          </w:tcPr>
          <w:p>
            <w:pPr>
              <w:jc w:val="right"/>
              <w:ind w:right="281"/>
              <w:spacing w:after="0"/>
              <w:rPr>
                <w:sz w:val="20"/>
                <w:szCs w:val="20"/>
                <w:color w:val="auto"/>
              </w:rPr>
            </w:pPr>
            <w:r>
              <w:rPr>
                <w:rFonts w:ascii="Arial" w:cs="Arial" w:eastAsia="Arial" w:hAnsi="Arial"/>
                <w:sz w:val="8"/>
                <w:szCs w:val="8"/>
                <w:color w:val="auto"/>
                <w:w w:val="73"/>
              </w:rPr>
              <w:t>)</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2,727</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9,486</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w:t>
            </w:r>
          </w:p>
        </w:tc>
        <w:tc>
          <w:tcPr>
            <w:tcW w:w="360" w:type="dxa"/>
            <w:vAlign w:val="bottom"/>
          </w:tcPr>
          <w:p>
            <w:pPr>
              <w:jc w:val="right"/>
              <w:ind w:right="281"/>
              <w:spacing w:after="0"/>
              <w:rPr>
                <w:sz w:val="20"/>
                <w:szCs w:val="20"/>
                <w:color w:val="auto"/>
              </w:rPr>
            </w:pPr>
            <w:r>
              <w:rPr>
                <w:rFonts w:ascii="Arial" w:cs="Arial" w:eastAsia="Arial" w:hAnsi="Arial"/>
                <w:sz w:val="8"/>
                <w:szCs w:val="8"/>
                <w:color w:val="auto"/>
                <w:w w:val="73"/>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2,727</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Aggregate amortization expenses for intangible assets totaled $186 thousand and $161 thousand for the three months ended March 31, 2021 and 2020, respectively.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86"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has operating and finance leases for buildings and other assets such as vehicles and office equipment. The Company’s leases have remaining lease terms ranging from 1 year to 5 years.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tables below present financial information related to the Company’s leases.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Supplemental balance sheets information related to leases as of March 31, 2021 and December 31, 2020 are as follows (in thousands):</w:t>
      </w: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Leases</w:t>
            </w:r>
          </w:p>
        </w:tc>
        <w:tc>
          <w:tcPr>
            <w:tcW w:w="1080" w:type="dxa"/>
            <w:vAlign w:val="bottom"/>
          </w:tcPr>
          <w:p>
            <w:pPr>
              <w:spacing w:after="0"/>
              <w:rPr>
                <w:sz w:val="14"/>
                <w:szCs w:val="14"/>
                <w:color w:val="auto"/>
              </w:rPr>
            </w:pPr>
          </w:p>
        </w:tc>
        <w:tc>
          <w:tcPr>
            <w:tcW w:w="3640" w:type="dxa"/>
            <w:vAlign w:val="bottom"/>
            <w:gridSpan w:val="2"/>
            <w:vMerge w:val="restart"/>
          </w:tcPr>
          <w:p>
            <w:pPr>
              <w:ind w:left="1240"/>
              <w:spacing w:after="0"/>
              <w:rPr>
                <w:sz w:val="20"/>
                <w:szCs w:val="20"/>
                <w:color w:val="auto"/>
              </w:rPr>
            </w:pPr>
            <w:r>
              <w:rPr>
                <w:rFonts w:ascii="Arial" w:cs="Arial" w:eastAsia="Arial" w:hAnsi="Arial"/>
                <w:sz w:val="14"/>
                <w:szCs w:val="14"/>
                <w:b w:val="1"/>
                <w:bCs w:val="1"/>
                <w:color w:val="auto"/>
              </w:rPr>
              <w:t>Classification</w:t>
            </w: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280" w:type="dxa"/>
            <w:vAlign w:val="bottom"/>
            <w:gridSpan w:val="4"/>
          </w:tcPr>
          <w:p>
            <w:pPr>
              <w:ind w:left="3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4"/>
        </w:trPr>
        <w:tc>
          <w:tcPr>
            <w:tcW w:w="262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36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2"/>
              <w:spacing w:after="0" w:line="125" w:lineRule="exact"/>
              <w:rPr>
                <w:sz w:val="20"/>
                <w:szCs w:val="20"/>
                <w:color w:val="auto"/>
              </w:rPr>
            </w:pPr>
            <w:r>
              <w:rPr>
                <w:rFonts w:ascii="Arial" w:cs="Arial" w:eastAsia="Arial" w:hAnsi="Arial"/>
                <w:sz w:val="14"/>
                <w:szCs w:val="14"/>
                <w:b w:val="1"/>
                <w:bCs w:val="1"/>
                <w:color w:val="auto"/>
                <w:w w:val="96"/>
              </w:rPr>
              <w:t>2021</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2"/>
              <w:spacing w:after="0" w:line="12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ind w:left="360"/>
              <w:spacing w:after="0"/>
              <w:rPr>
                <w:sz w:val="20"/>
                <w:szCs w:val="20"/>
                <w:color w:val="auto"/>
              </w:rPr>
            </w:pPr>
            <w:r>
              <w:rPr>
                <w:rFonts w:ascii="Arial" w:cs="Arial" w:eastAsia="Arial" w:hAnsi="Arial"/>
                <w:sz w:val="18"/>
                <w:szCs w:val="18"/>
                <w:color w:val="auto"/>
              </w:rPr>
              <w:t>Operating lease</w:t>
            </w: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4,592</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w:t>
            </w:r>
          </w:p>
        </w:tc>
        <w:tc>
          <w:tcPr>
            <w:tcW w:w="472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Total lease assets</w:t>
            </w:r>
          </w:p>
        </w:tc>
        <w:tc>
          <w:tcPr>
            <w:tcW w:w="10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4,773</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0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472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Operating lease liabilities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ind w:left="360"/>
              <w:spacing w:after="0"/>
              <w:rPr>
                <w:sz w:val="20"/>
                <w:szCs w:val="20"/>
                <w:color w:val="auto"/>
              </w:rPr>
            </w:pPr>
            <w:r>
              <w:rPr>
                <w:rFonts w:ascii="Arial" w:cs="Arial" w:eastAsia="Arial" w:hAnsi="Arial"/>
                <w:sz w:val="18"/>
                <w:szCs w:val="18"/>
                <w:color w:val="auto"/>
              </w:rPr>
              <w:t>Finance</w:t>
            </w: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w:t>
            </w:r>
          </w:p>
        </w:tc>
        <w:tc>
          <w:tcPr>
            <w:tcW w:w="10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ind w:left="360"/>
              <w:spacing w:after="0"/>
              <w:rPr>
                <w:sz w:val="20"/>
                <w:szCs w:val="20"/>
                <w:color w:val="auto"/>
              </w:rPr>
            </w:pPr>
            <w:r>
              <w:rPr>
                <w:rFonts w:ascii="Arial" w:cs="Arial" w:eastAsia="Arial" w:hAnsi="Arial"/>
                <w:sz w:val="18"/>
                <w:szCs w:val="18"/>
                <w:color w:val="auto"/>
              </w:rPr>
              <w:t>Operating</w:t>
            </w: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Non-current operating lease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2,240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w:t>
            </w:r>
          </w:p>
        </w:tc>
        <w:tc>
          <w:tcPr>
            <w:tcW w:w="472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Total lease liabilities</w:t>
            </w:r>
          </w:p>
        </w:tc>
        <w:tc>
          <w:tcPr>
            <w:tcW w:w="10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61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2.9 years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3.0 years</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2.8 years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 years</w:t>
            </w: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w:t>
            </w: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Finance leases</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7.75%</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7.75%</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lease cost included in the Company’s consolidated statements of operations, are as follows (in thousands):</w:t>
      </w:r>
    </w:p>
    <w:p>
      <w:pPr>
        <w:spacing w:after="0" w:line="244"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Three Months</w:t>
      </w:r>
    </w:p>
    <w:p>
      <w:pPr>
        <w:jc w:val="center"/>
        <w:ind w:left="6320"/>
        <w:spacing w:after="0" w:line="236" w:lineRule="auto"/>
        <w:rPr>
          <w:sz w:val="20"/>
          <w:szCs w:val="20"/>
          <w:color w:val="auto"/>
        </w:rPr>
      </w:pPr>
      <w:r>
        <w:rPr>
          <w:rFonts w:ascii="Arial" w:cs="Arial" w:eastAsia="Arial" w:hAnsi="Arial"/>
          <w:sz w:val="14"/>
          <w:szCs w:val="14"/>
          <w:b w:val="1"/>
          <w:bCs w:val="1"/>
          <w:color w:val="auto"/>
        </w:rPr>
        <w:t>Ended</w:t>
      </w:r>
    </w:p>
    <w:tbl>
      <w:tblPr>
        <w:tblLayout w:type="fixed"/>
        <w:tblInd w:w="1440" w:type="dxa"/>
        <w:tblCellMar>
          <w:top w:w="0" w:type="dxa"/>
          <w:left w:w="0" w:type="dxa"/>
          <w:bottom w:w="0" w:type="dxa"/>
          <w:right w:w="0" w:type="dxa"/>
        </w:tblCellMar>
      </w:tblPr>
      <w:tr>
        <w:trPr>
          <w:trHeight w:val="119"/>
        </w:trPr>
        <w:tc>
          <w:tcPr>
            <w:tcW w:w="640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r>
      <w:tr>
        <w:trPr>
          <w:trHeight w:val="171"/>
        </w:trPr>
        <w:tc>
          <w:tcPr>
            <w:tcW w:w="6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4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Finance lease cost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right-of-use assets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Interest on lease liabilities</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701</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w:t>
            </w:r>
          </w:p>
        </w:tc>
      </w:tr>
      <w:tr>
        <w:trPr>
          <w:trHeight w:val="20"/>
        </w:trPr>
        <w:tc>
          <w:tcPr>
            <w:tcW w:w="6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table does not include an immaterial cost of short-term leases for the three months ended March 31, 2021 and 2020.</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320" w:top="486" w:right="6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lease information is as follows (in thousands):</w:t>
      </w:r>
    </w:p>
    <w:p>
      <w:pPr>
        <w:spacing w:after="0" w:line="244"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Three Months</w:t>
      </w:r>
    </w:p>
    <w:p>
      <w:pPr>
        <w:jc w:val="center"/>
        <w:ind w:left="6340"/>
        <w:spacing w:after="0" w:line="236" w:lineRule="auto"/>
        <w:rPr>
          <w:sz w:val="20"/>
          <w:szCs w:val="20"/>
          <w:color w:val="auto"/>
        </w:rPr>
      </w:pPr>
      <w:r>
        <w:rPr>
          <w:rFonts w:ascii="Arial" w:cs="Arial" w:eastAsia="Arial" w:hAnsi="Arial"/>
          <w:sz w:val="14"/>
          <w:szCs w:val="14"/>
          <w:b w:val="1"/>
          <w:bCs w:val="1"/>
          <w:color w:val="auto"/>
        </w:rPr>
        <w:t>Ended</w:t>
      </w:r>
    </w:p>
    <w:tbl>
      <w:tblPr>
        <w:tblLayout w:type="fixed"/>
        <w:tblInd w:w="1440" w:type="dxa"/>
        <w:tblCellMar>
          <w:top w:w="0" w:type="dxa"/>
          <w:left w:w="0" w:type="dxa"/>
          <w:bottom w:w="0" w:type="dxa"/>
          <w:right w:w="0" w:type="dxa"/>
        </w:tblCellMar>
      </w:tblPr>
      <w:tr>
        <w:trPr>
          <w:trHeight w:val="119"/>
        </w:trPr>
        <w:tc>
          <w:tcPr>
            <w:tcW w:w="6400" w:type="dxa"/>
            <w:vAlign w:val="bottom"/>
          </w:tcPr>
          <w:p>
            <w:pPr>
              <w:spacing w:after="0"/>
              <w:rPr>
                <w:sz w:val="10"/>
                <w:szCs w:val="10"/>
                <w:color w:val="auto"/>
              </w:rPr>
            </w:pPr>
          </w:p>
        </w:tc>
        <w:tc>
          <w:tcPr>
            <w:tcW w:w="9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r>
      <w:tr>
        <w:trPr>
          <w:trHeight w:val="171"/>
        </w:trPr>
        <w:tc>
          <w:tcPr>
            <w:tcW w:w="6400" w:type="dxa"/>
            <w:vAlign w:val="bottom"/>
          </w:tcPr>
          <w:p>
            <w:pPr>
              <w:spacing w:after="0"/>
              <w:rPr>
                <w:sz w:val="14"/>
                <w:szCs w:val="14"/>
                <w:color w:val="auto"/>
              </w:rPr>
            </w:pPr>
          </w:p>
        </w:tc>
        <w:tc>
          <w:tcPr>
            <w:tcW w:w="640" w:type="dxa"/>
            <w:vAlign w:val="bottom"/>
          </w:tcPr>
          <w:p>
            <w:pPr>
              <w:jc w:val="right"/>
              <w:ind w:right="98"/>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96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   680</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   468</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from finance leases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6400" w:type="dxa"/>
            <w:vAlign w:val="bottom"/>
          </w:tcPr>
          <w:p>
            <w:pPr>
              <w:ind w:left="360"/>
              <w:spacing w:after="0"/>
              <w:rPr>
                <w:sz w:val="20"/>
                <w:szCs w:val="20"/>
                <w:color w:val="auto"/>
              </w:rPr>
            </w:pPr>
            <w:r>
              <w:rPr>
                <w:rFonts w:ascii="Arial" w:cs="Arial" w:eastAsia="Arial" w:hAnsi="Arial"/>
                <w:sz w:val="18"/>
                <w:szCs w:val="18"/>
                <w:color w:val="auto"/>
              </w:rPr>
              <w:t>Financing cash flows from finance leases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aggregate future lease payments for operating and finance leases as of March 31, 2021 are as follows (in thousands):</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Operating</w:t>
            </w:r>
          </w:p>
        </w:tc>
        <w:tc>
          <w:tcPr>
            <w:tcW w:w="2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Finance</w:t>
            </w:r>
          </w:p>
        </w:tc>
      </w:tr>
      <w:tr>
        <w:trPr>
          <w:trHeight w:val="17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4"/>
              </w:rPr>
              <w:t>Leases</w:t>
            </w:r>
          </w:p>
        </w:tc>
        <w:tc>
          <w:tcPr>
            <w:tcW w:w="2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Leases</w:t>
            </w:r>
          </w:p>
        </w:tc>
        <w:tc>
          <w:tcPr>
            <w:tcW w:w="100" w:type="dxa"/>
            <w:vAlign w:val="bottom"/>
          </w:tcPr>
          <w:p>
            <w:pPr>
              <w:spacing w:after="0"/>
              <w:rPr>
                <w:sz w:val="14"/>
                <w:szCs w:val="14"/>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1,979</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1,349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540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Total future lease payments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Present value of future payments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Accrued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as of March 31, 2021 and December 31, 2020 are comprised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Payroll, benefits and related taxes, excluding severance benefits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10,296</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Withholding tax attributable to intercompany interest income</w:t>
            </w: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512</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Interest on senior notes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Outside service fees</w:t>
            </w: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1,461</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5,925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Others</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17,867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16,241</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410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86"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Derivative Financial Instruments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Company’s Korean subsidiary from time to time has entered into zero cost collar contracts to hedge the risk of changes in the functional-currency-equivalent cash flows attributable to currency rate changes on U.S. dollar denominated revenues.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Details of the zero cost collar contracts as of March 31, 2021 are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8"/>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Date of transaction</w:t>
            </w:r>
          </w:p>
        </w:tc>
        <w:tc>
          <w:tcPr>
            <w:tcW w:w="2320" w:type="dxa"/>
            <w:vAlign w:val="bottom"/>
          </w:tcPr>
          <w:p>
            <w:pPr>
              <w:spacing w:after="0"/>
              <w:rPr>
                <w:sz w:val="17"/>
                <w:szCs w:val="17"/>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Total notional amount</w:t>
            </w:r>
          </w:p>
        </w:tc>
        <w:tc>
          <w:tcPr>
            <w:tcW w:w="600" w:type="dxa"/>
            <w:vAlign w:val="bottom"/>
          </w:tcPr>
          <w:p>
            <w:pPr>
              <w:spacing w:after="0"/>
              <w:rPr>
                <w:sz w:val="17"/>
                <w:szCs w:val="17"/>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Month of settlement</w:t>
            </w:r>
          </w:p>
        </w:tc>
      </w:tr>
      <w:tr>
        <w:trPr>
          <w:trHeight w:val="209"/>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13, 2020</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15,000</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April 2021 to June 2021</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December 15, 2020</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30,000</w:t>
            </w:r>
          </w:p>
        </w:tc>
        <w:tc>
          <w:tcPr>
            <w:tcW w:w="2880" w:type="dxa"/>
            <w:vAlign w:val="bottom"/>
          </w:tcPr>
          <w:p>
            <w:pPr>
              <w:jc w:val="center"/>
              <w:spacing w:after="0"/>
              <w:rPr>
                <w:sz w:val="20"/>
                <w:szCs w:val="20"/>
                <w:color w:val="auto"/>
              </w:rPr>
            </w:pPr>
            <w:r>
              <w:rPr>
                <w:rFonts w:ascii="Arial" w:cs="Arial" w:eastAsia="Arial" w:hAnsi="Arial"/>
                <w:sz w:val="18"/>
                <w:szCs w:val="18"/>
                <w:color w:val="auto"/>
                <w:w w:val="90"/>
              </w:rPr>
              <w:t>July 2021 to December 2021</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18, 2020</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9,000</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April 2021 to June 2021</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February 26, 2021</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18,000</w:t>
            </w:r>
          </w:p>
        </w:tc>
        <w:tc>
          <w:tcPr>
            <w:tcW w:w="2880" w:type="dxa"/>
            <w:vAlign w:val="bottom"/>
          </w:tcPr>
          <w:p>
            <w:pPr>
              <w:jc w:val="center"/>
              <w:spacing w:after="0"/>
              <w:rPr>
                <w:sz w:val="20"/>
                <w:szCs w:val="20"/>
                <w:color w:val="auto"/>
              </w:rPr>
            </w:pPr>
            <w:r>
              <w:rPr>
                <w:rFonts w:ascii="Arial" w:cs="Arial" w:eastAsia="Arial" w:hAnsi="Arial"/>
                <w:sz w:val="18"/>
                <w:szCs w:val="18"/>
                <w:color w:val="auto"/>
                <w:w w:val="90"/>
              </w:rPr>
              <w:t>July 2021 to December 2021</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Details of the zero cost collar contracts as of December 31, 2020 are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8"/>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Date of transaction</w:t>
            </w:r>
          </w:p>
        </w:tc>
        <w:tc>
          <w:tcPr>
            <w:tcW w:w="2320" w:type="dxa"/>
            <w:vAlign w:val="bottom"/>
          </w:tcPr>
          <w:p>
            <w:pPr>
              <w:spacing w:after="0"/>
              <w:rPr>
                <w:sz w:val="17"/>
                <w:szCs w:val="17"/>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Total notional amount</w:t>
            </w:r>
          </w:p>
        </w:tc>
        <w:tc>
          <w:tcPr>
            <w:tcW w:w="600" w:type="dxa"/>
            <w:vAlign w:val="bottom"/>
          </w:tcPr>
          <w:p>
            <w:pPr>
              <w:spacing w:after="0"/>
              <w:rPr>
                <w:sz w:val="17"/>
                <w:szCs w:val="17"/>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Month of settlement</w:t>
            </w:r>
          </w:p>
        </w:tc>
      </w:tr>
      <w:tr>
        <w:trPr>
          <w:trHeight w:val="209"/>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13, 2020</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30,000</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2021 to June 2021</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December 15, 2020</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30,000</w:t>
            </w:r>
          </w:p>
        </w:tc>
        <w:tc>
          <w:tcPr>
            <w:tcW w:w="2880" w:type="dxa"/>
            <w:vAlign w:val="bottom"/>
          </w:tcPr>
          <w:p>
            <w:pPr>
              <w:jc w:val="center"/>
              <w:spacing w:after="0"/>
              <w:rPr>
                <w:sz w:val="20"/>
                <w:szCs w:val="20"/>
                <w:color w:val="auto"/>
              </w:rPr>
            </w:pPr>
            <w:r>
              <w:rPr>
                <w:rFonts w:ascii="Arial" w:cs="Arial" w:eastAsia="Arial" w:hAnsi="Arial"/>
                <w:sz w:val="18"/>
                <w:szCs w:val="18"/>
                <w:color w:val="auto"/>
                <w:w w:val="90"/>
              </w:rPr>
              <w:t>July 2021 to December 2021</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18, 2020</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18,000</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2021 to June 2021</w:t>
            </w:r>
          </w:p>
        </w:tc>
      </w:tr>
    </w:tbl>
    <w:p>
      <w:pPr>
        <w:spacing w:after="0" w:line="202"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fair values of the Company’s outstanding zero cost collar contracts recorded as assets and liabilities as of March 31, 2021 and December 31, 2020 are as follows (in thousands):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Derivatives designated as hedging instruments:</w:t>
            </w:r>
          </w:p>
        </w:tc>
        <w:tc>
          <w:tcPr>
            <w:tcW w:w="4140" w:type="dxa"/>
            <w:vAlign w:val="bottom"/>
          </w:tcPr>
          <w:p>
            <w:pPr>
              <w:spacing w:after="0"/>
              <w:rPr>
                <w:sz w:val="14"/>
                <w:szCs w:val="14"/>
                <w:color w:val="auto"/>
              </w:rPr>
            </w:pPr>
          </w:p>
        </w:tc>
        <w:tc>
          <w:tcPr>
            <w:tcW w:w="860" w:type="dxa"/>
            <w:vAlign w:val="bottom"/>
            <w:gridSpan w:val="3"/>
          </w:tcPr>
          <w:p>
            <w:pPr>
              <w:ind w:left="220"/>
              <w:spacing w:after="0"/>
              <w:rPr>
                <w:sz w:val="20"/>
                <w:szCs w:val="20"/>
                <w:color w:val="auto"/>
              </w:rPr>
            </w:pPr>
            <w:r>
              <w:rPr>
                <w:rFonts w:ascii="Arial" w:cs="Arial" w:eastAsia="Arial" w:hAnsi="Arial"/>
                <w:sz w:val="14"/>
                <w:szCs w:val="14"/>
                <w:b w:val="1"/>
                <w:bCs w:val="1"/>
                <w:color w:val="auto"/>
                <w:w w:val="95"/>
              </w:rPr>
              <w:t>March 31,</w:t>
            </w:r>
          </w:p>
        </w:tc>
        <w:tc>
          <w:tcPr>
            <w:tcW w:w="1360" w:type="dxa"/>
            <w:vAlign w:val="bottom"/>
            <w:gridSpan w:val="4"/>
          </w:tcPr>
          <w:p>
            <w:pPr>
              <w:ind w:left="4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900" w:type="dxa"/>
            <w:vAlign w:val="bottom"/>
            <w:gridSpan w:val="2"/>
            <w:vMerge w:val="continue"/>
          </w:tcPr>
          <w:p>
            <w:pPr>
              <w:spacing w:after="0"/>
              <w:rPr>
                <w:sz w:val="14"/>
                <w:szCs w:val="14"/>
                <w:color w:val="auto"/>
              </w:rPr>
            </w:pPr>
          </w:p>
        </w:tc>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2021</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340"/>
              <w:spacing w:after="0"/>
              <w:rPr>
                <w:sz w:val="20"/>
                <w:szCs w:val="20"/>
                <w:color w:val="auto"/>
              </w:rPr>
            </w:pPr>
            <w:r>
              <w:rPr>
                <w:rFonts w:ascii="Arial" w:cs="Arial" w:eastAsia="Arial" w:hAnsi="Arial"/>
                <w:sz w:val="18"/>
                <w:szCs w:val="18"/>
                <w:color w:val="auto"/>
              </w:rPr>
              <w:t>Zero cost collars</w:t>
            </w:r>
          </w:p>
        </w:tc>
        <w:tc>
          <w:tcPr>
            <w:tcW w:w="4140" w:type="dxa"/>
            <w:vAlign w:val="bottom"/>
          </w:tcPr>
          <w:p>
            <w:pPr>
              <w:ind w:left="2480"/>
              <w:spacing w:after="0"/>
              <w:rPr>
                <w:sz w:val="20"/>
                <w:szCs w:val="20"/>
                <w:color w:val="auto"/>
              </w:rPr>
            </w:pPr>
            <w:r>
              <w:rPr>
                <w:rFonts w:ascii="Arial" w:cs="Arial" w:eastAsia="Arial" w:hAnsi="Arial"/>
                <w:sz w:val="18"/>
                <w:szCs w:val="18"/>
                <w:color w:val="auto"/>
              </w:rPr>
              <w:t>Other current assets</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393</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340"/>
              <w:spacing w:after="0"/>
              <w:rPr>
                <w:sz w:val="20"/>
                <w:szCs w:val="20"/>
                <w:color w:val="auto"/>
              </w:rPr>
            </w:pPr>
            <w:r>
              <w:rPr>
                <w:rFonts w:ascii="Arial" w:cs="Arial" w:eastAsia="Arial" w:hAnsi="Arial"/>
                <w:sz w:val="18"/>
                <w:szCs w:val="18"/>
                <w:color w:val="auto"/>
              </w:rPr>
              <w:t>Zero cost collars</w:t>
            </w:r>
          </w:p>
        </w:tc>
        <w:tc>
          <w:tcPr>
            <w:tcW w:w="4140" w:type="dxa"/>
            <w:vAlign w:val="bottom"/>
          </w:tcPr>
          <w:p>
            <w:pPr>
              <w:ind w:left="2220"/>
              <w:spacing w:after="0"/>
              <w:rPr>
                <w:sz w:val="20"/>
                <w:szCs w:val="20"/>
                <w:color w:val="auto"/>
              </w:rPr>
            </w:pPr>
            <w:r>
              <w:rPr>
                <w:rFonts w:ascii="Arial" w:cs="Arial" w:eastAsia="Arial" w:hAnsi="Arial"/>
                <w:sz w:val="18"/>
                <w:szCs w:val="18"/>
                <w:color w:val="auto"/>
              </w:rPr>
              <w:t>Other current liabilities</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1,243</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Offsetting of derivative assets and liabilities as of March 31, 2021 is as follows (in thousands):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Gross amounts of</w:t>
            </w: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Gross amounts</w:t>
            </w:r>
          </w:p>
        </w:tc>
        <w:tc>
          <w:tcPr>
            <w:tcW w:w="400" w:type="dxa"/>
            <w:vAlign w:val="bottom"/>
          </w:tcPr>
          <w:p>
            <w:pPr>
              <w:spacing w:after="0"/>
              <w:rPr>
                <w:sz w:val="14"/>
                <w:szCs w:val="14"/>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Net amounts of</w:t>
            </w:r>
          </w:p>
        </w:tc>
        <w:tc>
          <w:tcPr>
            <w:tcW w:w="18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Gross amounts not offset</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assets/liabilities</w:t>
            </w: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4"/>
                <w:szCs w:val="14"/>
                <w:b w:val="1"/>
                <w:bCs w:val="1"/>
                <w:color w:val="auto"/>
                <w:w w:val="88"/>
              </w:rPr>
              <w:t>in the balance sheets</w:t>
            </w:r>
          </w:p>
        </w:tc>
        <w:tc>
          <w:tcPr>
            <w:tcW w:w="2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2"/>
              </w:rPr>
              <w:t>As of March 31, 2021</w:t>
            </w:r>
          </w:p>
        </w:tc>
        <w:tc>
          <w:tcPr>
            <w:tcW w:w="1280" w:type="dxa"/>
            <w:vAlign w:val="bottom"/>
            <w:vMerge w:val="restart"/>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recognized</w:t>
            </w:r>
          </w:p>
        </w:tc>
        <w:tc>
          <w:tcPr>
            <w:tcW w:w="100" w:type="dxa"/>
            <w:vAlign w:val="bottom"/>
          </w:tcPr>
          <w:p>
            <w:pPr>
              <w:spacing w:after="0"/>
              <w:rPr>
                <w:sz w:val="10"/>
                <w:szCs w:val="10"/>
                <w:color w:val="auto"/>
              </w:rPr>
            </w:pPr>
          </w:p>
        </w:tc>
        <w:tc>
          <w:tcPr>
            <w:tcW w:w="820" w:type="dxa"/>
            <w:vAlign w:val="bottom"/>
          </w:tcPr>
          <w:p>
            <w:pPr>
              <w:spacing w:after="0" w:line="119" w:lineRule="exact"/>
              <w:rPr>
                <w:sz w:val="20"/>
                <w:szCs w:val="20"/>
                <w:color w:val="auto"/>
              </w:rPr>
            </w:pPr>
            <w:r>
              <w:rPr>
                <w:rFonts w:ascii="Arial" w:cs="Arial" w:eastAsia="Arial" w:hAnsi="Arial"/>
                <w:sz w:val="13"/>
                <w:szCs w:val="13"/>
                <w:b w:val="1"/>
                <w:bCs w:val="1"/>
                <w:color w:val="auto"/>
              </w:rPr>
              <w:t>offset in the</w:t>
            </w:r>
          </w:p>
        </w:tc>
        <w:tc>
          <w:tcPr>
            <w:tcW w:w="400" w:type="dxa"/>
            <w:vAlign w:val="bottom"/>
          </w:tcPr>
          <w:p>
            <w:pPr>
              <w:spacing w:after="0"/>
              <w:rPr>
                <w:sz w:val="10"/>
                <w:szCs w:val="10"/>
                <w:color w:val="auto"/>
              </w:rPr>
            </w:pPr>
          </w:p>
        </w:tc>
        <w:tc>
          <w:tcPr>
            <w:tcW w:w="13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presented in the</w:t>
            </w:r>
          </w:p>
        </w:tc>
        <w:tc>
          <w:tcPr>
            <w:tcW w:w="7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Financial</w:t>
            </w:r>
          </w:p>
        </w:tc>
        <w:tc>
          <w:tcPr>
            <w:tcW w:w="38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Cash collateral</w:t>
            </w:r>
          </w:p>
        </w:tc>
        <w:tc>
          <w:tcPr>
            <w:tcW w:w="38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Net amount</w:t>
            </w:r>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00" w:type="dxa"/>
            <w:vAlign w:val="bottom"/>
            <w:tcBorders>
              <w:bottom w:val="single" w:sz="8" w:color="auto"/>
            </w:tcBorders>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assets/liabilities</w:t>
            </w:r>
          </w:p>
        </w:tc>
        <w:tc>
          <w:tcPr>
            <w:tcW w:w="400" w:type="dxa"/>
            <w:vAlign w:val="bottom"/>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balance sheets</w:t>
            </w:r>
          </w:p>
        </w:tc>
        <w:tc>
          <w:tcPr>
            <w:tcW w:w="40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balance sheets</w:t>
            </w:r>
          </w:p>
        </w:tc>
        <w:tc>
          <w:tcPr>
            <w:tcW w:w="40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instruments</w:t>
            </w:r>
          </w:p>
        </w:tc>
        <w:tc>
          <w:tcPr>
            <w:tcW w:w="380" w:type="dxa"/>
            <w:vAlign w:val="bottom"/>
          </w:tcPr>
          <w:p>
            <w:pPr>
              <w:spacing w:after="0"/>
              <w:rPr>
                <w:sz w:val="14"/>
                <w:szCs w:val="14"/>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pledged</w:t>
            </w:r>
          </w:p>
        </w:tc>
        <w:tc>
          <w:tcPr>
            <w:tcW w:w="380" w:type="dxa"/>
            <w:vAlign w:val="bottom"/>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11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11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1,243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Offsetting of derivative assets and liabilities as of December 31, 2020 is as follows (in thousands):</w:t>
      </w:r>
    </w:p>
    <w:tbl>
      <w:tblPr>
        <w:tblLayout w:type="fixed"/>
        <w:tblInd w:w="120" w:type="dxa"/>
        <w:tblCellMar>
          <w:top w:w="0" w:type="dxa"/>
          <w:left w:w="0" w:type="dxa"/>
          <w:bottom w:w="0" w:type="dxa"/>
          <w:right w:w="0" w:type="dxa"/>
        </w:tblCellMar>
      </w:tblPr>
      <w:tr>
        <w:trPr>
          <w:trHeight w:val="158"/>
        </w:trPr>
        <w:tc>
          <w:tcPr>
            <w:tcW w:w="1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Gross amounts of</w:t>
            </w: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Gross amounts</w:t>
            </w:r>
          </w:p>
        </w:tc>
        <w:tc>
          <w:tcPr>
            <w:tcW w:w="138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rPr>
              <w:t>Net amounts of</w:t>
            </w:r>
          </w:p>
        </w:tc>
        <w:tc>
          <w:tcPr>
            <w:tcW w:w="180" w:type="dxa"/>
            <w:vAlign w:val="bottom"/>
          </w:tcPr>
          <w:p>
            <w:pPr>
              <w:spacing w:after="0"/>
              <w:rPr>
                <w:sz w:val="13"/>
                <w:szCs w:val="13"/>
                <w:color w:val="auto"/>
              </w:rPr>
            </w:pPr>
          </w:p>
        </w:tc>
        <w:tc>
          <w:tcPr>
            <w:tcW w:w="160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89"/>
              </w:rPr>
              <w:t>Gross amounts not offset</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assets/liabilities</w:t>
            </w: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4"/>
                <w:szCs w:val="14"/>
                <w:b w:val="1"/>
                <w:bCs w:val="1"/>
                <w:color w:val="auto"/>
                <w:w w:val="88"/>
              </w:rPr>
              <w:t>in the balance sheets</w:t>
            </w:r>
          </w:p>
        </w:tc>
        <w:tc>
          <w:tcPr>
            <w:tcW w:w="2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2020</w:t>
            </w: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recognized</w:t>
            </w:r>
          </w:p>
        </w:tc>
        <w:tc>
          <w:tcPr>
            <w:tcW w:w="100" w:type="dxa"/>
            <w:vAlign w:val="bottom"/>
          </w:tcPr>
          <w:p>
            <w:pPr>
              <w:spacing w:after="0"/>
              <w:rPr>
                <w:sz w:val="10"/>
                <w:szCs w:val="10"/>
                <w:color w:val="auto"/>
              </w:rPr>
            </w:pPr>
          </w:p>
        </w:tc>
        <w:tc>
          <w:tcPr>
            <w:tcW w:w="12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offset in the</w:t>
            </w:r>
          </w:p>
        </w:tc>
        <w:tc>
          <w:tcPr>
            <w:tcW w:w="13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presented in the</w:t>
            </w:r>
          </w:p>
        </w:tc>
        <w:tc>
          <w:tcPr>
            <w:tcW w:w="112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rPr>
              <w:t>Financial</w:t>
            </w:r>
          </w:p>
        </w:tc>
        <w:tc>
          <w:tcPr>
            <w:tcW w:w="9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Cash collateral</w:t>
            </w:r>
          </w:p>
        </w:tc>
        <w:tc>
          <w:tcPr>
            <w:tcW w:w="38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44"/>
        </w:trPr>
        <w:tc>
          <w:tcPr>
            <w:tcW w:w="258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gridSpan w:val="3"/>
          </w:tcPr>
          <w:p>
            <w:pPr>
              <w:jc w:val="right"/>
              <w:ind w:right="460"/>
              <w:spacing w:after="0" w:line="125" w:lineRule="exact"/>
              <w:rPr>
                <w:sz w:val="20"/>
                <w:szCs w:val="20"/>
                <w:color w:val="auto"/>
              </w:rPr>
            </w:pPr>
            <w:r>
              <w:rPr>
                <w:rFonts w:ascii="Arial" w:cs="Arial" w:eastAsia="Arial" w:hAnsi="Arial"/>
                <w:sz w:val="14"/>
                <w:szCs w:val="14"/>
                <w:b w:val="1"/>
                <w:bCs w:val="1"/>
                <w:color w:val="auto"/>
                <w:w w:val="93"/>
              </w:rPr>
              <w:t>assets/liabilities</w:t>
            </w:r>
          </w:p>
        </w:tc>
        <w:tc>
          <w:tcPr>
            <w:tcW w:w="132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balance sheets</w:t>
            </w:r>
          </w:p>
        </w:tc>
        <w:tc>
          <w:tcPr>
            <w:tcW w:w="1380" w:type="dxa"/>
            <w:vAlign w:val="bottom"/>
            <w:gridSpan w:val="3"/>
          </w:tcPr>
          <w:p>
            <w:pPr>
              <w:ind w:left="60"/>
              <w:spacing w:after="0" w:line="125" w:lineRule="exact"/>
              <w:rPr>
                <w:sz w:val="20"/>
                <w:szCs w:val="20"/>
                <w:color w:val="auto"/>
              </w:rPr>
            </w:pPr>
            <w:r>
              <w:rPr>
                <w:rFonts w:ascii="Arial" w:cs="Arial" w:eastAsia="Arial" w:hAnsi="Arial"/>
                <w:sz w:val="14"/>
                <w:szCs w:val="14"/>
                <w:b w:val="1"/>
                <w:bCs w:val="1"/>
                <w:color w:val="auto"/>
              </w:rPr>
              <w:t>balance sheets</w:t>
            </w:r>
          </w:p>
        </w:tc>
        <w:tc>
          <w:tcPr>
            <w:tcW w:w="112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instruments</w:t>
            </w:r>
          </w:p>
        </w:tc>
        <w:tc>
          <w:tcPr>
            <w:tcW w:w="940" w:type="dxa"/>
            <w:vAlign w:val="bottom"/>
            <w:gridSpan w:val="2"/>
          </w:tcPr>
          <w:p>
            <w:pPr>
              <w:ind w:left="240"/>
              <w:spacing w:after="0" w:line="125" w:lineRule="exact"/>
              <w:rPr>
                <w:sz w:val="20"/>
                <w:szCs w:val="20"/>
                <w:color w:val="auto"/>
              </w:rPr>
            </w:pPr>
            <w:r>
              <w:rPr>
                <w:rFonts w:ascii="Arial" w:cs="Arial" w:eastAsia="Arial" w:hAnsi="Arial"/>
                <w:sz w:val="14"/>
                <w:szCs w:val="14"/>
                <w:b w:val="1"/>
                <w:bCs w:val="1"/>
                <w:color w:val="auto"/>
              </w:rPr>
              <w:t>pledged</w:t>
            </w:r>
          </w:p>
        </w:tc>
        <w:tc>
          <w:tcPr>
            <w:tcW w:w="3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auto"/>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 Derivatives:</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11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2,036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11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350"/>
        </w:trPr>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16"/>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279" w:lineRule="auto"/>
        <w:rPr>
          <w:sz w:val="20"/>
          <w:szCs w:val="20"/>
          <w:color w:val="auto"/>
        </w:rPr>
      </w:pPr>
      <w:r>
        <w:rPr>
          <w:rFonts w:ascii="Arial" w:cs="Arial" w:eastAsia="Arial" w:hAnsi="Arial"/>
          <w:sz w:val="17"/>
          <w:szCs w:val="17"/>
          <w:color w:val="auto"/>
        </w:rPr>
        <w:t>For derivative instruments that are designated and qualify as cash flow hedges, gains or losses on the derivative aside from components excluded from the assessment of effectiveness are reported as a component of accumulated other comprehensive income (“AOCI”) and reclassified into earnings in the same period or periods during which the hedged transaction affects earnings. Gains and losses on the derivative, representing hedge components excluded from the assessment of effectiveness, are recognized in current earnings.</w:t>
      </w:r>
    </w:p>
    <w:p>
      <w:pPr>
        <w:spacing w:after="0" w:line="171"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following table summarizes the impact of derivative instruments on the consolidated statements of operations for the three months ended March 31, 2021 and 2020. Net sales of discontinued operations for the three months ended March 31, 2020 are included in the below table (in thousands):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ASC</w:t>
            </w:r>
          </w:p>
        </w:tc>
        <w:tc>
          <w:tcPr>
            <w:tcW w:w="20" w:type="dxa"/>
            <w:vAlign w:val="bottom"/>
          </w:tcPr>
          <w:p>
            <w:pPr>
              <w:spacing w:after="0"/>
              <w:rPr>
                <w:sz w:val="14"/>
                <w:szCs w:val="14"/>
                <w:color w:val="auto"/>
              </w:rPr>
            </w:pPr>
          </w:p>
        </w:tc>
        <w:tc>
          <w:tcPr>
            <w:tcW w:w="1720" w:type="dxa"/>
            <w:vAlign w:val="bottom"/>
            <w:gridSpan w:val="6"/>
          </w:tcPr>
          <w:p>
            <w:pPr>
              <w:jc w:val="center"/>
              <w:ind w:right="221"/>
              <w:spacing w:after="0"/>
              <w:rPr>
                <w:sz w:val="20"/>
                <w:szCs w:val="20"/>
                <w:color w:val="auto"/>
              </w:rPr>
            </w:pPr>
            <w:r>
              <w:rPr>
                <w:rFonts w:ascii="Arial" w:cs="Arial" w:eastAsia="Arial" w:hAnsi="Arial"/>
                <w:sz w:val="14"/>
                <w:szCs w:val="14"/>
                <w:b w:val="1"/>
                <w:bCs w:val="1"/>
                <w:color w:val="auto"/>
                <w:w w:val="91"/>
              </w:rPr>
              <w:t>Amount of Loss</w:t>
            </w:r>
          </w:p>
        </w:tc>
        <w:tc>
          <w:tcPr>
            <w:tcW w:w="2600" w:type="dxa"/>
            <w:vAlign w:val="bottom"/>
            <w:gridSpan w:val="7"/>
            <w:vMerge w:val="restart"/>
          </w:tcPr>
          <w:p>
            <w:pPr>
              <w:jc w:val="center"/>
              <w:ind w:right="201"/>
              <w:spacing w:after="0"/>
              <w:rPr>
                <w:sz w:val="20"/>
                <w:szCs w:val="20"/>
                <w:color w:val="auto"/>
              </w:rPr>
            </w:pPr>
            <w:r>
              <w:rPr>
                <w:rFonts w:ascii="Arial" w:cs="Arial" w:eastAsia="Arial" w:hAnsi="Arial"/>
                <w:sz w:val="14"/>
                <w:szCs w:val="14"/>
                <w:b w:val="1"/>
                <w:bCs w:val="1"/>
                <w:color w:val="auto"/>
                <w:w w:val="93"/>
              </w:rPr>
              <w:t>Location/Amount of Gain (Loss)</w:t>
            </w:r>
          </w:p>
        </w:tc>
        <w:tc>
          <w:tcPr>
            <w:tcW w:w="2540" w:type="dxa"/>
            <w:vAlign w:val="bottom"/>
            <w:gridSpan w:val="5"/>
            <w:vMerge w:val="restart"/>
          </w:tcPr>
          <w:p>
            <w:pPr>
              <w:jc w:val="center"/>
              <w:ind w:left="384"/>
              <w:spacing w:after="0"/>
              <w:rPr>
                <w:sz w:val="20"/>
                <w:szCs w:val="20"/>
                <w:color w:val="auto"/>
              </w:rPr>
            </w:pPr>
            <w:r>
              <w:rPr>
                <w:rFonts w:ascii="Arial" w:cs="Arial" w:eastAsia="Arial" w:hAnsi="Arial"/>
                <w:sz w:val="14"/>
                <w:szCs w:val="14"/>
                <w:b w:val="1"/>
                <w:bCs w:val="1"/>
                <w:color w:val="auto"/>
                <w:w w:val="93"/>
              </w:rPr>
              <w:t>Location/Amount of Gain (Loss)</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6"/>
          </w:tcPr>
          <w:p>
            <w:pPr>
              <w:jc w:val="center"/>
              <w:ind w:right="221"/>
              <w:spacing w:after="0" w:line="144" w:lineRule="exact"/>
              <w:rPr>
                <w:sz w:val="20"/>
                <w:szCs w:val="20"/>
                <w:color w:val="auto"/>
              </w:rPr>
            </w:pPr>
            <w:r>
              <w:rPr>
                <w:rFonts w:ascii="Arial" w:cs="Arial" w:eastAsia="Arial" w:hAnsi="Arial"/>
                <w:sz w:val="14"/>
                <w:szCs w:val="14"/>
                <w:b w:val="1"/>
                <w:bCs w:val="1"/>
                <w:color w:val="auto"/>
                <w:w w:val="90"/>
              </w:rPr>
              <w:t>Recognized in</w:t>
            </w:r>
          </w:p>
        </w:tc>
        <w:tc>
          <w:tcPr>
            <w:tcW w:w="2600" w:type="dxa"/>
            <w:vAlign w:val="bottom"/>
            <w:gridSpan w:val="7"/>
            <w:vMerge w:val="continue"/>
          </w:tcPr>
          <w:p>
            <w:pPr>
              <w:spacing w:after="0"/>
              <w:rPr>
                <w:sz w:val="12"/>
                <w:szCs w:val="12"/>
                <w:color w:val="auto"/>
              </w:rPr>
            </w:pPr>
          </w:p>
        </w:tc>
        <w:tc>
          <w:tcPr>
            <w:tcW w:w="2540" w:type="dxa"/>
            <w:vAlign w:val="bottom"/>
            <w:gridSpan w:val="5"/>
            <w:vMerge w:val="continue"/>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815 Cash Flow Hedging</w:t>
            </w:r>
          </w:p>
        </w:tc>
        <w:tc>
          <w:tcPr>
            <w:tcW w:w="20" w:type="dxa"/>
            <w:vAlign w:val="bottom"/>
          </w:tcPr>
          <w:p>
            <w:pPr>
              <w:spacing w:after="0"/>
              <w:rPr>
                <w:sz w:val="12"/>
                <w:szCs w:val="12"/>
                <w:color w:val="auto"/>
              </w:rPr>
            </w:pPr>
          </w:p>
        </w:tc>
        <w:tc>
          <w:tcPr>
            <w:tcW w:w="1720" w:type="dxa"/>
            <w:vAlign w:val="bottom"/>
            <w:gridSpan w:val="6"/>
          </w:tcPr>
          <w:p>
            <w:pPr>
              <w:jc w:val="center"/>
              <w:ind w:right="201"/>
              <w:spacing w:after="0" w:line="149" w:lineRule="exact"/>
              <w:rPr>
                <w:sz w:val="20"/>
                <w:szCs w:val="20"/>
                <w:color w:val="auto"/>
              </w:rPr>
            </w:pPr>
            <w:r>
              <w:rPr>
                <w:rFonts w:ascii="Arial" w:cs="Arial" w:eastAsia="Arial" w:hAnsi="Arial"/>
                <w:sz w:val="14"/>
                <w:szCs w:val="14"/>
                <w:b w:val="1"/>
                <w:bCs w:val="1"/>
                <w:color w:val="auto"/>
                <w:w w:val="99"/>
              </w:rPr>
              <w:t>AOCI on</w:t>
            </w:r>
          </w:p>
        </w:tc>
        <w:tc>
          <w:tcPr>
            <w:tcW w:w="1900" w:type="dxa"/>
            <w:vAlign w:val="bottom"/>
            <w:gridSpan w:val="5"/>
          </w:tcPr>
          <w:p>
            <w:pPr>
              <w:jc w:val="center"/>
              <w:ind w:left="344"/>
              <w:spacing w:after="0" w:line="149" w:lineRule="exact"/>
              <w:rPr>
                <w:sz w:val="20"/>
                <w:szCs w:val="20"/>
                <w:color w:val="auto"/>
              </w:rPr>
            </w:pPr>
            <w:r>
              <w:rPr>
                <w:rFonts w:ascii="Arial" w:cs="Arial" w:eastAsia="Arial" w:hAnsi="Arial"/>
                <w:sz w:val="14"/>
                <w:szCs w:val="14"/>
                <w:b w:val="1"/>
                <w:bCs w:val="1"/>
                <w:color w:val="auto"/>
                <w:w w:val="95"/>
              </w:rPr>
              <w:t>Reclassified from AOCI</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20" w:type="dxa"/>
            <w:vAlign w:val="bottom"/>
            <w:gridSpan w:val="4"/>
          </w:tcPr>
          <w:p>
            <w:pPr>
              <w:jc w:val="center"/>
              <w:ind w:left="504"/>
              <w:spacing w:after="0" w:line="149" w:lineRule="exact"/>
              <w:rPr>
                <w:sz w:val="20"/>
                <w:szCs w:val="20"/>
                <w:color w:val="auto"/>
              </w:rPr>
            </w:pPr>
            <w:r>
              <w:rPr>
                <w:rFonts w:ascii="Arial" w:cs="Arial" w:eastAsia="Arial" w:hAnsi="Arial"/>
                <w:sz w:val="14"/>
                <w:szCs w:val="14"/>
                <w:b w:val="1"/>
                <w:bCs w:val="1"/>
                <w:color w:val="auto"/>
                <w:w w:val="88"/>
              </w:rPr>
              <w:t>Recognized in</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Relationships</w:t>
            </w:r>
          </w:p>
        </w:tc>
        <w:tc>
          <w:tcPr>
            <w:tcW w:w="20" w:type="dxa"/>
            <w:vAlign w:val="bottom"/>
          </w:tcPr>
          <w:p>
            <w:pPr>
              <w:spacing w:after="0"/>
              <w:rPr>
                <w:sz w:val="12"/>
                <w:szCs w:val="12"/>
                <w:color w:val="auto"/>
              </w:rPr>
            </w:pPr>
          </w:p>
        </w:tc>
        <w:tc>
          <w:tcPr>
            <w:tcW w:w="1720" w:type="dxa"/>
            <w:vAlign w:val="bottom"/>
            <w:gridSpan w:val="6"/>
          </w:tcPr>
          <w:p>
            <w:pPr>
              <w:jc w:val="center"/>
              <w:ind w:right="221"/>
              <w:spacing w:after="0" w:line="129" w:lineRule="exact"/>
              <w:rPr>
                <w:sz w:val="20"/>
                <w:szCs w:val="20"/>
                <w:color w:val="auto"/>
              </w:rPr>
            </w:pPr>
            <w:r>
              <w:rPr>
                <w:rFonts w:ascii="Arial" w:cs="Arial" w:eastAsia="Arial" w:hAnsi="Arial"/>
                <w:sz w:val="14"/>
                <w:szCs w:val="14"/>
                <w:b w:val="1"/>
                <w:bCs w:val="1"/>
                <w:color w:val="auto"/>
                <w:w w:val="93"/>
              </w:rPr>
              <w:t>Derivatives</w:t>
            </w:r>
          </w:p>
        </w:tc>
        <w:tc>
          <w:tcPr>
            <w:tcW w:w="2600" w:type="dxa"/>
            <w:vAlign w:val="bottom"/>
            <w:gridSpan w:val="7"/>
          </w:tcPr>
          <w:p>
            <w:pPr>
              <w:jc w:val="center"/>
              <w:ind w:right="201"/>
              <w:spacing w:after="0" w:line="129" w:lineRule="exact"/>
              <w:rPr>
                <w:sz w:val="20"/>
                <w:szCs w:val="20"/>
                <w:color w:val="auto"/>
              </w:rPr>
            </w:pPr>
            <w:r>
              <w:rPr>
                <w:rFonts w:ascii="Arial" w:cs="Arial" w:eastAsia="Arial" w:hAnsi="Arial"/>
                <w:sz w:val="14"/>
                <w:szCs w:val="14"/>
                <w:b w:val="1"/>
                <w:bCs w:val="1"/>
                <w:color w:val="auto"/>
                <w:w w:val="93"/>
              </w:rPr>
              <w:t>Into Statement of Operations</w:t>
            </w:r>
          </w:p>
        </w:tc>
        <w:tc>
          <w:tcPr>
            <w:tcW w:w="3060" w:type="dxa"/>
            <w:vAlign w:val="bottom"/>
            <w:gridSpan w:val="7"/>
          </w:tcPr>
          <w:p>
            <w:pPr>
              <w:jc w:val="center"/>
              <w:ind w:right="60"/>
              <w:spacing w:after="0" w:line="129" w:lineRule="exact"/>
              <w:rPr>
                <w:sz w:val="20"/>
                <w:szCs w:val="20"/>
                <w:color w:val="auto"/>
              </w:rPr>
            </w:pPr>
            <w:r>
              <w:rPr>
                <w:rFonts w:ascii="Arial" w:cs="Arial" w:eastAsia="Arial" w:hAnsi="Arial"/>
                <w:sz w:val="14"/>
                <w:szCs w:val="14"/>
                <w:b w:val="1"/>
                <w:bCs w:val="1"/>
                <w:color w:val="auto"/>
                <w:w w:val="93"/>
              </w:rPr>
              <w:t>Statement of Operations on Derivatives</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gridSpan w:val="5"/>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5"/>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5"/>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8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gridSpan w:val="5"/>
          </w:tcPr>
          <w:p>
            <w:pPr>
              <w:jc w:val="center"/>
              <w:spacing w:after="0" w:line="106" w:lineRule="exact"/>
              <w:rPr>
                <w:sz w:val="20"/>
                <w:szCs w:val="20"/>
                <w:color w:val="auto"/>
              </w:rPr>
            </w:pPr>
            <w:r>
              <w:rPr>
                <w:rFonts w:ascii="Arial" w:cs="Arial" w:eastAsia="Arial" w:hAnsi="Arial"/>
                <w:sz w:val="12"/>
                <w:szCs w:val="12"/>
                <w:b w:val="1"/>
                <w:bCs w:val="1"/>
                <w:color w:val="auto"/>
              </w:rPr>
              <w:t>Three Months Ended</w:t>
            </w:r>
          </w:p>
        </w:tc>
        <w:tc>
          <w:tcPr>
            <w:tcW w:w="2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400" w:type="dxa"/>
            <w:vAlign w:val="bottom"/>
            <w:gridSpan w:val="5"/>
          </w:tcPr>
          <w:p>
            <w:pPr>
              <w:jc w:val="right"/>
              <w:spacing w:after="0" w:line="106" w:lineRule="exact"/>
              <w:rPr>
                <w:sz w:val="20"/>
                <w:szCs w:val="20"/>
                <w:color w:val="auto"/>
              </w:rPr>
            </w:pPr>
            <w:r>
              <w:rPr>
                <w:rFonts w:ascii="Arial" w:cs="Arial" w:eastAsia="Arial" w:hAnsi="Arial"/>
                <w:sz w:val="12"/>
                <w:szCs w:val="12"/>
                <w:b w:val="1"/>
                <w:bCs w:val="1"/>
                <w:color w:val="auto"/>
              </w:rPr>
              <w:t>Three Months Ended</w:t>
            </w:r>
          </w:p>
        </w:tc>
        <w:tc>
          <w:tcPr>
            <w:tcW w:w="26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420" w:type="dxa"/>
            <w:vAlign w:val="bottom"/>
            <w:gridSpan w:val="5"/>
          </w:tcPr>
          <w:p>
            <w:pPr>
              <w:jc w:val="center"/>
              <w:spacing w:after="0" w:line="106" w:lineRule="exact"/>
              <w:rPr>
                <w:sz w:val="20"/>
                <w:szCs w:val="20"/>
                <w:color w:val="auto"/>
              </w:rPr>
            </w:pPr>
            <w:r>
              <w:rPr>
                <w:rFonts w:ascii="Arial" w:cs="Arial" w:eastAsia="Arial" w:hAnsi="Arial"/>
                <w:sz w:val="12"/>
                <w:szCs w:val="12"/>
                <w:b w:val="1"/>
                <w:bCs w:val="1"/>
                <w:color w:val="auto"/>
              </w:rPr>
              <w:t>Three Months Ended</w:t>
            </w: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6"/>
          </w:tcPr>
          <w:p>
            <w:pPr>
              <w:jc w:val="center"/>
              <w:ind w:right="201"/>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tcPr>
          <w:p>
            <w:pPr>
              <w:jc w:val="right"/>
              <w:ind w:right="561"/>
              <w:spacing w:after="0"/>
              <w:rPr>
                <w:sz w:val="20"/>
                <w:szCs w:val="20"/>
                <w:color w:val="auto"/>
              </w:rPr>
            </w:pPr>
            <w:r>
              <w:rPr>
                <w:rFonts w:ascii="Arial" w:cs="Arial" w:eastAsia="Arial" w:hAnsi="Arial"/>
                <w:sz w:val="14"/>
                <w:szCs w:val="14"/>
                <w:b w:val="1"/>
                <w:bCs w:val="1"/>
                <w:color w:val="auto"/>
              </w:rPr>
              <w:t>March 31,</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2021</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center"/>
              <w:ind w:left="48"/>
              <w:spacing w:after="0" w:line="155"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w w:val="89"/>
              </w:rPr>
              <w:t>2021</w:t>
            </w: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w w:val="89"/>
              </w:rPr>
              <w:t>2021</w:t>
            </w: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Zero cost collars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(2,125</w:t>
            </w:r>
          </w:p>
        </w:tc>
        <w:tc>
          <w:tcPr>
            <w:tcW w:w="1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(5,004</w:t>
            </w:r>
          </w:p>
        </w:tc>
        <w:tc>
          <w:tcPr>
            <w:tcW w:w="280" w:type="dxa"/>
            <w:vAlign w:val="bottom"/>
            <w:tcBorders>
              <w:top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15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income,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(2,125</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 (5,004</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9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511</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(86</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As of March 31, 2021, the amount expected to be reclassified from accumulated other comprehensive loss into loss within the next 12 months is $1,002 thousand.</w:t>
      </w:r>
    </w:p>
    <w:p>
      <w:pPr>
        <w:spacing w:after="0" w:line="170"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Company set aside cash deposits to the counterparties, Nomura Financial Investment (Korea) Co., Ltd. (“NFIK”), Deutsche Bank AG, Seoul Branch (“DB”) and Standard Chartered Bank Korea Limited (“SC”), as required for the zero cost collar contracts. These cash deposits are recorded as hedge collateral on the consolidated balance sheets. Cash deposits as of March 31, 2021 and December 31, 2020 are as follows (in thousands):</w:t>
      </w:r>
    </w:p>
    <w:p>
      <w:pPr>
        <w:spacing w:after="0" w:line="15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60" w:type="dxa"/>
            <w:vAlign w:val="bottom"/>
            <w:vMerge w:val="restart"/>
          </w:tcPr>
          <w:p>
            <w:pPr>
              <w:spacing w:after="0"/>
              <w:rPr>
                <w:sz w:val="20"/>
                <w:szCs w:val="20"/>
                <w:color w:val="auto"/>
              </w:rPr>
            </w:pPr>
            <w:r>
              <w:rPr>
                <w:rFonts w:ascii="Arial" w:cs="Arial" w:eastAsia="Arial" w:hAnsi="Arial"/>
                <w:sz w:val="14"/>
                <w:szCs w:val="14"/>
                <w:b w:val="1"/>
                <w:bCs w:val="1"/>
                <w:color w:val="auto"/>
              </w:rPr>
              <w:t>Counterparties</w:t>
            </w:r>
          </w:p>
        </w:tc>
        <w:tc>
          <w:tcPr>
            <w:tcW w:w="12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626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NFIK</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DB</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SC</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is required to deposit additional cash collateral with NFIK and DB for any exposure in excess of $500 thousand, and no such cash collateral was required as of March 31, 2021 and December 31, 2020.</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These zero cost collar contracts may be terminated by the counterparties in a number of circumstances, including if the Company’s credit rating falls below B-/B3 or if the Company’s total cash and cash equivalents is less than $30,000 thousand at the end of a fiscal quarter, unless a waiver is obtained.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of March 31, 2021, the following table represents the Company’s assets and liabilities measured at fair value on a recurring basis and the basis for that measurement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Quoted Prices in</w:t>
            </w:r>
          </w:p>
        </w:tc>
        <w:tc>
          <w:tcPr>
            <w:tcW w:w="12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Significant</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w w:val="98"/>
              </w:rPr>
              <w:t>Fair Value</w:t>
            </w:r>
          </w:p>
        </w:tc>
        <w:tc>
          <w:tcPr>
            <w:tcW w:w="16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00" w:type="dxa"/>
            <w:vAlign w:val="bottom"/>
          </w:tcPr>
          <w:p>
            <w:pPr>
              <w:spacing w:after="0"/>
              <w:rPr>
                <w:sz w:val="12"/>
                <w:szCs w:val="12"/>
                <w:color w:val="auto"/>
              </w:rPr>
            </w:pPr>
          </w:p>
        </w:tc>
        <w:tc>
          <w:tcPr>
            <w:tcW w:w="11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2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7"/>
              </w:rPr>
              <w:t>Measurement</w:t>
            </w:r>
          </w:p>
        </w:tc>
        <w:tc>
          <w:tcPr>
            <w:tcW w:w="16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Asset /</w:t>
            </w:r>
          </w:p>
        </w:tc>
        <w:tc>
          <w:tcPr>
            <w:tcW w:w="100" w:type="dxa"/>
            <w:vAlign w:val="bottom"/>
          </w:tcPr>
          <w:p>
            <w:pPr>
              <w:spacing w:after="0"/>
              <w:rPr>
                <w:sz w:val="12"/>
                <w:szCs w:val="12"/>
                <w:color w:val="auto"/>
              </w:rPr>
            </w:pPr>
          </w:p>
        </w:tc>
        <w:tc>
          <w:tcPr>
            <w:tcW w:w="11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Inputs</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3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16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Liability (Level 1)</w:t>
            </w:r>
          </w:p>
        </w:tc>
        <w:tc>
          <w:tcPr>
            <w:tcW w:w="100" w:type="dxa"/>
            <w:vAlign w:val="bottom"/>
          </w:tcPr>
          <w:p>
            <w:pPr>
              <w:spacing w:after="0"/>
              <w:rPr>
                <w:sz w:val="14"/>
                <w:szCs w:val="14"/>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(Level 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Derivative assets (other current assets)</w:t>
            </w: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393</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393</w:t>
            </w:r>
          </w:p>
        </w:tc>
        <w:tc>
          <w:tcPr>
            <w:tcW w:w="16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393</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360"/>
              <w:spacing w:after="0" w:line="201" w:lineRule="exact"/>
              <w:rPr>
                <w:sz w:val="20"/>
                <w:szCs w:val="20"/>
                <w:color w:val="auto"/>
              </w:rPr>
            </w:pPr>
            <w:r>
              <w:rPr>
                <w:rFonts w:ascii="Arial" w:cs="Arial" w:eastAsia="Arial" w:hAnsi="Arial"/>
                <w:sz w:val="18"/>
                <w:szCs w:val="18"/>
                <w:color w:val="auto"/>
              </w:rPr>
              <w:t>Derivative liabilities (other current</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540"/>
              <w:spacing w:after="0"/>
              <w:rPr>
                <w:sz w:val="20"/>
                <w:szCs w:val="20"/>
                <w:color w:val="auto"/>
              </w:rPr>
            </w:pPr>
            <w:r>
              <w:rPr>
                <w:rFonts w:ascii="Arial" w:cs="Arial" w:eastAsia="Arial" w:hAnsi="Arial"/>
                <w:sz w:val="18"/>
                <w:szCs w:val="18"/>
                <w:color w:val="auto"/>
              </w:rPr>
              <w:t>liabilities)</w:t>
            </w: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1,243</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1,243</w:t>
            </w:r>
          </w:p>
        </w:tc>
        <w:tc>
          <w:tcPr>
            <w:tcW w:w="16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1,243</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3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of December 31, 2020, the following table represents the Company’s assets and liabilities measured at fair value on a recurring basis and the basis for that measurement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520" w:type="dxa"/>
            <w:vAlign w:val="bottom"/>
          </w:tcPr>
          <w:p>
            <w:pPr>
              <w:spacing w:after="0"/>
              <w:rPr>
                <w:sz w:val="14"/>
                <w:szCs w:val="14"/>
                <w:color w:val="auto"/>
              </w:rPr>
            </w:pP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Significant</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Fair Value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520" w:type="dxa"/>
            <w:vAlign w:val="bottom"/>
          </w:tcPr>
          <w:p>
            <w:pPr>
              <w:spacing w:after="0"/>
              <w:rPr>
                <w:sz w:val="12"/>
                <w:szCs w:val="12"/>
                <w:color w:val="auto"/>
              </w:rPr>
            </w:pPr>
          </w:p>
        </w:tc>
        <w:tc>
          <w:tcPr>
            <w:tcW w:w="12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5"/>
              </w:rPr>
              <w:t>Measurement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Asset /</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Inputs</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Liability (Level 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Derivative assets (other current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2,036</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2,036</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2,036</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360"/>
              <w:spacing w:after="0" w:line="201" w:lineRule="exact"/>
              <w:rPr>
                <w:sz w:val="20"/>
                <w:szCs w:val="20"/>
                <w:color w:val="auto"/>
              </w:rPr>
            </w:pPr>
            <w:r>
              <w:rPr>
                <w:rFonts w:ascii="Arial" w:cs="Arial" w:eastAsia="Arial" w:hAnsi="Arial"/>
                <w:sz w:val="18"/>
                <w:szCs w:val="18"/>
                <w:color w:val="auto"/>
              </w:rPr>
              <w:t>Derivative liabilities (other current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540"/>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195</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195</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195</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Borrowings</w:t>
      </w:r>
    </w:p>
    <w:p>
      <w:pPr>
        <w:spacing w:after="0" w:line="257"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6350</wp:posOffset>
            </wp:positionV>
            <wp:extent cx="10541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8100"/>
        <w:spacing w:after="0"/>
        <w:tabs>
          <w:tab w:leader="none" w:pos="9260" w:val="left"/>
        </w:tabs>
        <w:rPr>
          <w:sz w:val="20"/>
          <w:szCs w:val="20"/>
          <w:color w:val="auto"/>
        </w:rPr>
      </w:pPr>
      <w:r>
        <w:rPr>
          <w:rFonts w:ascii="Arial" w:cs="Arial" w:eastAsia="Arial" w:hAnsi="Arial"/>
          <w:sz w:val="14"/>
          <w:szCs w:val="14"/>
          <w:b w:val="1"/>
          <w:bCs w:val="1"/>
          <w:color w:val="auto"/>
        </w:rPr>
        <w:t>Carrying</w:t>
      </w:r>
      <w:r>
        <w:rPr>
          <w:sz w:val="20"/>
          <w:szCs w:val="20"/>
          <w:color w:val="auto"/>
        </w:rPr>
        <w:tab/>
      </w:r>
      <w:r>
        <w:rPr>
          <w:rFonts w:ascii="Arial" w:cs="Arial" w:eastAsia="Arial" w:hAnsi="Arial"/>
          <w:sz w:val="14"/>
          <w:szCs w:val="14"/>
          <w:b w:val="1"/>
          <w:bCs w:val="1"/>
          <w:color w:val="auto"/>
        </w:rPr>
        <w:t>Fair</w:t>
      </w:r>
    </w:p>
    <w:p>
      <w:pPr>
        <w:ind w:left="8220"/>
        <w:spacing w:after="0"/>
        <w:tabs>
          <w:tab w:leader="none" w:pos="9220" w:val="left"/>
        </w:tabs>
        <w:rPr>
          <w:sz w:val="20"/>
          <w:szCs w:val="20"/>
          <w:color w:val="auto"/>
        </w:rPr>
      </w:pPr>
      <w:r>
        <w:rPr>
          <w:rFonts w:ascii="Arial" w:cs="Arial" w:eastAsia="Arial" w:hAnsi="Arial"/>
          <w:sz w:val="14"/>
          <w:szCs w:val="14"/>
          <w:b w:val="1"/>
          <w:bCs w:val="1"/>
          <w:color w:val="auto"/>
        </w:rPr>
        <w:t>Value</w:t>
      </w:r>
      <w:r>
        <w:rPr>
          <w:sz w:val="20"/>
          <w:szCs w:val="20"/>
          <w:color w:val="auto"/>
        </w:rPr>
        <w:tab/>
      </w:r>
      <w:r>
        <w:rPr>
          <w:rFonts w:ascii="Arial" w:cs="Arial" w:eastAsia="Arial" w:hAnsi="Arial"/>
          <w:sz w:val="14"/>
          <w:szCs w:val="14"/>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-3175</wp:posOffset>
            </wp:positionV>
            <wp:extent cx="10541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jc w:val="center"/>
        <w:ind w:left="6580"/>
        <w:spacing w:after="0" w:line="222" w:lineRule="auto"/>
        <w:rPr>
          <w:sz w:val="20"/>
          <w:szCs w:val="20"/>
          <w:color w:val="auto"/>
        </w:rPr>
      </w:pPr>
      <w:r>
        <w:rPr>
          <w:rFonts w:ascii="Arial" w:cs="Arial" w:eastAsia="Arial" w:hAnsi="Arial"/>
          <w:sz w:val="14"/>
          <w:szCs w:val="14"/>
          <w:b w:val="1"/>
          <w:bCs w:val="1"/>
          <w:color w:val="auto"/>
        </w:rPr>
        <w:t>(In thousands of U.S.</w:t>
      </w:r>
    </w:p>
    <w:p>
      <w:pPr>
        <w:jc w:val="center"/>
        <w:ind w:left="6580"/>
        <w:spacing w:after="0" w:line="234" w:lineRule="auto"/>
        <w:rPr>
          <w:sz w:val="20"/>
          <w:szCs w:val="20"/>
          <w:color w:val="auto"/>
        </w:rPr>
      </w:pPr>
      <w:r>
        <w:rPr>
          <w:rFonts w:ascii="Arial" w:cs="Arial" w:eastAsia="Arial" w:hAnsi="Arial"/>
          <w:sz w:val="14"/>
          <w:szCs w:val="14"/>
          <w:b w:val="1"/>
          <w:bCs w:val="1"/>
          <w:color w:val="auto"/>
        </w:rPr>
        <w:t>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0</wp:posOffset>
            </wp:positionV>
            <wp:extent cx="531495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tbl>
      <w:tblPr>
        <w:tblLayout w:type="fixed"/>
        <w:tblInd w:w="1440" w:type="dxa"/>
        <w:tblCellMar>
          <w:top w:w="0" w:type="dxa"/>
          <w:left w:w="0" w:type="dxa"/>
          <w:bottom w:w="0" w:type="dxa"/>
          <w:right w:w="0" w:type="dxa"/>
        </w:tblCellMar>
      </w:tblPr>
      <w:tr>
        <w:trPr>
          <w:trHeight w:val="201"/>
        </w:trPr>
        <w:tc>
          <w:tcPr>
            <w:tcW w:w="5680" w:type="dxa"/>
            <w:vAlign w:val="bottom"/>
          </w:tcPr>
          <w:p>
            <w:pPr>
              <w:spacing w:after="0" w:line="201" w:lineRule="exact"/>
              <w:rPr>
                <w:sz w:val="20"/>
                <w:szCs w:val="20"/>
                <w:color w:val="auto"/>
              </w:rPr>
            </w:pPr>
            <w:r>
              <w:rPr>
                <w:rFonts w:ascii="Arial" w:cs="Arial" w:eastAsia="Arial" w:hAnsi="Arial"/>
                <w:sz w:val="18"/>
                <w:szCs w:val="18"/>
                <w:color w:val="auto"/>
              </w:rPr>
              <w:t>Borrowings:</w:t>
            </w:r>
          </w:p>
        </w:tc>
        <w:tc>
          <w:tcPr>
            <w:tcW w:w="17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5680" w:type="dxa"/>
            <w:vAlign w:val="bottom"/>
          </w:tcPr>
          <w:p>
            <w:pPr>
              <w:ind w:left="360"/>
              <w:spacing w:after="0"/>
              <w:rPr>
                <w:sz w:val="20"/>
                <w:szCs w:val="20"/>
                <w:color w:val="auto"/>
              </w:rPr>
            </w:pPr>
            <w:r>
              <w:rPr>
                <w:rFonts w:ascii="Arial" w:cs="Arial" w:eastAsia="Arial" w:hAnsi="Arial"/>
                <w:sz w:val="18"/>
                <w:szCs w:val="18"/>
                <w:color w:val="auto"/>
              </w:rPr>
              <w:t>5.0% Exchangeable Senior Notes due March 2021 (Level 2)</w:t>
            </w: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$83,479</w:t>
            </w:r>
          </w:p>
        </w:tc>
        <w:tc>
          <w:tcPr>
            <w:tcW w:w="880" w:type="dxa"/>
            <w:vAlign w:val="bottom"/>
          </w:tcPr>
          <w:p>
            <w:pPr>
              <w:jc w:val="right"/>
              <w:spacing w:after="0"/>
              <w:rPr>
                <w:sz w:val="20"/>
                <w:szCs w:val="20"/>
                <w:color w:val="auto"/>
              </w:rPr>
            </w:pPr>
            <w:r>
              <w:rPr>
                <w:rFonts w:ascii="Arial" w:cs="Arial" w:eastAsia="Arial" w:hAnsi="Arial"/>
                <w:sz w:val="18"/>
                <w:szCs w:val="18"/>
                <w:color w:val="auto"/>
              </w:rPr>
              <w:t>$145,466</w:t>
            </w:r>
          </w:p>
        </w:tc>
      </w:tr>
    </w:tbl>
    <w:p>
      <w:pPr>
        <w:spacing w:after="0" w:line="202"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On January 17, 2017, the Company’s wholly owned subsidiary, MagnaChip Semiconductor S.A., closed an offering (the “Exchangeable Notes Offering”) of 5.0% Exchangeable Senior Notes due March 1, 2021 (the “Exchangeable Notes”), of $86,250 thousand, which represents the principal amount, excluding $5,902 thousand of debt issuance costs. In December 2018 and February 2019, MagnaChip Semiconductor S.A. repurchased a principal amount equal to $1,590 thousand and $920 thousand, respectively, of the Exchangeable Notes in the open market. The Exchangeable Notes matured on March 1, 2021, unless they were earlier repurchased or converted. The Company estimated the fair value of the Exchangeable Notes using the market approach, which utilizes quoted market prices that fall under Level 2. For further description of the Exchangeable Notes, see Note 11, “Borrowings.”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Fair Values Measured on a Non-recurring Basis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Company’s non-financial assets, such as property, plant and equipment, and intangible assets are recorded at fair value upon acquisition and are remeasured at fair value only if an impairment charge is recognized. As of March 31, 2021 and 2020 the Company did not have any assets or liabilities measured at fair value on a non-recurring basis.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86"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Borrowings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There were no borrowings outstanding as of March 31, 2021. As of December 31, 2020, the following table represents the Company’s borrowings (in thousands):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12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5.0% Exchangeable Senior Notes due March 2021</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83,740</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borrowings, net</w:t>
            </w:r>
          </w:p>
        </w:tc>
        <w:tc>
          <w:tcPr>
            <w:tcW w:w="1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83,479</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Less: current portion of long-term borrowings, net</w:t>
            </w:r>
          </w:p>
        </w:tc>
        <w:tc>
          <w:tcPr>
            <w:tcW w:w="1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83,479</w:t>
            </w:r>
          </w:p>
        </w:tc>
        <w:tc>
          <w:tcPr>
            <w:tcW w:w="100" w:type="dxa"/>
            <w:vAlign w:val="bottom"/>
          </w:tcPr>
          <w:p>
            <w:pPr>
              <w:spacing w:after="0"/>
              <w:rPr>
                <w:sz w:val="19"/>
                <w:szCs w:val="19"/>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borrowings, net</w:t>
            </w:r>
          </w:p>
        </w:tc>
        <w:tc>
          <w:tcPr>
            <w:tcW w:w="16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5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5.0% Exchangeable Senior Notes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On January 17, 2017, MagnaChip Semiconductor S.A. closed the Exchangeable Notes Offering of $86,250 thousand aggregate principal amount of 5.0% Exchangeable Notes. Interest on the Exchangeable Notes accrues at a rate of 5.0% per annum, payable semi-annually on March 1 and September 1 of each year, beginning on March 1, 2017. The Exchangeable Notes matured on March 1, 2021, unless they were earlier repurchased or converted. Holders had the right to convert their notes at their option at any time prior to the close of business on the business day immediately preceding the stated maturity date.</w:t>
      </w:r>
    </w:p>
    <w:p>
      <w:pPr>
        <w:spacing w:after="0" w:line="188"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Company incurred debt issuance costs of $5,902 thousand related to the issuance of the Exchangeable Notes. The debt issuance costs are recorded as a direct deduction from the long-term borrowings in the consolidated balance sheets and amortized to interest expense using the effective interest method over the term of the Exchangeable Notes. Interest expense related to the Exchangeable Notes for the three months ended March 31, 2021 and 2020 were $958 thousand and $1,416 thousand, respectively.</w:t>
      </w:r>
    </w:p>
    <w:p>
      <w:pPr>
        <w:spacing w:after="0" w:line="18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February 2019, the Company repurchased a principal amount equal to $920 thousand of the Exchangeable Notes in the open market, resulting in a loss of $63 thousand, which was recorded as loss on early extinguishment of borrowings, net in the consolidated statements of operations for the year ended December 31, 2019. In December 2018, the Company repurchased a principal amount equal to $1,590 thousand of the Exchangeable Notes in the open market, resulting in a loss of $234 thousand, which was recorded as loss on early extinguishment of borrowings, net in the consolidated statements of operations for the year ended December 31, 2018.</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Prior to the March 1, 2021 maturity of the Exchangeable Notes, holders elected to exchange all outstanding Exchangeable Notes for an aggregate of 10,144,131 shares of the Company’s common stock in satisfaction in full of the outstanding obligations under the Exchangeable Notes. Upon conversion, the Company delivered for each $1,000 principal amount of converted Exchangeable Notes a number of shares equal to the exchange rate of 121.1387 shares of common stock per $1,000 principal amount of Exchangeable Notes, which was equivalent to an exchange price of approximately $8.26 per share of common stock. In connection with the exchanges, the fractional shares were paid in cash. Following March 1, 2021, the Company does not have any Exchangeable Notes outstanding.</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86"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Accrued Severance Benefits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March 31, 2021, 98% of all employees of the Company were eligible for severance benefits.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accrued severance benefits are as follows (in thousands):</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7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62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r>
      <w:tr>
        <w:trPr>
          <w:trHeight w:val="171"/>
        </w:trPr>
        <w:tc>
          <w:tcPr>
            <w:tcW w:w="6620" w:type="dxa"/>
            <w:vAlign w:val="bottom"/>
          </w:tcPr>
          <w:p>
            <w:pPr>
              <w:spacing w:after="0"/>
              <w:rPr>
                <w:sz w:val="14"/>
                <w:szCs w:val="14"/>
                <w:color w:val="auto"/>
              </w:rPr>
            </w:pPr>
          </w:p>
        </w:tc>
        <w:tc>
          <w:tcPr>
            <w:tcW w:w="660" w:type="dxa"/>
            <w:vAlign w:val="bottom"/>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78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$ 54,452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$ 53,344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Provisions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1,771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2,019</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(1,493)</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(1,952)</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(2,177)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(2,801)</w:t>
            </w:r>
          </w:p>
        </w:tc>
      </w:tr>
      <w:tr>
        <w:trPr>
          <w:trHeight w:val="27"/>
        </w:trPr>
        <w:tc>
          <w:tcPr>
            <w:tcW w:w="6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50,610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Less: Cumulative contributions to severance insurance deposit accounts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(13,212)</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(1,557)</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 National Pension Fund</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Group severance insurance plan</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(213)</w:t>
            </w:r>
          </w:p>
        </w:tc>
      </w:tr>
      <w:tr>
        <w:trPr>
          <w:trHeight w:val="27"/>
        </w:trPr>
        <w:tc>
          <w:tcPr>
            <w:tcW w:w="6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$ 39,070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$ 48,765</w:t>
            </w:r>
          </w:p>
        </w:tc>
      </w:tr>
      <w:tr>
        <w:trPr>
          <w:trHeight w:val="20"/>
        </w:trPr>
        <w:tc>
          <w:tcPr>
            <w:tcW w:w="6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12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Beginning in July 2018, the Company contributes to certain severance insurance deposit accounts a certain percentage of severance benefits that are accrued for eligible employees for their services from January 1, 2018.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is liable to pay the following future benefits to its non-executive employees upon their normal retirement age (in thousands):</w:t>
      </w:r>
    </w:p>
    <w:p>
      <w:pPr>
        <w:spacing w:after="0" w:line="26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8"/>
              </w:rPr>
              <w:t>Severance benefit</w:t>
            </w: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935</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2,062</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2026</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2,364</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2027 – 2031</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19,921</w:t>
            </w:r>
          </w:p>
        </w:tc>
      </w:tr>
    </w:tbl>
    <w:p>
      <w:pPr>
        <w:spacing w:after="0" w:line="20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Korea’s mandatory retirement age is 60 under the Employment Promotion for the Aged Act.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320" w:top="486" w:right="5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Foreign Currency Loss, Net</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the Company’s Korean subsidiary. The loans are denominated in U.S. dollars and are affected by changes in the exchange rate between the Korean won and the U.S. dollar. As of March 31, 2021 and December 31, 2020, the outstanding intercompany loan balances including accrued interest between the Korean subsidiary and the Dutch subsidiary were $381,800 thousand and $378,852 thousand, respectively. The Korean won to U.S. dollar exchange rates were 1,133.5:1 and 1,088.0:1 using the first base rate as of March 31, 2021 and December 31, 2020, respectively, as quoted by the KEB Hana Bank.</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Income Taxes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Company and its subsidiaries file income tax returns in Korea, Japan, Taiwan, the U.S. and in various other jurisdictions. The Company is subject to income or non-income tax examinations by tax authorities of these jurisdictions for all open tax years.</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loss from continuing operations before income tax expense for the three months ended March 31, 2021 and 2020 was $7,183 thousand and $29,775 thousand, respectively.</w:t>
      </w:r>
    </w:p>
    <w:p>
      <w:pPr>
        <w:spacing w:after="0" w:line="170" w:lineRule="exact"/>
        <w:rPr>
          <w:sz w:val="20"/>
          <w:szCs w:val="20"/>
          <w:color w:val="auto"/>
        </w:rPr>
      </w:pPr>
    </w:p>
    <w:p>
      <w:pPr>
        <w:jc w:val="both"/>
        <w:ind w:left="120" w:right="80" w:firstLine="440"/>
        <w:spacing w:after="0" w:line="287" w:lineRule="auto"/>
        <w:rPr>
          <w:sz w:val="20"/>
          <w:szCs w:val="20"/>
          <w:color w:val="auto"/>
        </w:rPr>
      </w:pPr>
      <w:r>
        <w:rPr>
          <w:rFonts w:ascii="Arial" w:cs="Arial" w:eastAsia="Arial" w:hAnsi="Arial"/>
          <w:sz w:val="16"/>
          <w:szCs w:val="16"/>
          <w:color w:val="auto"/>
        </w:rPr>
        <w:t>For the three months ended March 31, 2021, the Company recorded an income tax expense of $290 thousand, primarily attributable to interest on intercompany loan balances, which was offset in part by the tax benefit recognized on the loss for the first quarter of 2021 from the Company’s Korean subsidiary. For the three months ended March 31, 2020, the Company recorded an income tax expense from the continuing operations of</w:t>
      </w:r>
    </w:p>
    <w:p>
      <w:pPr>
        <w:spacing w:after="0" w:line="2" w:lineRule="exact"/>
        <w:rPr>
          <w:sz w:val="20"/>
          <w:szCs w:val="20"/>
          <w:color w:val="auto"/>
        </w:rPr>
      </w:pPr>
    </w:p>
    <w:p>
      <w:pPr>
        <w:jc w:val="both"/>
        <w:ind w:left="120" w:right="280"/>
        <w:spacing w:after="0" w:line="255" w:lineRule="auto"/>
        <w:rPr>
          <w:sz w:val="20"/>
          <w:szCs w:val="20"/>
          <w:color w:val="auto"/>
        </w:rPr>
      </w:pPr>
      <w:r>
        <w:rPr>
          <w:rFonts w:ascii="Arial" w:cs="Arial" w:eastAsia="Arial" w:hAnsi="Arial"/>
          <w:sz w:val="18"/>
          <w:szCs w:val="18"/>
          <w:color w:val="auto"/>
        </w:rPr>
        <w:t>$1,303 thousand, primarily attributable to interest on intercompany loan balances. The income tax expense was recorded for the Company’s Korean subsidiary based on the estimated taxable income for the respective period, combined with its ability to utilize net operating loss carryforwards up to 60% in 2020.</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86"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Geographic and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sets forth information relating to the single continuing operating segment (in thousands):</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7"/>
          </w:tcPr>
          <w:p>
            <w:pPr>
              <w:ind w:left="1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top w:val="single" w:sz="8" w:color="auto"/>
            </w:tcBorders>
            <w:gridSpan w:val="4"/>
          </w:tcPr>
          <w:p>
            <w:pPr>
              <w:jc w:val="right"/>
              <w:ind w:right="180"/>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March 31,</w:t>
            </w:r>
          </w:p>
        </w:tc>
        <w:tc>
          <w:tcPr>
            <w:tcW w:w="40" w:type="dxa"/>
            <w:vAlign w:val="bottom"/>
          </w:tcPr>
          <w:p>
            <w:pPr>
              <w:spacing w:after="0"/>
              <w:rPr>
                <w:sz w:val="10"/>
                <w:szCs w:val="10"/>
                <w:color w:val="auto"/>
              </w:rPr>
            </w:pPr>
          </w:p>
        </w:tc>
      </w:tr>
      <w:tr>
        <w:trPr>
          <w:trHeight w:val="171"/>
        </w:trPr>
        <w:tc>
          <w:tcPr>
            <w:tcW w:w="6580" w:type="dxa"/>
            <w:vAlign w:val="bottom"/>
          </w:tcPr>
          <w:p>
            <w:pPr>
              <w:spacing w:after="0"/>
              <w:rPr>
                <w:sz w:val="14"/>
                <w:szCs w:val="14"/>
                <w:color w:val="auto"/>
              </w:rPr>
            </w:pPr>
          </w:p>
        </w:tc>
        <w:tc>
          <w:tcPr>
            <w:tcW w:w="640" w:type="dxa"/>
            <w:vAlign w:val="bottom"/>
            <w:gridSpan w:val="2"/>
          </w:tcPr>
          <w:p>
            <w:pPr>
              <w:jc w:val="right"/>
              <w:ind w:right="1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Standard products business</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9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$ 58,895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$ 77,593</w:t>
            </w:r>
          </w:p>
        </w:tc>
      </w:tr>
      <w:tr>
        <w:trPr>
          <w:trHeight w:val="216"/>
        </w:trPr>
        <w:tc>
          <w:tcPr>
            <w:tcW w:w="658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60" w:type="dxa"/>
            <w:vAlign w:val="bottom"/>
          </w:tcPr>
          <w:p>
            <w:pPr>
              <w:spacing w:after="0"/>
              <w:rPr>
                <w:sz w:val="18"/>
                <w:szCs w:val="18"/>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54,011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33,143</w:t>
            </w:r>
          </w:p>
        </w:tc>
      </w:tr>
      <w:tr>
        <w:trPr>
          <w:trHeight w:val="27"/>
        </w:trPr>
        <w:tc>
          <w:tcPr>
            <w:tcW w:w="6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standard products business</w:t>
            </w:r>
          </w:p>
        </w:tc>
        <w:tc>
          <w:tcPr>
            <w:tcW w:w="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2"/>
              </w:rPr>
              <w:t>$ 112,906</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$ 110,736</w:t>
            </w: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Transitional Fab 3 foundry services</w:t>
            </w:r>
          </w:p>
        </w:tc>
        <w:tc>
          <w:tcPr>
            <w:tcW w:w="60" w:type="dxa"/>
            <w:vAlign w:val="bottom"/>
          </w:tcPr>
          <w:p>
            <w:pPr>
              <w:spacing w:after="0"/>
              <w:rPr>
                <w:sz w:val="18"/>
                <w:szCs w:val="18"/>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10,113</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9,737</w:t>
            </w:r>
          </w:p>
        </w:tc>
      </w:tr>
      <w:tr>
        <w:trPr>
          <w:trHeight w:val="27"/>
        </w:trPr>
        <w:tc>
          <w:tcPr>
            <w:tcW w:w="6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5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revenues</w:t>
            </w:r>
          </w:p>
        </w:tc>
        <w:tc>
          <w:tcPr>
            <w:tcW w:w="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123,019</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120,473</w:t>
            </w:r>
          </w:p>
        </w:tc>
      </w:tr>
      <w:tr>
        <w:trPr>
          <w:trHeight w:val="20"/>
        </w:trPr>
        <w:tc>
          <w:tcPr>
            <w:tcW w:w="6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9"/>
        </w:trPr>
        <w:tc>
          <w:tcPr>
            <w:tcW w:w="6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7"/>
          </w:tcPr>
          <w:p>
            <w:pPr>
              <w:ind w:left="1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580" w:type="dxa"/>
            <w:vAlign w:val="bottom"/>
          </w:tcPr>
          <w:p>
            <w:pPr>
              <w:spacing w:after="0"/>
              <w:rPr>
                <w:sz w:val="10"/>
                <w:szCs w:val="10"/>
                <w:color w:val="auto"/>
              </w:rPr>
            </w:pPr>
          </w:p>
        </w:tc>
        <w:tc>
          <w:tcPr>
            <w:tcW w:w="900" w:type="dxa"/>
            <w:vAlign w:val="bottom"/>
            <w:tcBorders>
              <w:top w:val="single" w:sz="8" w:color="auto"/>
            </w:tcBorders>
            <w:gridSpan w:val="5"/>
          </w:tcPr>
          <w:p>
            <w:pPr>
              <w:jc w:val="right"/>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r>
      <w:tr>
        <w:trPr>
          <w:trHeight w:val="171"/>
        </w:trPr>
        <w:tc>
          <w:tcPr>
            <w:tcW w:w="6580" w:type="dxa"/>
            <w:vAlign w:val="bottom"/>
          </w:tcPr>
          <w:p>
            <w:pPr>
              <w:spacing w:after="0"/>
              <w:rPr>
                <w:sz w:val="14"/>
                <w:szCs w:val="14"/>
                <w:color w:val="auto"/>
              </w:rPr>
            </w:pPr>
          </w:p>
        </w:tc>
        <w:tc>
          <w:tcPr>
            <w:tcW w:w="640" w:type="dxa"/>
            <w:vAlign w:val="bottom"/>
            <w:gridSpan w:val="2"/>
          </w:tcPr>
          <w:p>
            <w:pPr>
              <w:jc w:val="right"/>
              <w:ind w:right="9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Standard products business</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$ 33,659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$ 29,130</w:t>
            </w: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Transitional Fab 3 foundry services</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6580" w:type="dxa"/>
            <w:vAlign w:val="bottom"/>
          </w:tcPr>
          <w:p>
            <w:pPr>
              <w:ind w:left="720"/>
              <w:spacing w:after="0"/>
              <w:rPr>
                <w:sz w:val="20"/>
                <w:szCs w:val="20"/>
                <w:color w:val="auto"/>
              </w:rPr>
            </w:pPr>
            <w:r>
              <w:rPr>
                <w:rFonts w:ascii="Arial" w:cs="Arial" w:eastAsia="Arial" w:hAnsi="Arial"/>
                <w:sz w:val="18"/>
                <w:szCs w:val="18"/>
                <w:color w:val="auto"/>
              </w:rPr>
              <w:t>Total gross profit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$ 34,382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$ 29,130</w:t>
            </w:r>
          </w:p>
        </w:tc>
        <w:tc>
          <w:tcPr>
            <w:tcW w:w="4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following is a summary of net sales—standard products business (which does not include the Transitional Fab 3 Foundry Services) by geographic region, based on the location to which the products are billed (in thousands):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660" w:type="dxa"/>
            <w:vAlign w:val="bottom"/>
          </w:tcPr>
          <w:p>
            <w:pPr>
              <w:spacing w:after="0"/>
              <w:rPr>
                <w:sz w:val="10"/>
                <w:szCs w:val="10"/>
                <w:color w:val="auto"/>
              </w:rPr>
            </w:pPr>
          </w:p>
        </w:tc>
        <w:tc>
          <w:tcPr>
            <w:tcW w:w="980" w:type="dxa"/>
            <w:vAlign w:val="bottom"/>
            <w:tcBorders>
              <w:top w:val="single" w:sz="8" w:color="auto"/>
            </w:tcBorders>
            <w:gridSpan w:val="4"/>
          </w:tcPr>
          <w:p>
            <w:pPr>
              <w:ind w:left="40"/>
              <w:spacing w:after="0" w:line="119" w:lineRule="exact"/>
              <w:rPr>
                <w:sz w:val="20"/>
                <w:szCs w:val="20"/>
                <w:color w:val="auto"/>
              </w:rPr>
            </w:pPr>
            <w:r>
              <w:rPr>
                <w:rFonts w:ascii="Arial" w:cs="Arial" w:eastAsia="Arial" w:hAnsi="Arial"/>
                <w:sz w:val="13"/>
                <w:szCs w:val="13"/>
                <w:b w:val="1"/>
                <w:bCs w:val="1"/>
                <w:color w:val="auto"/>
              </w:rPr>
              <w:t>March 31,</w:t>
            </w: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r>
      <w:tr>
        <w:trPr>
          <w:trHeight w:val="171"/>
        </w:trPr>
        <w:tc>
          <w:tcPr>
            <w:tcW w:w="6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30,817</w:t>
            </w:r>
          </w:p>
        </w:tc>
        <w:tc>
          <w:tcPr>
            <w:tcW w:w="4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83,740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77,542</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971</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112,906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110,736</w:t>
            </w:r>
          </w:p>
        </w:tc>
        <w:tc>
          <w:tcPr>
            <w:tcW w:w="4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the three months ended March 31, 2021 and 2020, of the Company’s net sales – standard products business in Asia Pacific (other than Korea), net sales – standard products business in China and Hong Kong represented 57.1% and 95.3%, respectively, and net sales—standard products business in Vietnam represented 37.4% and 1.0%, respectively.</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Net sales from the Company’s top ten largest customers in the standard products business (which does not include the Transitional Fab 3 Foundry Services) accounted for 82% and 90% for the three months ended March 31, 2021 and 2020, respectively.</w:t>
      </w:r>
    </w:p>
    <w:p>
      <w:pPr>
        <w:spacing w:after="0" w:line="170"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For the three months ended March 31, 2021, the Company had two customers that represented 48.8% and 10.0% of its net sales – standard products business. For the three months ended March 31, 2020, the Company had two customers that represented 52.8% and 15.8% of its net sales – standard products business.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2021 and December 31, 2020, one customer accounted for 33.1% and 45.1% of accounts receivable,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86"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16. Accumulated Other Comprehensive Income (Loss)</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Accumulated other comprehensive income (loss) consists of the following as of March 31, 2021 and December 31, 2020, respectively (in thousands):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2021</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r>
      <w:tr>
        <w:trPr>
          <w:trHeight w:val="209"/>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78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Derivative adjustments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(1,002)</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1,634</w:t>
            </w:r>
          </w:p>
        </w:tc>
      </w:tr>
      <w:tr>
        <w:trPr>
          <w:trHeight w:val="27"/>
        </w:trPr>
        <w:tc>
          <w:tcPr>
            <w:tcW w:w="4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3,703</w:t>
            </w:r>
          </w:p>
        </w:tc>
      </w:tr>
      <w:tr>
        <w:trPr>
          <w:trHeight w:val="20"/>
        </w:trPr>
        <w:tc>
          <w:tcPr>
            <w:tcW w:w="4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Changes in accumulated other comprehensive income (loss) for the three months ended March 31, 2021 and 2020 are as follows (in thousands):</w:t>
      </w:r>
    </w:p>
    <w:p>
      <w:pPr>
        <w:spacing w:after="0" w:line="25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Foreign</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currency</w:t>
            </w:r>
          </w:p>
        </w:tc>
        <w:tc>
          <w:tcPr>
            <w:tcW w:w="480" w:type="dxa"/>
            <w:vAlign w:val="bottom"/>
          </w:tcPr>
          <w:p>
            <w:pPr>
              <w:spacing w:after="0"/>
              <w:rPr>
                <w:sz w:val="12"/>
                <w:szCs w:val="12"/>
                <w:color w:val="auto"/>
              </w:rPr>
            </w:pPr>
          </w:p>
        </w:tc>
        <w:tc>
          <w:tcPr>
            <w:tcW w:w="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Derivative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March 31, 2021</w:t>
            </w:r>
          </w:p>
        </w:tc>
        <w:tc>
          <w:tcPr>
            <w:tcW w:w="360" w:type="dxa"/>
            <w:vAlign w:val="bottom"/>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48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68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460" w:type="dxa"/>
            <w:vAlign w:val="bottom"/>
            <w:gridSpan w:val="5"/>
          </w:tcPr>
          <w:p>
            <w:pPr>
              <w:ind w:left="40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4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(2,125)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(4,183)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6"/>
              </w:rPr>
              <w:t>Amounts reclassified from accumulated other comprehensive income</w:t>
            </w: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w:t>
            </w:r>
          </w:p>
        </w:tc>
        <w:tc>
          <w:tcPr>
            <w:tcW w:w="2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30"/>
        </w:trPr>
        <w:tc>
          <w:tcPr>
            <w:tcW w:w="568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loss</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(2,058)</w:t>
            </w:r>
          </w:p>
        </w:tc>
        <w:tc>
          <w:tcPr>
            <w:tcW w:w="4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(2,636)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(4,694)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left w:val="single" w:sz="8" w:color="CCEEFF"/>
            </w:tcBorders>
            <w:shd w:val="clear" w:color="auto" w:fill="CCEEFF"/>
          </w:tcPr>
          <w:p>
            <w:pPr>
              <w:spacing w:after="0"/>
              <w:rPr>
                <w:sz w:val="22"/>
                <w:szCs w:val="2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(1,002)</w:t>
            </w:r>
          </w:p>
        </w:tc>
        <w:tc>
          <w:tcPr>
            <w:tcW w:w="2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2300" w:type="dxa"/>
            <w:vAlign w:val="bottom"/>
            <w:tcBorders>
              <w:top w:val="single" w:sz="8" w:color="CCEEFF"/>
            </w:tcBorders>
          </w:tcPr>
          <w:p>
            <w:pPr>
              <w:spacing w:after="0"/>
              <w:rPr>
                <w:sz w:val="24"/>
                <w:szCs w:val="24"/>
                <w:color w:val="auto"/>
              </w:rPr>
            </w:pPr>
          </w:p>
        </w:tc>
        <w:tc>
          <w:tcPr>
            <w:tcW w:w="33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7"/>
              </w:rPr>
              <w:t>currency</w:t>
            </w:r>
          </w:p>
        </w:tc>
        <w:tc>
          <w:tcPr>
            <w:tcW w:w="480" w:type="dxa"/>
            <w:vAlign w:val="bottom"/>
          </w:tcPr>
          <w:p>
            <w:pPr>
              <w:spacing w:after="0"/>
              <w:rPr>
                <w:sz w:val="12"/>
                <w:szCs w:val="12"/>
                <w:color w:val="auto"/>
              </w:rPr>
            </w:pPr>
          </w:p>
        </w:tc>
        <w:tc>
          <w:tcPr>
            <w:tcW w:w="98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98"/>
              </w:rPr>
              <w:t>Derivative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March 31, 2020</w:t>
            </w:r>
          </w:p>
        </w:tc>
        <w:tc>
          <w:tcPr>
            <w:tcW w:w="36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translation</w:t>
            </w:r>
          </w:p>
        </w:tc>
        <w:tc>
          <w:tcPr>
            <w:tcW w:w="48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680" w:type="dxa"/>
            <w:vAlign w:val="bottom"/>
            <w:gridSpan w:val="3"/>
            <w:vMerge w:val="continue"/>
          </w:tcPr>
          <w:p>
            <w:pPr>
              <w:spacing w:after="0"/>
              <w:rPr>
                <w:sz w:val="14"/>
                <w:szCs w:val="14"/>
                <w:color w:val="auto"/>
              </w:rPr>
            </w:pPr>
          </w:p>
        </w:tc>
        <w:tc>
          <w:tcPr>
            <w:tcW w:w="1220" w:type="dxa"/>
            <w:vAlign w:val="bottom"/>
            <w:gridSpan w:val="4"/>
          </w:tcPr>
          <w:p>
            <w:pPr>
              <w:ind w:left="320"/>
              <w:spacing w:after="0"/>
              <w:rPr>
                <w:sz w:val="20"/>
                <w:szCs w:val="20"/>
                <w:color w:val="auto"/>
              </w:rPr>
            </w:pPr>
            <w:r>
              <w:rPr>
                <w:rFonts w:ascii="Arial" w:cs="Arial" w:eastAsia="Arial" w:hAnsi="Arial"/>
                <w:sz w:val="14"/>
                <w:szCs w:val="14"/>
                <w:b w:val="1"/>
                <w:bCs w:val="1"/>
                <w:color w:val="auto"/>
              </w:rPr>
              <w:t>adjustments</w:t>
            </w:r>
          </w:p>
        </w:tc>
        <w:tc>
          <w:tcPr>
            <w:tcW w:w="48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(4,205)</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1,545</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22,251</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(5,004)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17,247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loss</w:t>
            </w: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22,251</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(4,946)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17,305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18,046</w:t>
            </w:r>
          </w:p>
        </w:tc>
        <w:tc>
          <w:tcPr>
            <w:tcW w:w="14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(3,401)</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3"/>
            <w:vMerge w:val="restart"/>
          </w:tcPr>
          <w:p>
            <w:pPr>
              <w:ind w:left="454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68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86" w:right="6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Loss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illustrates the computation of basic and diluted loss per common share for the three months ended March 31, 2021 and 2020:</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center"/>
              <w:ind w:right="101"/>
              <w:spacing w:after="0"/>
              <w:rPr>
                <w:sz w:val="20"/>
                <w:szCs w:val="20"/>
                <w:color w:val="auto"/>
              </w:rPr>
            </w:pPr>
            <w:r>
              <w:rPr>
                <w:rFonts w:ascii="Arial" w:cs="Arial" w:eastAsia="Arial" w:hAnsi="Arial"/>
                <w:sz w:val="14"/>
                <w:szCs w:val="14"/>
                <w:b w:val="1"/>
                <w:bCs w:val="1"/>
                <w:color w:val="auto"/>
                <w:w w:val="93"/>
              </w:rPr>
              <w:t>Three Months Ended</w:t>
            </w:r>
          </w:p>
        </w:tc>
      </w:tr>
      <w:tr>
        <w:trPr>
          <w:trHeight w:val="119"/>
        </w:trPr>
        <w:tc>
          <w:tcPr>
            <w:tcW w:w="5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55"/>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r>
      <w:tr>
        <w:trPr>
          <w:trHeight w:val="171"/>
        </w:trPr>
        <w:tc>
          <w:tcPr>
            <w:tcW w:w="5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19"/>
        </w:trPr>
        <w:tc>
          <w:tcPr>
            <w:tcW w:w="5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6"/>
          </w:tcPr>
          <w:p>
            <w:pPr>
              <w:jc w:val="center"/>
              <w:ind w:right="121"/>
              <w:spacing w:after="0" w:line="119" w:lineRule="exact"/>
              <w:rPr>
                <w:sz w:val="20"/>
                <w:szCs w:val="20"/>
                <w:color w:val="auto"/>
              </w:rPr>
            </w:pPr>
            <w:r>
              <w:rPr>
                <w:rFonts w:ascii="Arial" w:cs="Arial" w:eastAsia="Arial" w:hAnsi="Arial"/>
                <w:sz w:val="13"/>
                <w:szCs w:val="13"/>
                <w:b w:val="1"/>
                <w:bCs w:val="1"/>
                <w:color w:val="auto"/>
                <w:w w:val="99"/>
              </w:rPr>
              <w:t>(In thousands of US dollars,</w:t>
            </w:r>
          </w:p>
        </w:tc>
      </w:tr>
      <w:tr>
        <w:trPr>
          <w:trHeight w:val="185"/>
        </w:trPr>
        <w:tc>
          <w:tcPr>
            <w:tcW w:w="5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6"/>
          </w:tcPr>
          <w:p>
            <w:pPr>
              <w:jc w:val="center"/>
              <w:ind w:right="121"/>
              <w:spacing w:after="0"/>
              <w:rPr>
                <w:sz w:val="20"/>
                <w:szCs w:val="20"/>
                <w:color w:val="auto"/>
              </w:rPr>
            </w:pPr>
            <w:r>
              <w:rPr>
                <w:rFonts w:ascii="Arial" w:cs="Arial" w:eastAsia="Arial" w:hAnsi="Arial"/>
                <w:sz w:val="14"/>
                <w:szCs w:val="14"/>
                <w:b w:val="1"/>
                <w:bCs w:val="1"/>
                <w:color w:val="auto"/>
                <w:w w:val="91"/>
              </w:rPr>
              <w:t>except share data)</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(7,473)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(31,078)</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7,329</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basic and diluted</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40,292,838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8"/>
              </w:rPr>
              <w:t>34,893,157</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Basic and diluted loss per common share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(0.89)</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80" w:type="dxa"/>
            <w:vAlign w:val="bottom"/>
          </w:tcPr>
          <w:p>
            <w:pPr>
              <w:spacing w:after="0"/>
              <w:rPr>
                <w:sz w:val="18"/>
                <w:szCs w:val="18"/>
                <w:color w:val="auto"/>
              </w:rPr>
            </w:pP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0.21</w:t>
            </w:r>
          </w:p>
        </w:tc>
      </w:tr>
      <w:tr>
        <w:trPr>
          <w:trHeight w:val="27"/>
        </w:trPr>
        <w:tc>
          <w:tcPr>
            <w:tcW w:w="5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(0.68)</w:t>
            </w:r>
          </w:p>
        </w:tc>
      </w:tr>
      <w:tr>
        <w:trPr>
          <w:trHeight w:val="20"/>
        </w:trPr>
        <w:tc>
          <w:tcPr>
            <w:tcW w:w="5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outstanding instruments were excluded from the computation of diluted loss per share, as they have an anti-dilutive effect on the calculation:</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84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520" w:type="dxa"/>
            <w:vAlign w:val="bottom"/>
          </w:tcPr>
          <w:p>
            <w:pPr>
              <w:spacing w:after="0"/>
              <w:rPr>
                <w:sz w:val="10"/>
                <w:szCs w:val="10"/>
                <w:color w:val="auto"/>
              </w:rPr>
            </w:pPr>
          </w:p>
        </w:tc>
        <w:tc>
          <w:tcPr>
            <w:tcW w:w="100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March 31,</w:t>
            </w: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r>
      <w:tr>
        <w:trPr>
          <w:trHeight w:val="171"/>
        </w:trPr>
        <w:tc>
          <w:tcPr>
            <w:tcW w:w="6520" w:type="dxa"/>
            <w:vAlign w:val="bottom"/>
          </w:tcPr>
          <w:p>
            <w:pPr>
              <w:spacing w:after="0"/>
              <w:rPr>
                <w:sz w:val="14"/>
                <w:szCs w:val="14"/>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1,471,421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2,163,845</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1,109,572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729,939</w:t>
            </w:r>
          </w:p>
        </w:tc>
      </w:tr>
    </w:tbl>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For the three months ended March 31, 2021 and 2020, 5,783,919 shares and 10,144,155 shares, respectively, of potential common stock from the assumed conversion of Exchangeable Notes were also excluded from the computation of diluted loss per share as the effect were anti-dilutive for the period.</w:t>
      </w:r>
    </w:p>
    <w:p>
      <w:pPr>
        <w:spacing w:after="0" w:line="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320" w:top="486" w:right="5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Advances to Suppliers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Company, from time to time, may make advances in form of prepayments or deposits to suppliers to procure materials to meet its planned production. The Company recorded advances of $1,150 thousand and $5,500 thousand as other current assets as of March 31, 2021 and December 31, 2020,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Governmental authorities throughout the world have implemented numerous containment measures, including travel bans and restrictions, quarantines, shelter-in-place orders, and business restrictions and shutdowns, resulting in rapidly changing market and economic conditions. Although some of these restrictions and other containment measures have since been lifted or scaled back, ongoing surges of COVID-19 have in some cases resulted in the re-imposition of certain restrictions and containment measures, and may continue to lead to other restrictions being re-implemented in the foreseeable future in response to efforts to reduce the rapid spread of COVID-19.</w:t>
      </w:r>
    </w:p>
    <w:p>
      <w:pPr>
        <w:spacing w:after="0" w:line="166"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Company experienced some minor disruption in its Power Solutions business from assembly and test subcontractors located in China in the first quarter of 2020 as a result of the COVID-19 pandemic. To date, its external Display Solutions business contractors and sub-contractors have not been materially impacted by the COVID-19 pandemic. The Company is, however, unable to accurately predict the full impact that the COVID-19 pandemic will have on its future results of operations due to numerous uncertainties, including the severity and duration of the outbreak, the efficacy of ongoing global vaccination efforts, potential future recurrences of the outbreak, the spread of disease variants that may be resistant to the existing vaccines, further containment actions that may be taken by governmental authorities, the impact to the businesses of its customers and suppliers, and other factors.</w:t>
      </w:r>
    </w:p>
    <w:p>
      <w:pPr>
        <w:spacing w:after="0" w:line="343" w:lineRule="exact"/>
        <w:rPr>
          <w:sz w:val="20"/>
          <w:szCs w:val="20"/>
          <w:color w:val="auto"/>
        </w:rPr>
      </w:pPr>
    </w:p>
    <w:p>
      <w:pPr>
        <w:ind w:left="120" w:right="400" w:firstLine="440"/>
        <w:spacing w:after="0" w:line="259" w:lineRule="auto"/>
        <w:rPr>
          <w:sz w:val="20"/>
          <w:szCs w:val="20"/>
          <w:color w:val="auto"/>
        </w:rPr>
      </w:pPr>
      <w:r>
        <w:rPr>
          <w:rFonts w:ascii="Arial" w:cs="Arial" w:eastAsia="Arial" w:hAnsi="Arial"/>
          <w:sz w:val="18"/>
          <w:szCs w:val="18"/>
          <w:color w:val="auto"/>
        </w:rPr>
        <w:t>The Company continues to closely monitor and evaluate the nature and scope of the impact of the COVID-19 pandemic to its business, consolidated results of operations, and financial condition, and may take further actions altering its business operations and managing its costs and liquidity that the Company deems necessary or appropriate to respond to this fast moving and uncertain global health crisis and the resulting global economic consequences.</w:t>
      </w:r>
    </w:p>
    <w:p>
      <w:pPr>
        <w:spacing w:after="0" w:line="200" w:lineRule="exact"/>
        <w:rPr>
          <w:sz w:val="20"/>
          <w:szCs w:val="20"/>
          <w:color w:val="auto"/>
        </w:rPr>
      </w:pP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Merger-related Complaints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Since April 22, 2021, nine complaints have been filed seeking to enjoin the Merger, or, if the Merger is consummated, rescind the Merger or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recover damages, as well as an award of each plaintiff’s fees and litigation expenses. The lawsuits, each filed as an individual action by a purported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stockholder of the Company, are captioned as </w:t>
      </w:r>
      <w:r>
        <w:rPr>
          <w:rFonts w:ascii="Arial" w:cs="Arial" w:eastAsia="Arial" w:hAnsi="Arial"/>
          <w:sz w:val="16"/>
          <w:szCs w:val="16"/>
          <w:i w:val="1"/>
          <w:iCs w:val="1"/>
          <w:color w:val="auto"/>
        </w:rPr>
        <w:t>Schulthess v. Magnachip Semiconductor Corporation, et al.</w:t>
      </w:r>
      <w:r>
        <w:rPr>
          <w:rFonts w:ascii="Arial" w:cs="Arial" w:eastAsia="Arial" w:hAnsi="Arial"/>
          <w:sz w:val="16"/>
          <w:szCs w:val="16"/>
          <w:color w:val="auto"/>
        </w:rPr>
        <w:t>, Case No. 1:21-cv-03587 (S.D.N.Y.)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“Schulthess Complaint”), </w:t>
      </w:r>
      <w:r>
        <w:rPr>
          <w:rFonts w:ascii="Arial" w:cs="Arial" w:eastAsia="Arial" w:hAnsi="Arial"/>
          <w:sz w:val="17"/>
          <w:szCs w:val="17"/>
          <w:i w:val="1"/>
          <w:iCs w:val="1"/>
          <w:color w:val="auto"/>
        </w:rPr>
        <w:t>Pittman v. Magnachip Semiconductor Corporation, et al.</w:t>
      </w:r>
      <w:r>
        <w:rPr>
          <w:rFonts w:ascii="Arial" w:cs="Arial" w:eastAsia="Arial" w:hAnsi="Arial"/>
          <w:sz w:val="17"/>
          <w:szCs w:val="17"/>
          <w:color w:val="auto"/>
        </w:rPr>
        <w:t xml:space="preserve">, Case No. 1:21-cv-02306 (E.D.N.Y.), </w:t>
      </w:r>
      <w:r>
        <w:rPr>
          <w:rFonts w:ascii="Arial" w:cs="Arial" w:eastAsia="Arial" w:hAnsi="Arial"/>
          <w:sz w:val="17"/>
          <w:szCs w:val="17"/>
          <w:i w:val="1"/>
          <w:iCs w:val="1"/>
          <w:color w:val="auto"/>
        </w:rPr>
        <w:t>Flanagan v. Magnachip</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Semiconductor Corporation, et al.</w:t>
      </w:r>
      <w:r>
        <w:rPr>
          <w:rFonts w:ascii="Arial" w:cs="Arial" w:eastAsia="Arial" w:hAnsi="Arial"/>
          <w:sz w:val="17"/>
          <w:szCs w:val="17"/>
          <w:color w:val="auto"/>
        </w:rPr>
        <w:t>, Case No. 1:21-cv-03743 (S.D.N.Y.),</w:t>
      </w:r>
      <w:r>
        <w:rPr>
          <w:rFonts w:ascii="Arial" w:cs="Arial" w:eastAsia="Arial" w:hAnsi="Arial"/>
          <w:sz w:val="17"/>
          <w:szCs w:val="17"/>
          <w:i w:val="1"/>
          <w:iCs w:val="1"/>
          <w:color w:val="auto"/>
        </w:rPr>
        <w:t xml:space="preserve"> Castelli v. Magnachip Semiconductor Corporation, et al.</w:t>
      </w:r>
      <w:r>
        <w:rPr>
          <w:rFonts w:ascii="Arial" w:cs="Arial" w:eastAsia="Arial" w:hAnsi="Arial"/>
          <w:sz w:val="17"/>
          <w:szCs w:val="17"/>
          <w:color w:val="auto"/>
        </w:rPr>
        <w:t>, Case No.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1:21-cv-03769 (S.D.N.Y.) (the “Castelli Complaint”), </w:t>
      </w:r>
      <w:r>
        <w:rPr>
          <w:rFonts w:ascii="Arial" w:cs="Arial" w:eastAsia="Arial" w:hAnsi="Arial"/>
          <w:sz w:val="16"/>
          <w:szCs w:val="16"/>
          <w:i w:val="1"/>
          <w:iCs w:val="1"/>
          <w:color w:val="auto"/>
        </w:rPr>
        <w:t>Doolittle v. Magnachip Semiconductor Corporation, et al.</w:t>
      </w:r>
      <w:r>
        <w:rPr>
          <w:rFonts w:ascii="Arial" w:cs="Arial" w:eastAsia="Arial" w:hAnsi="Arial"/>
          <w:sz w:val="16"/>
          <w:szCs w:val="16"/>
          <w:color w:val="auto"/>
        </w:rPr>
        <w:t>, Case No. 1:21-cv-03801 (S.D.N.Y.),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Thomas v. Magnachip Semiconductor Corporation, et al.</w:t>
      </w:r>
      <w:r>
        <w:rPr>
          <w:rFonts w:ascii="Arial" w:cs="Arial" w:eastAsia="Arial" w:hAnsi="Arial"/>
          <w:sz w:val="16"/>
          <w:szCs w:val="16"/>
          <w:color w:val="auto"/>
        </w:rPr>
        <w:t>, Case No. 1:21-cv-03860 (S.D.N.Y.),</w:t>
      </w:r>
      <w:r>
        <w:rPr>
          <w:rFonts w:ascii="Arial" w:cs="Arial" w:eastAsia="Arial" w:hAnsi="Arial"/>
          <w:sz w:val="16"/>
          <w:szCs w:val="16"/>
          <w:i w:val="1"/>
          <w:iCs w:val="1"/>
          <w:color w:val="auto"/>
        </w:rPr>
        <w:t xml:space="preserve"> Finger v. Magnachip Semiconductor Corporation, et al.</w:t>
      </w:r>
      <w:r>
        <w:rPr>
          <w:rFonts w:ascii="Arial" w:cs="Arial" w:eastAsia="Arial" w:hAnsi="Arial"/>
          <w:sz w:val="16"/>
          <w:szCs w:val="16"/>
          <w:color w:val="auto"/>
        </w:rPr>
        <w: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Case No. 1:21-cv-03927 (S.D.N.Y.), </w:t>
      </w:r>
      <w:r>
        <w:rPr>
          <w:rFonts w:ascii="Arial" w:cs="Arial" w:eastAsia="Arial" w:hAnsi="Arial"/>
          <w:sz w:val="17"/>
          <w:szCs w:val="17"/>
          <w:i w:val="1"/>
          <w:iCs w:val="1"/>
          <w:color w:val="auto"/>
        </w:rPr>
        <w:t>Kent v. Magnachip Semiconductor Corporation, et al</w:t>
      </w:r>
      <w:r>
        <w:rPr>
          <w:rFonts w:ascii="Arial" w:cs="Arial" w:eastAsia="Arial" w:hAnsi="Arial"/>
          <w:sz w:val="17"/>
          <w:szCs w:val="17"/>
          <w:color w:val="auto"/>
        </w:rPr>
        <w:t xml:space="preserve">., Case No. 1:21-cv-00657 (D. Del.), and </w:t>
      </w:r>
      <w:r>
        <w:rPr>
          <w:rFonts w:ascii="Arial" w:cs="Arial" w:eastAsia="Arial" w:hAnsi="Arial"/>
          <w:sz w:val="17"/>
          <w:szCs w:val="17"/>
          <w:i w:val="1"/>
          <w:iCs w:val="1"/>
          <w:color w:val="auto"/>
        </w:rPr>
        <w:t>Kennedy v.</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Magnachip Semiconductor Corporation, et al.</w:t>
      </w:r>
      <w:r>
        <w:rPr>
          <w:rFonts w:ascii="Arial" w:cs="Arial" w:eastAsia="Arial" w:hAnsi="Arial"/>
          <w:sz w:val="16"/>
          <w:szCs w:val="16"/>
          <w:color w:val="auto"/>
        </w:rPr>
        <w:t>, Case No. 2:21-cv-02110 (E.D. Pa.). Each complaint alleges that the preliminary proxy statement filed by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with the Securities and Exchange Commission (“SEC”) on April 19, 2021 is false and/or misleading and asserts claims for violations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14(a) and 20(a) of the Securities Exchange Act of 1934, as amended, and SEC Rule 14a-9 against the Company and certain current or former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members of the Company’s Board of Directors. The Schulthess and Castelli Complaints also allege breaches of fiduciary duties by certain current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former members of the Company’s Board of Directors. The Schulthess Complaint further alleges that the Company aided and abetted purported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breaches of fiduciary duties by certain current or former members of the Company’s Board of Directors. The Company believes the disclosures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preliminary proxy statement comply fully with all applicable law and that the lawsuits are entirely without merit. Additional lawsuits arising out of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relating to the Merger Agreement or the Merger may be filed in the future. At this time, the Company is unable to reasonably estimate any possible loss,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 range of reasonable possible losses, with respect to the complaints described above.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86"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FORWARD LOOKING STATEMENTS</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7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10-K filed on March 9, 2021 (“2020 Form 10-K”) (including that the impact of the COVID-19 pandemic may also exacerbate the risks discussed therein).</w:t>
      </w:r>
    </w:p>
    <w:p>
      <w:pPr>
        <w:spacing w:after="0" w:line="185"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184"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Statements made in this Quarterly Report on Form 10-Q (this “Report”), unless the context otherwise requires, that include the use of the terms “we,” “us,” “our” and “Magnachip” refer to Magnachip Semiconductor Corporation and its consolidated subsidiaries. The term “Korea” refers to the Republic of Korea or South Korea.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consolidated financial statements and the related notes included elsewhere in this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700" w:firstLine="440"/>
        <w:spacing w:after="0" w:line="301" w:lineRule="auto"/>
        <w:rPr>
          <w:sz w:val="20"/>
          <w:szCs w:val="20"/>
          <w:color w:val="auto"/>
        </w:rPr>
      </w:pPr>
      <w:r>
        <w:rPr>
          <w:rFonts w:ascii="Arial" w:cs="Arial" w:eastAsia="Arial" w:hAnsi="Arial"/>
          <w:sz w:val="16"/>
          <w:szCs w:val="16"/>
          <w:color w:val="auto"/>
        </w:rPr>
        <w:t>We are a designer and manufacturer of analog and mixed-signal semiconductor platform solutions for communications, IoT applications, consumer, computing, industrial and automotive applications. We provide technology platforms for analog, mixed-signal, power, high voltage, non-volatile memory, and radio frequency applications. We have a proven record with more than 40 years of operating history, a portfolio of approximately 1,200 registered patents and pending applications and extensive engineering and manufacturing process expertise.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standard products business includes our Display Solutions and Power Solutions business lines.</w:t>
      </w:r>
    </w:p>
    <w:p>
      <w:pPr>
        <w:spacing w:after="0" w:line="22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Our Display Solutions products provides flat panel display solutions to major suppliers of large and small flat panel displays. These products include source and gate drivers and timing controllers that cover a wide range of flat panel displays used in mobile communications, automotives, entertainment devices, notebook PCs, monitors and liquid crystal display (LCD), organic light emitting diodes (OLED) and Micro light emitting diode (LED) televisions. Our Display Solutions products support the industry’s most advanced display technologies, such as OLEDs, low temperature polysilicons thin film transistors (LTPS TFTs) and amorphous silicon thin film transistors (a-Si TFTs). Since 2007, we have designed and manufactured OLED display driver integrated circuit (IC) products. Our current portfolio of OLED solutions address a wide range of resolutions ranging from HD to Wide Quad High Definition (WQHD) for applications including smartphones, TVs, and other mobile devices. We believe we have a unique intellectual property portfolio and mixed-signal design and manufacturing expertise in the OLED industry.</w:t>
      </w:r>
    </w:p>
    <w:p>
      <w:pPr>
        <w:spacing w:after="0" w:line="178" w:lineRule="exact"/>
        <w:rPr>
          <w:sz w:val="20"/>
          <w:szCs w:val="20"/>
          <w:color w:val="auto"/>
        </w:rPr>
      </w:pPr>
    </w:p>
    <w:p>
      <w:pPr>
        <w:ind w:left="120" w:right="300" w:firstLine="440"/>
        <w:spacing w:after="0" w:line="293" w:lineRule="auto"/>
        <w:rPr>
          <w:sz w:val="20"/>
          <w:szCs w:val="20"/>
          <w:color w:val="auto"/>
        </w:rPr>
      </w:pPr>
      <w:r>
        <w:rPr>
          <w:rFonts w:ascii="Arial" w:cs="Arial" w:eastAsia="Arial" w:hAnsi="Arial"/>
          <w:sz w:val="16"/>
          <w:szCs w:val="16"/>
          <w:color w:val="auto"/>
        </w:rPr>
        <w:t>Our Power Solutions business line produces power management semiconductor products including discrete and integrated circuit solutions for power management in consumer, communications, computing, industrial and automotive applications. These products include metal oxide semiconductor field effect transistors (MOSFETs), insulated-gate bipolar transistors (IGBTs), AC-DC converters, DC-DC converters, LED drivers, switching regulators, linear regulators, interface ICs and power management ICs (PMICs) for a range of devices, including televisions, smartphones, desktop PCs, notebooks, tablets, servers, telecommunication power, home appliances, industrial applications such as uninterruptible power supplies (UPSs), LED lighting, personal mobility, motor drives, battery management systems (BMS) and automotive electronics.</w:t>
      </w:r>
    </w:p>
    <w:p>
      <w:pPr>
        <w:spacing w:after="0" w:line="16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wide variety of analog and mixed-signal semiconductor products combined with our mature technology platform allow us to address multiple high-growth end markets and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w:t>
      </w:r>
    </w:p>
    <w:p>
      <w:pPr>
        <w:spacing w:after="0" w:line="15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Demand for our products and services is driven by overall demand for communications, IoT, consumer, industrial and automotive products and can be adversely affected by periods of weak consumer and enterprise spending or by market share losses by our customers. In order to mitigate the impact of market volatility on our business, we are diversifying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6"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Net sales for our standard products business are driven by design wins in which we are selected by an electronics original equipment manufacturer (OEM) or other potential customer to supply its demand for a particular product. A customer will often have more than one supplier designed into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6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In contrast to completely fabless semiconductor companies, our internal manufacturing capacity provides us with greater control over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products. However, having internal manufacturing capacity exposes us to the risk of under-utilization of manufacturing capacity that results in lower gross profit margins, particularly during downturns in the semiconductor industry.</w:t>
      </w:r>
    </w:p>
    <w:p>
      <w:pPr>
        <w:spacing w:after="0" w:line="19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standard products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wafer capacity, such as organic light emitting diodes (OLED). We believe this balanced capital investment strategy enables us to optimize our capital investments and facilitates more diversified product and service offerings.</w:t>
      </w:r>
    </w:p>
    <w:p>
      <w:pPr>
        <w:spacing w:after="0" w:line="168"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Since 2007, we had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an external 12-inch foundry starting in the second half of 2015. This additional source of manufacturing is an increasingly important part of our supply chain management. By outsourcing manufacturing of advanced OLED products to external 12-inch foundries, we are able to dynamically adapt to the changing customer requirements and address growing markets without substantial capital investments by us. At the external 12-inch foundries, we apply our unique OLED process patents as well as other intellectual property, proprietary process design kits and custom design-flow methodologies.</w:t>
      </w:r>
    </w:p>
    <w:p>
      <w:pPr>
        <w:spacing w:after="0" w:line="19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86"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Merger</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On March 25, 2021, we entered into the Merger Agreement with Parent and Merger Sub, pursuant to which, among other things, Merger Sub will be merged with and into the Company, with the Company continuing its corporate existence as the surviving corporation in the Merger and becoming a wholly owned subsidiary of Parent.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terms of the Merger Agreement, each share of our common stock issued and outstanding immediately before the Effective Time (other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than Excluded Shares and Dissenting Shares) will be cancelled and will cease to exist and will be automatically converted into the right to receive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$29.00 in cash, without interest, and subject to applicable withholding taxes. The all-cash transaction has an equity value of approximately $1.4 billion.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Merger is fully backed by equity commitments and not contingent on any financing conditions.</w:t>
      </w:r>
    </w:p>
    <w:p>
      <w:pPr>
        <w:spacing w:after="0" w:line="21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For more information on the Merger Agreement and the Merger, see “Item 1. Interim Consolidated Financial Statements—Notes to Consolidated Financial Statements—Note 2. Merger Agreement” in this Report.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 of 5.0% Exchangeable Senior Notes due 2021 (the “Exchangeable Notes”)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Prior to the March 1, 2021 maturity of our Exchangeable Notes, holders thereof elected to exchange the Exchangeable Notes for an aggregate of 10,144,131 shares of our common stock in satisfaction in full of the outstanding obligations under the Exchangeable Notes. On March 1, 2021, we paid the final interest payment on the Exchangeable Notes of $2.1 million and no longer have any Exchangeable Notes obligations outstanding as of such date.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Governmental authorities throughout the world have implemented numerous containment measures, including travel bans and restrictions, quarantines, shelter-in-place orders, and business restrictions and shutdowns, resulting in rapidly changing market and economic conditions. Although some of these restrictions and other containment measures have since been lifted or scaled back, ongoing surges of COVID-19 have, in some cases, resulted in the re-imposition of certain restrictions and containment measures, and may continue to lead to other restrictions being re-implemented in the foreseeable future in response to efforts to reduce the rapid spread of COVID-19.</w:t>
      </w:r>
    </w:p>
    <w:p>
      <w:pPr>
        <w:spacing w:after="0" w:line="17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experienced some minor disruption in our Power Solutions business from assembly and test subcontractors located in China in the first quarter of 2020 as a result of the COVID-19 pandemic. To date, our external Display Solutions business contractors and sub-contractors have not been materially impacted by the COVID-19 pandemic. We are, however, unable to accurately predict the full impact that the COVID-19 pandemic will have on our future results of operations due to numerous uncertainties, including the severity and the duration of the outbreak, the efficacy of ongoing global vaccination efforts, potential future recurrences of the outbreak, the spread of disease variants that may be resistant to the existing vaccines, further containment actions that may be taken by governmental authorities, the impact to the businesses of our customers and suppliers, and other factors.</w:t>
      </w:r>
    </w:p>
    <w:p>
      <w:pPr>
        <w:spacing w:after="0" w:line="164"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We continue to closely monitor and evaluate the nature and scope of the impact of the COVID-19 pandemic to our business, consolidated results of operations, and financial condition, and may take further actions altering our business operations and managing our costs and liquidity that we deem necessary or appropriate to respond to this fast moving and uncertain global health crisis and the resulting global economic consequences.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Explanation and Reconciliation of Non-U.S. GAAP Measures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 Adjusted Operating Income and Adjusted Net Income</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use the terms Adjusted EBITDA, Adjusted Operating Income and Adjusted Net Income (including on a per share basis) in this Report. Adjusted EBITDA, as we define it, is a non-U.S. GAAP measure. We define Adjusted EBITDA for the periods indicated as EBITDA (as defined below), adjusted to exclude (i) equity-based compensation expense, (ii) foreign currency loss, net, (iii) derivative valuation loss (gain), net and (iv) other charges. EBITDA for the periods indicated is defined as loss from continuing operations before interest expense, net, income tax expense, and depreciation and amortization.</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See the footnotes to the table below for further information regarding these items. We present Adjusted EBITDA as a supplemental measure of our performance because:</w:t>
      </w:r>
    </w:p>
    <w:p>
      <w:pPr>
        <w:spacing w:after="0" w:line="76" w:lineRule="exact"/>
        <w:rPr>
          <w:sz w:val="20"/>
          <w:szCs w:val="20"/>
          <w:color w:val="auto"/>
        </w:rPr>
      </w:pPr>
    </w:p>
    <w:p>
      <w:pPr>
        <w:ind w:left="540" w:right="60" w:hanging="316"/>
        <w:spacing w:after="0" w:line="263"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89" w:lineRule="exact"/>
        <w:rPr>
          <w:rFonts w:ascii="Arial" w:cs="Arial" w:eastAsia="Arial" w:hAnsi="Arial"/>
          <w:sz w:val="18"/>
          <w:szCs w:val="18"/>
          <w:color w:val="auto"/>
        </w:rPr>
      </w:pPr>
    </w:p>
    <w:p>
      <w:pPr>
        <w:ind w:left="540" w:right="140" w:hanging="316"/>
        <w:spacing w:after="0" w:line="263"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believe that Adjusted EBITDA is commonly requested and used by securities analysts, investors and other interested parties in the evaluation of the Company as an enterprise level performance measure that eliminates the effects of financing, income taxes and the accounting effects of capital spending, as well as other one time or recurring items described above; and</w:t>
      </w:r>
    </w:p>
    <w:p>
      <w:pPr>
        <w:spacing w:after="0" w:line="89" w:lineRule="exact"/>
        <w:rPr>
          <w:rFonts w:ascii="Arial" w:cs="Arial" w:eastAsia="Arial" w:hAnsi="Arial"/>
          <w:sz w:val="18"/>
          <w:szCs w:val="18"/>
          <w:color w:val="auto"/>
        </w:rPr>
      </w:pPr>
    </w:p>
    <w:p>
      <w:pPr>
        <w:ind w:left="540" w:right="760" w:hanging="316"/>
        <w:spacing w:after="0" w:line="308"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believe that Adjusted EBITDA is useful for investors, among other reasons, to assess the Company’s period-to-period core operating performance and to understand and assess the manner in which management analyzes operating performance.</w:t>
      </w:r>
    </w:p>
    <w:p>
      <w:pPr>
        <w:spacing w:after="0" w:line="146"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We use Adjusted EBITDA in a number of ways, including:</w:t>
      </w:r>
    </w:p>
    <w:p>
      <w:pPr>
        <w:spacing w:after="0" w:line="130" w:lineRule="exact"/>
        <w:rPr>
          <w:rFonts w:ascii="Arial" w:cs="Arial" w:eastAsia="Arial" w:hAnsi="Arial"/>
          <w:sz w:val="17"/>
          <w:szCs w:val="17"/>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annual operating budget;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evaluate the effectiveness of our enterprise level business strategies;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consolidated financial performance;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certain of our compensation plans as a performance measure for determining incentive compensation payments.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from continuing operations, cash flows from operating activities or net income, as determined in accordance with U.S. GAAP. A reconciliation of loss from continuing operations to Adjusted EBITDA from continuing operations is as follows:</w:t>
      </w:r>
    </w:p>
    <w:p>
      <w:pPr>
        <w:spacing w:after="0" w:line="19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Three Months</w:t>
            </w:r>
          </w:p>
        </w:tc>
        <w:tc>
          <w:tcPr>
            <w:tcW w:w="34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March 31,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2021</w:t>
            </w: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4"/>
          </w:tcPr>
          <w:p>
            <w:pPr>
              <w:jc w:val="right"/>
              <w:ind w:right="28"/>
              <w:spacing w:after="0" w:line="142" w:lineRule="exact"/>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Adjustments: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expense(a)</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Foreign currency loss, net(b)</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net(c)</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Other charges(d)</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140" w:type="dxa"/>
            <w:vAlign w:val="bottom"/>
            <w:vMerge w:val="restart"/>
          </w:tcPr>
          <w:p>
            <w:pPr>
              <w:jc w:val="right"/>
              <w:ind w:right="1410"/>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4"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100" w:hanging="424"/>
        <w:spacing w:after="0" w:line="265"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ind w:left="540" w:right="40" w:hanging="424"/>
        <w:spacing w:after="0" w:line="265"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ind w:left="540" w:right="100" w:hanging="424"/>
        <w:spacing w:after="0" w:line="271"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the three months ended March 31, 2021, this adjustment eliminates $10.4 million, of which $9.8 million related to non-recurring professional fees and certain transaction related expenses incurred in connection with the Merger. For the three months ended March 31, 2020, this adjustment eliminates non-recurring professional service fees and expenses incurred in connection with certain treasury and finance initiatives. As these expenses meaningfully impacted our operating results and are not expected to represent an ongoing operating expense to us, we believe our operating performance results are more usefully compared if these expenses are excluded.</w:t>
      </w:r>
    </w:p>
    <w:p>
      <w:pPr>
        <w:spacing w:after="0" w:line="70" w:lineRule="exact"/>
        <w:rPr>
          <w:rFonts w:ascii="Arial" w:cs="Arial" w:eastAsia="Arial" w:hAnsi="Arial"/>
          <w:sz w:val="17"/>
          <w:szCs w:val="17"/>
          <w:color w:val="auto"/>
        </w:rPr>
      </w:pPr>
    </w:p>
    <w:p>
      <w:pPr>
        <w:ind w:left="560" w:right="160"/>
        <w:spacing w:after="0" w:line="277" w:lineRule="auto"/>
        <w:rPr>
          <w:rFonts w:ascii="Arial" w:cs="Arial" w:eastAsia="Arial" w:hAnsi="Arial"/>
          <w:sz w:val="17"/>
          <w:szCs w:val="17"/>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7"/>
          <w:szCs w:val="17"/>
          <w:color w:val="auto"/>
        </w:rPr>
      </w:pPr>
    </w:p>
    <w:p>
      <w:pPr>
        <w:ind w:left="1080" w:hanging="424"/>
        <w:spacing w:after="0"/>
        <w:tabs>
          <w:tab w:leader="none" w:pos="1080" w:val="left"/>
        </w:tabs>
        <w:numPr>
          <w:ilvl w:val="1"/>
          <w:numId w:val="4"/>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debt;</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Adjusted EBITDA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4"/>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than we do, limiting its usefulness as a comparative measure.</w:t>
      </w:r>
    </w:p>
    <w:p>
      <w:pPr>
        <w:spacing w:after="0" w:line="140"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6"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present Adjusted Operating Income as supplemental measures of our performance. We prepare Adjusted Operating Income by adjusting operating income (loss) to eliminate the impact of equity-based compensation expenses and other items that may be either one time or recurring that we do not consider to be indicative of our core ongoing operating performance. We believe that Adjusted Operating Income is useful to investors to provide a supplemental way to understand our underlying operating performance and allows investors to monitor and understand changes in our ability to generate income from ongoing business operations.</w:t>
      </w:r>
    </w:p>
    <w:p>
      <w:pPr>
        <w:spacing w:after="0" w:line="188"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Adjusted Operating Income is not a measure defined in accordance with U.S. GAAP and should not be construed as an alternative to operating income, income from continuing operations, cash flows from operating activities or net income, as determined in accordance with U.S. GAAP. We encourage you to evaluate each adjustment and the reasons we consider them appropriate. Other companies in our industry may calculate Adjusted Operating Income differently than we do, limiting its usefulness as a comparative measure. In addition, in evaluating Adjusted Operating Income, you should be aware that in the future we may incur expenses similar to the adjustments in this presentation. We define Adjusted Operating Income for the periods indicated as operating income adjusted to exclude (i) equity-based compensation expense and (ii) other charges.</w:t>
      </w:r>
    </w:p>
    <w:p>
      <w:pPr>
        <w:spacing w:after="0" w:line="164"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following table summarizes the adjustments to operating income that we make in order to calculate Adjusted Operating Income from continuing operations for the periods indicated:</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660" w:type="dxa"/>
            <w:vAlign w:val="bottom"/>
            <w:gridSpan w:val="3"/>
          </w:tcPr>
          <w:p>
            <w:pPr>
              <w:jc w:val="center"/>
              <w:ind w:right="708"/>
              <w:spacing w:after="0"/>
              <w:rPr>
                <w:sz w:val="20"/>
                <w:szCs w:val="20"/>
                <w:color w:val="auto"/>
              </w:rPr>
            </w:pPr>
            <w:r>
              <w:rPr>
                <w:rFonts w:ascii="Arial" w:cs="Arial" w:eastAsia="Arial" w:hAnsi="Arial"/>
                <w:sz w:val="14"/>
                <w:szCs w:val="14"/>
                <w:b w:val="1"/>
                <w:bCs w:val="1"/>
                <w:color w:val="auto"/>
                <w:w w:val="95"/>
              </w:rPr>
              <w:t>Three Months</w:t>
            </w:r>
          </w:p>
        </w:tc>
        <w:tc>
          <w:tcPr>
            <w:tcW w:w="9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3"/>
              </w:rPr>
              <w:t>Three Months</w:t>
            </w:r>
          </w:p>
        </w:tc>
      </w:tr>
      <w:tr>
        <w:trPr>
          <w:trHeight w:val="149"/>
        </w:trPr>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808"/>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8"/>
        </w:trPr>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808"/>
              <w:spacing w:after="0" w:line="149"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March 31,</w:t>
            </w:r>
          </w:p>
        </w:tc>
      </w:tr>
      <w:tr>
        <w:trPr>
          <w:trHeight w:val="171"/>
        </w:trPr>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2021</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4"/>
                <w:szCs w:val="14"/>
                <w:color w:val="auto"/>
              </w:rPr>
            </w:pPr>
          </w:p>
        </w:tc>
      </w:tr>
      <w:tr>
        <w:trPr>
          <w:trHeight w:val="142"/>
        </w:trPr>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expense(a)</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Other charges(b)</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9"/>
                <w:szCs w:val="19"/>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5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100" w:hanging="424"/>
        <w:spacing w:after="0" w:line="271"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the three months ended March 31, 2021, this adjustment eliminates $10.4 million, of which $9.8 million related to non-recurring professional fees and certain transaction related expenses incurred in connection with the Merger. For the three months ended March 31, 2020, this adjustment eliminates non-recurring professional service fees and expenses incurred in connection with certain treasury and finance initiatives. As these expenses meaningfully impacted our operating results and are not expected to represent an ongoing operating expense to us, we believe our operating performance results are more usefully compared if these expenses are excluded.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86"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present Adjusted Net Income (including on a per share basis) as a further supplemental measure of our performance. We prepare Adjusted Net Income (including on a per share basis) by adjusting loss from continuing operations to eliminate the impact of a number of non-cash expenses and other items that may be either one time or recurring that we do not consider to be indicative of our core ongoing operating performance. We believe that Adjusted Net Income (including on a per share basis) is particularly useful because it reflects the impact of our asset base and capital structure on our operating performance. We present Adjusted Net Income (including on a per share basis) for a number of reasons, including:</w:t>
      </w:r>
    </w:p>
    <w:p>
      <w:pPr>
        <w:spacing w:after="0" w:line="67" w:lineRule="exact"/>
        <w:rPr>
          <w:sz w:val="20"/>
          <w:szCs w:val="20"/>
          <w:color w:val="auto"/>
        </w:rPr>
      </w:pPr>
    </w:p>
    <w:p>
      <w:pPr>
        <w:ind w:left="1080" w:right="12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use Adjusted Net Income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89"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believe that reporting Adjusted Net Income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8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Adjusted Net Income (including on a per share basis) is not a measure defined in accordance with U.S. GAAP and should not be construed as an alternative to income from continuing operations, cash flows from operating activities or net income, as determined in accordance with U.S. GAAP. We encourage you to evaluate each adjustment and the reasons we consider them appropriate. Other companies in our industry may calculate Adjusted Net Income (including on a per share basis) differently than we do, limiting its usefulness as a comparative measure. In addition, in evaluating Adjusted Net Income (including on a per share basis), you should be aware that in the future we may incur expenses similar to the adjustments in this presentation. We define Adjusted Net Income (including on a per share basis); for the periods indicated as loss from continuing operations, adjusted to exclude (i) equity-based compensation expense, (ii) foreign currency loss, net, (iii) derivative valuation loss (gain), net, (iv) other charges and (v) income tax effect on non-GAAP adjustments.</w:t>
      </w:r>
    </w:p>
    <w:p>
      <w:pPr>
        <w:spacing w:after="0" w:line="178"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table summarizes the adjustments to loss from continuing operations that we make in order to calculate Adjusted Net Income (including on a per share basis) from continuing operations for the periods indicated: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5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r>
      <w:tr>
        <w:trPr>
          <w:trHeight w:val="149"/>
        </w:trPr>
        <w:tc>
          <w:tcPr>
            <w:tcW w:w="6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8"/>
        </w:trPr>
        <w:tc>
          <w:tcPr>
            <w:tcW w:w="6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March 31,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6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4"/>
                <w:szCs w:val="14"/>
                <w:color w:val="auto"/>
              </w:rPr>
            </w:pPr>
          </w:p>
        </w:tc>
      </w:tr>
      <w:tr>
        <w:trPr>
          <w:trHeight w:val="119"/>
        </w:trPr>
        <w:tc>
          <w:tcPr>
            <w:tcW w:w="61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gridSpan w:val="5"/>
          </w:tcPr>
          <w:p>
            <w:pPr>
              <w:jc w:val="right"/>
              <w:ind w:right="273"/>
              <w:spacing w:after="0" w:line="119" w:lineRule="exact"/>
              <w:rPr>
                <w:sz w:val="20"/>
                <w:szCs w:val="20"/>
                <w:color w:val="auto"/>
              </w:rPr>
            </w:pPr>
            <w:r>
              <w:rPr>
                <w:rFonts w:ascii="Arial" w:cs="Arial" w:eastAsia="Arial" w:hAnsi="Arial"/>
                <w:sz w:val="13"/>
                <w:szCs w:val="13"/>
                <w:b w:val="1"/>
                <w:bCs w:val="1"/>
                <w:color w:val="auto"/>
              </w:rPr>
              <w:t>(In millions, except per share</w:t>
            </w:r>
          </w:p>
        </w:tc>
        <w:tc>
          <w:tcPr>
            <w:tcW w:w="120" w:type="dxa"/>
            <w:vAlign w:val="bottom"/>
          </w:tcPr>
          <w:p>
            <w:pPr>
              <w:spacing w:after="0"/>
              <w:rPr>
                <w:sz w:val="10"/>
                <w:szCs w:val="10"/>
                <w:color w:val="auto"/>
              </w:rPr>
            </w:pPr>
          </w:p>
        </w:tc>
      </w:tr>
      <w:tr>
        <w:trPr>
          <w:trHeight w:val="171"/>
        </w:trPr>
        <w:tc>
          <w:tcPr>
            <w:tcW w:w="6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data)</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240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Adjustments: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expense(a)</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Foreign currency loss, net(b)</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31.0</w:t>
            </w: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net(c)</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Other charges(d)</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effect on non-GAAP adjustments(e)</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Adjusted Net Income</w:t>
            </w:r>
          </w:p>
        </w:tc>
        <w:tc>
          <w:tcPr>
            <w:tcW w:w="2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Reported loss per share—basic</w:t>
            </w:r>
          </w:p>
        </w:tc>
        <w:tc>
          <w:tcPr>
            <w:tcW w:w="240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(0.89)</w:t>
            </w: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Reported loss per share—diluted</w:t>
            </w:r>
          </w:p>
        </w:tc>
        <w:tc>
          <w:tcPr>
            <w:tcW w:w="2400" w:type="dxa"/>
            <w:vAlign w:val="bottom"/>
            <w:gridSpan w:val="2"/>
          </w:tcPr>
          <w:p>
            <w:pPr>
              <w:ind w:left="23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(0.89)</w:t>
            </w: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shares—basic</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40,292,838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34,893,157</w:t>
            </w: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Weighted average number of shares—diluted</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40,292,838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34,893,157</w:t>
            </w: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earnings per share—basic</w:t>
            </w:r>
          </w:p>
        </w:tc>
        <w:tc>
          <w:tcPr>
            <w:tcW w:w="240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0.23</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Adjusted earnings per share—diluted</w:t>
            </w:r>
          </w:p>
        </w:tc>
        <w:tc>
          <w:tcPr>
            <w:tcW w:w="2400" w:type="dxa"/>
            <w:vAlign w:val="bottom"/>
            <w:gridSpan w:val="2"/>
          </w:tcPr>
          <w:p>
            <w:pPr>
              <w:ind w:left="23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shares—basic</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40,292,838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34,893,157</w:t>
            </w:r>
          </w:p>
        </w:tc>
      </w:tr>
      <w:tr>
        <w:trPr>
          <w:trHeight w:val="230"/>
        </w:trPr>
        <w:tc>
          <w:tcPr>
            <w:tcW w:w="6100" w:type="dxa"/>
            <w:vAlign w:val="bottom"/>
          </w:tcPr>
          <w:p>
            <w:pPr>
              <w:ind w:left="360"/>
              <w:spacing w:after="0"/>
              <w:rPr>
                <w:sz w:val="20"/>
                <w:szCs w:val="20"/>
                <w:color w:val="auto"/>
              </w:rPr>
            </w:pPr>
            <w:r>
              <w:rPr>
                <w:rFonts w:ascii="Arial" w:cs="Arial" w:eastAsia="Arial" w:hAnsi="Arial"/>
                <w:sz w:val="18"/>
                <w:szCs w:val="18"/>
                <w:color w:val="auto"/>
              </w:rPr>
              <w:t>Weighted average number of shares—diluted</w:t>
            </w: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47,470,416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35,883,200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right="20" w:hanging="424"/>
        <w:spacing w:after="0" w:line="25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120" w:hanging="424"/>
        <w:spacing w:after="0" w:line="270"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ectPr>
          <w:pgSz w:w="11900" w:h="16838" w:orient="portrait"/>
          <w:cols w:equalWidth="0" w:num="1">
            <w:col w:w="11140"/>
          </w:cols>
          <w:pgMar w:left="320" w:top="486" w:right="439" w:bottom="1440" w:gutter="0" w:footer="0" w:header="0"/>
        </w:sectPr>
      </w:pP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40"/>
          </w:cols>
          <w:pgMar w:left="320" w:top="486" w:right="4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69"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rFonts w:ascii="Arial" w:cs="Arial" w:eastAsia="Arial" w:hAnsi="Arial"/>
          <w:sz w:val="17"/>
          <w:szCs w:val="17"/>
          <w:color w:val="auto"/>
        </w:rPr>
      </w:pPr>
    </w:p>
    <w:p>
      <w:pPr>
        <w:ind w:left="540" w:right="60" w:hanging="424"/>
        <w:spacing w:after="0" w:line="265"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 the three months ended March 31, 2021, this adjustment eliminates $10.4 million, of which $9.8 million related to non-recurring professional fees and certain transaction related expenses incurred in connection with the Merger. For the three months ended March 31, 2020, this adjustment eliminates non-recurring professional service fees and expenses incurred in connection with certain treasury and finance initiatives. As these expenses meaningfully impacted our operating results and are not expected to represent an ongoing operating expense to us, we believe our operating performance results are more usefully compared if these expenses are excluded.</w:t>
      </w:r>
    </w:p>
    <w:p>
      <w:pPr>
        <w:jc w:val="both"/>
        <w:ind w:left="540" w:right="120" w:hanging="424"/>
        <w:spacing w:after="0" w:line="255"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three months ended March 31, 2021 and 2020, there was no tax impact from the adjustments to net income to calculate our Adjusted Net Income due to net operating loss carry-forwards available at the parent entity of the Company in the U.S., based on the nature and origination of the adjustments, to offset related taxable income and full allowance for such deferred tax assets.</w:t>
      </w:r>
    </w:p>
    <w:p>
      <w:pPr>
        <w:spacing w:after="0" w:line="81" w:lineRule="exact"/>
        <w:rPr>
          <w:rFonts w:ascii="Arial" w:cs="Arial" w:eastAsia="Arial" w:hAnsi="Arial"/>
          <w:sz w:val="18"/>
          <w:szCs w:val="18"/>
          <w:color w:val="auto"/>
        </w:rPr>
      </w:pPr>
    </w:p>
    <w:p>
      <w:pPr>
        <w:ind w:left="560" w:right="100"/>
        <w:spacing w:after="0" w:line="277" w:lineRule="auto"/>
        <w:rPr>
          <w:rFonts w:ascii="Arial" w:cs="Arial" w:eastAsia="Arial" w:hAnsi="Arial"/>
          <w:sz w:val="18"/>
          <w:szCs w:val="18"/>
          <w:color w:val="auto"/>
        </w:rPr>
      </w:pPr>
      <w:r>
        <w:rPr>
          <w:rFonts w:ascii="Arial" w:cs="Arial" w:eastAsia="Arial" w:hAnsi="Arial"/>
          <w:sz w:val="18"/>
          <w:szCs w:val="18"/>
          <w:color w:val="auto"/>
        </w:rPr>
        <w:t>We believe that all adjustments to loss from continuing operations used to calculate Adjusted Net Income was applied consistently to the periods presented.</w:t>
      </w:r>
    </w:p>
    <w:p>
      <w:pPr>
        <w:spacing w:after="0" w:line="62" w:lineRule="exact"/>
        <w:rPr>
          <w:rFonts w:ascii="Arial" w:cs="Arial" w:eastAsia="Arial" w:hAnsi="Arial"/>
          <w:sz w:val="18"/>
          <w:szCs w:val="18"/>
          <w:color w:val="auto"/>
        </w:rPr>
      </w:pPr>
    </w:p>
    <w:p>
      <w:pPr>
        <w:ind w:left="560" w:right="120"/>
        <w:spacing w:after="0" w:line="277" w:lineRule="auto"/>
        <w:rPr>
          <w:rFonts w:ascii="Arial" w:cs="Arial" w:eastAsia="Arial" w:hAnsi="Arial"/>
          <w:sz w:val="18"/>
          <w:szCs w:val="18"/>
          <w:color w:val="auto"/>
        </w:rPr>
      </w:pPr>
      <w:r>
        <w:rPr>
          <w:rFonts w:ascii="Arial" w:cs="Arial" w:eastAsia="Arial" w:hAnsi="Arial"/>
          <w:sz w:val="18"/>
          <w:szCs w:val="18"/>
          <w:color w:val="auto"/>
        </w:rPr>
        <w:t>Adjusted Net Income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Adjusted Net Income does not reflect changes in, or cash requirements for, our working capital needs;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Adjusted Net Income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Net Income differently than we do, limiting its usefulness as a comparative measure.</w:t>
      </w:r>
    </w:p>
    <w:p>
      <w:pPr>
        <w:spacing w:after="0" w:line="62" w:lineRule="exact"/>
        <w:rPr>
          <w:sz w:val="20"/>
          <w:szCs w:val="20"/>
          <w:color w:val="auto"/>
        </w:rPr>
      </w:pPr>
    </w:p>
    <w:p>
      <w:pPr>
        <w:ind w:left="560" w:right="360"/>
        <w:spacing w:after="0" w:line="308" w:lineRule="auto"/>
        <w:rPr>
          <w:sz w:val="20"/>
          <w:szCs w:val="20"/>
          <w:color w:val="auto"/>
        </w:rPr>
      </w:pPr>
      <w:r>
        <w:rPr>
          <w:rFonts w:ascii="Arial" w:cs="Arial" w:eastAsia="Arial" w:hAnsi="Arial"/>
          <w:sz w:val="17"/>
          <w:szCs w:val="17"/>
          <w:color w:val="auto"/>
        </w:rPr>
        <w:t>Because of these limitations, Adjusted Net Income should not be considered as a measure of profitability of our business. We compensate for these limitations by relying primarily on our U.S. GAAP results and using Adjusted Net Income only as a supplement.</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86"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We derive substantially all of our sales (net of sales returns and allowances) from our standard products business. We outsource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manufacturing of advanced OLED products to external 12-inch foundries.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and technical support offices near concentrations of major customers. Our sales offices are located in Korea, Japan and Greater China. Our network of authorized agents and distributors is in the United States, Europe and the Asia Pacific region.</w:t>
      </w:r>
    </w:p>
    <w:p>
      <w:pPr>
        <w:spacing w:after="0" w:line="161"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We recognize revenue when a customer obtains control of the product, which is generally upon product shipment, delivery at the customer’s location or upon customer acceptance, depending on the terms of the arrangement. For the three months ended March 31, 2021 and 2020, we sold products to 145 and 135 customers, respectively, and our net sales to our ten largest customers represented 82% and 90% of our net sales—standard products business, respectively.</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will provide the Transitional Fab 3 Foundry Services up to September 1, 2023 at an agreed upon cost plus a mark-up. For the periods prior to the closing of the sale of the Foundry Services Group business and Fab 4 as of September 1, 2020 (which are accounted for as discontinued operations beginning in the first quarter of 2020), revenue derived from the Transitional Fab 3 Foundry Services is recorded at cost in both our continuing and discontinued operations.</w:t>
      </w:r>
    </w:p>
    <w:p>
      <w:pPr>
        <w:spacing w:after="0" w:line="18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Our overall gross profit generally fluctuates as a result of changes in overall sales volumes and in the average selling prices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w:t>
      </w:r>
    </w:p>
    <w:p>
      <w:pPr>
        <w:spacing w:after="0" w:line="18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b w:val="1"/>
          <w:bCs w:val="1"/>
          <w:i w:val="1"/>
          <w:iCs w:val="1"/>
          <w:color w:val="auto"/>
        </w:rPr>
        <w:t xml:space="preserve">Average Selling Prices. </w:t>
      </w:r>
      <w:r>
        <w:rPr>
          <w:rFonts w:ascii="Arial" w:cs="Arial" w:eastAsia="Arial" w:hAnsi="Arial"/>
          <w:sz w:val="17"/>
          <w:szCs w:val="17"/>
          <w:color w:val="auto"/>
        </w:rPr>
        <w:t>Average selling prices for our products tend to be highest at the time of introduction of new products which utilize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Material Costs. </w:t>
      </w:r>
      <w:r>
        <w:rPr>
          <w:rFonts w:ascii="Arial" w:cs="Arial" w:eastAsia="Arial" w:hAnsi="Arial"/>
          <w:sz w:val="18"/>
          <w:szCs w:val="18"/>
          <w:color w:val="auto"/>
        </w:rPr>
        <w:t>Our material costs consist of costs of raw materials, such as silicon wafers, chemicals, gases and tape and packaging supplies.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84"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b w:val="1"/>
          <w:bCs w:val="1"/>
          <w:i w:val="1"/>
          <w:iCs w:val="1"/>
          <w:color w:val="auto"/>
        </w:rPr>
        <w:t xml:space="preserve">Labor Costs. </w:t>
      </w:r>
      <w:r>
        <w:rPr>
          <w:rFonts w:ascii="Arial" w:cs="Arial" w:eastAsia="Arial" w:hAnsi="Arial"/>
          <w:sz w:val="17"/>
          <w:szCs w:val="17"/>
          <w:color w:val="auto"/>
        </w:rPr>
        <w:t>A significant portion of our employees are located in Korea. Under Korean labor laws, most employees and certain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with one or more years of service are entitled to severance benefits upon the termination of their employment based on their length of service and rate of pay. As of March 31, 2021, approximately 98% of our employees were eligible for severance benefits.</w:t>
      </w:r>
    </w:p>
    <w:p>
      <w:pPr>
        <w:spacing w:after="0" w:line="165"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b w:val="1"/>
          <w:bCs w:val="1"/>
          <w:i w:val="1"/>
          <w:iCs w:val="1"/>
          <w:color w:val="auto"/>
        </w:rPr>
        <w:t xml:space="preserve">Depreciation Expense. </w:t>
      </w:r>
      <w:r>
        <w:rPr>
          <w:rFonts w:ascii="Arial" w:cs="Arial" w:eastAsia="Arial" w:hAnsi="Arial"/>
          <w:sz w:val="17"/>
          <w:szCs w:val="17"/>
          <w:color w:val="auto"/>
        </w:rPr>
        <w:t>We periodically evaluate the carrying values of long-lived assets, including property, plant and equipment and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as well as the related depreciation periods. We depreciated our property, plant and equipment using the straight-line method over the estimated useful lives of our assets. Depreciation rates vary from 30-40 years on buildings to 5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78"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We sell our products worldwide through a direct sales force as well as a network of sales agents and representatives to OEMs,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legal, human resources and other administrative functions. These expenses primarily consist of payroll-related expenses, consulting and other professional fees and office facility-related expenses.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86"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The rapid technological change and product obsolescence that characterize our industry require us to make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display business are material and design-related costs for OLED display driver IC product development involving 40-nanometer or finer processes. The majority of research and development expenses of our power business are certain equipment, material and design-related costs for power discrete products and material and design-related costs for power IC products. Power IC uses standard BCD process technologies which can be sourced from multiple foundries, including Fab 4.</w:t>
      </w:r>
    </w:p>
    <w:p>
      <w:pPr>
        <w:spacing w:after="0" w:line="16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Our interest expense was incurred primarily under our 2021 Notes and 5.0% Exchangeable Senior Notes due March 1,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redeemed all outstanding 2021 Notes on October 2, 2020. Our Exchangeable Notes were exchanged for common stock prior to their maturity date of March 1, 2021. From and after October 2, 2020 and March 1, 2021, we have not and will not incur interest expense associated with the 2021 Notes and Exchangeable Notes, respectively.</w:t>
      </w:r>
    </w:p>
    <w:p>
      <w:pPr>
        <w:spacing w:after="0" w:line="18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i w:val="1"/>
          <w:iCs w:val="1"/>
          <w:color w:val="auto"/>
        </w:rPr>
        <w:t xml:space="preserve">Impact of Foreign Currency Exchange Rates on Reported Results of Operations. </w:t>
      </w:r>
      <w:r>
        <w:rPr>
          <w:rFonts w:ascii="Arial" w:cs="Arial" w:eastAsia="Arial" w:hAnsi="Arial"/>
          <w:sz w:val="17"/>
          <w:szCs w:val="17"/>
          <w:color w:val="auto"/>
        </w:rPr>
        <w:t>Historically, a portion of our revenues and greater than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majority of our operating expenses and costs of sales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March 31, 2021, the outstanding intercompany loan balance including accrued interest between our Korean subsidiary and our Dutch subsidiary was $381.8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From time to time, we may engage in exchange rate hedging activities in an effort to mitigate the impact of exchange rate fluctuations. Our Korean subsidiary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credit rating falls below B-/B3 or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w:t>
      </w:r>
    </w:p>
    <w:p>
      <w:pPr>
        <w:spacing w:after="0" w:line="17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Foreign Currency Gain or Loss. </w:t>
      </w:r>
      <w:r>
        <w:rPr>
          <w:rFonts w:ascii="Arial" w:cs="Arial" w:eastAsia="Arial" w:hAnsi="Arial"/>
          <w:sz w:val="16"/>
          <w:szCs w:val="16"/>
          <w:color w:val="auto"/>
        </w:rPr>
        <w:t>Foreign currency translation gains or losses on transactions by us or our subsidiaries in a currency other than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our subsidiaries’ functional currency are included in foreign currency gain (loss), net in our statements of operations.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5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 our income taxes in each of the tax jurisdictions in which we operate. This process involves using an asset and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6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are subject to income- or non-income-based tax examinations by tax authorities of the U.S., Korea and multiple other foreign jurisdictions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86"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9" w:lineRule="auto"/>
        <w:rPr>
          <w:sz w:val="20"/>
          <w:szCs w:val="20"/>
          <w:color w:val="auto"/>
        </w:rPr>
      </w:pPr>
      <w:r>
        <w:rPr>
          <w:rFonts w:ascii="Arial" w:cs="Arial" w:eastAsia="Arial" w:hAnsi="Arial"/>
          <w:sz w:val="17"/>
          <w:szCs w:val="17"/>
          <w:b w:val="1"/>
          <w:bCs w:val="1"/>
          <w:i w:val="1"/>
          <w:iCs w:val="1"/>
          <w:color w:val="auto"/>
        </w:rPr>
        <w:t xml:space="preserve">Discontinued Operations. </w:t>
      </w:r>
      <w:r>
        <w:rPr>
          <w:rFonts w:ascii="Arial" w:cs="Arial" w:eastAsia="Arial" w:hAnsi="Arial"/>
          <w:sz w:val="17"/>
          <w:szCs w:val="17"/>
          <w:color w:val="auto"/>
        </w:rPr>
        <w:t>On March 30, 2020, we entered into the Business Transfer Agreement for the sale of our Foundry Services Group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and Fab 4 to the Buyer. As a result, the results of the Foundry Services Group business were classified as discontinued operations in our consolidated statements of operations and excluded from both continuing operations and segment results for all periods presented. On September 1, 2020, we completed the sale for a purchase price equal to approximately $350.6 million in cash.</w:t>
      </w:r>
    </w:p>
    <w:p>
      <w:pPr>
        <w:spacing w:after="0" w:line="171"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Capital Expenditures. </w:t>
      </w:r>
      <w:r>
        <w:rPr>
          <w:rFonts w:ascii="Arial" w:cs="Arial" w:eastAsia="Arial" w:hAnsi="Arial"/>
          <w:sz w:val="17"/>
          <w:szCs w:val="17"/>
          <w:color w:val="auto"/>
        </w:rPr>
        <w:t>We primarily invest in manufacturing equipment, software design tools and other tangible assets mainly for fabrication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86"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 Comparison of Three Months Ended March 31, 2021 and 2020</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consolidated results of operations for the three months ended March 31, 2021 and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4"/>
          </w:tcPr>
          <w:p>
            <w:pPr>
              <w:jc w:val="right"/>
              <w:ind w:right="680"/>
              <w:spacing w:after="0" w:line="158" w:lineRule="exact"/>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5"/>
                <w:szCs w:val="15"/>
                <w:color w:val="auto"/>
              </w:rPr>
            </w:pPr>
          </w:p>
        </w:tc>
        <w:tc>
          <w:tcPr>
            <w:tcW w:w="2280" w:type="dxa"/>
            <w:vAlign w:val="bottom"/>
            <w:gridSpan w:val="4"/>
          </w:tcPr>
          <w:p>
            <w:pPr>
              <w:jc w:val="right"/>
              <w:ind w:right="900"/>
              <w:spacing w:after="0" w:line="158" w:lineRule="exact"/>
              <w:rPr>
                <w:sz w:val="20"/>
                <w:szCs w:val="20"/>
                <w:color w:val="auto"/>
              </w:rPr>
            </w:pPr>
            <w:r>
              <w:rPr>
                <w:rFonts w:ascii="Arial" w:cs="Arial" w:eastAsia="Arial" w:hAnsi="Arial"/>
                <w:sz w:val="14"/>
                <w:szCs w:val="14"/>
                <w:b w:val="1"/>
                <w:bCs w:val="1"/>
                <w:color w:val="auto"/>
              </w:rPr>
              <w:t>March 31, 2020</w:t>
            </w: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top w:val="single" w:sz="8" w:color="auto"/>
            </w:tcBorders>
          </w:tcPr>
          <w:p>
            <w:pPr>
              <w:jc w:val="right"/>
              <w:ind w:right="232"/>
              <w:spacing w:after="0" w:line="113"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gridSpan w:val="2"/>
            <w:vMerge w:val="restart"/>
          </w:tcPr>
          <w:p>
            <w:pPr>
              <w:jc w:val="right"/>
              <w:ind w:right="161"/>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Borders>
              <w:top w:val="single" w:sz="8" w:color="auto"/>
            </w:tcBorders>
          </w:tcPr>
          <w:p>
            <w:pPr>
              <w:jc w:val="right"/>
              <w:ind w:right="212"/>
              <w:spacing w:after="0" w:line="113" w:lineRule="exact"/>
              <w:rPr>
                <w:sz w:val="20"/>
                <w:szCs w:val="20"/>
                <w:color w:val="auto"/>
              </w:rPr>
            </w:pPr>
            <w:r>
              <w:rPr>
                <w:rFonts w:ascii="Arial" w:cs="Arial" w:eastAsia="Arial" w:hAnsi="Arial"/>
                <w:sz w:val="13"/>
                <w:szCs w:val="13"/>
                <w:b w:val="1"/>
                <w:bCs w:val="1"/>
                <w:color w:val="auto"/>
              </w:rPr>
              <w:t>% of</w:t>
            </w:r>
          </w:p>
        </w:tc>
        <w:tc>
          <w:tcPr>
            <w:tcW w:w="480" w:type="dxa"/>
            <w:vAlign w:val="bottom"/>
          </w:tcPr>
          <w:p>
            <w:pPr>
              <w:spacing w:after="0"/>
              <w:rPr>
                <w:sz w:val="9"/>
                <w:szCs w:val="9"/>
                <w:color w:val="auto"/>
              </w:rPr>
            </w:pPr>
          </w:p>
        </w:tc>
        <w:tc>
          <w:tcPr>
            <w:tcW w:w="500" w:type="dxa"/>
            <w:vAlign w:val="bottom"/>
            <w:gridSpan w:val="2"/>
          </w:tcPr>
          <w:p>
            <w:pPr>
              <w:ind w:left="20"/>
              <w:spacing w:after="0" w:line="113" w:lineRule="exact"/>
              <w:rPr>
                <w:sz w:val="20"/>
                <w:szCs w:val="20"/>
                <w:color w:val="auto"/>
              </w:rPr>
            </w:pPr>
            <w:r>
              <w:rPr>
                <w:rFonts w:ascii="Arial" w:cs="Arial" w:eastAsia="Arial" w:hAnsi="Arial"/>
                <w:sz w:val="13"/>
                <w:szCs w:val="13"/>
                <w:b w:val="1"/>
                <w:bCs w:val="1"/>
                <w:color w:val="auto"/>
                <w:w w:val="96"/>
              </w:rPr>
              <w:t>Change</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 revenues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right"/>
              <w:ind w:right="41"/>
              <w:spacing w:after="0" w:line="142" w:lineRule="exact"/>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1"/>
              <w:spacing w:after="0"/>
              <w:rPr>
                <w:sz w:val="20"/>
                <w:szCs w:val="20"/>
                <w:color w:val="auto"/>
              </w:rPr>
            </w:pPr>
            <w:r>
              <w:rPr>
                <w:rFonts w:ascii="Arial" w:cs="Arial" w:eastAsia="Arial" w:hAnsi="Arial"/>
                <w:sz w:val="18"/>
                <w:szCs w:val="18"/>
                <w:color w:val="auto"/>
                <w:w w:val="84"/>
              </w:rPr>
              <w:t>112.9</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c>
          <w:tcPr>
            <w:tcW w:w="980" w:type="dxa"/>
            <w:vAlign w:val="bottom"/>
            <w:gridSpan w:val="3"/>
          </w:tcPr>
          <w:p>
            <w:pPr>
              <w:jc w:val="right"/>
              <w:ind w:right="161"/>
              <w:spacing w:after="0"/>
              <w:rPr>
                <w:sz w:val="20"/>
                <w:szCs w:val="20"/>
                <w:color w:val="auto"/>
              </w:rPr>
            </w:pPr>
            <w:r>
              <w:rPr>
                <w:rFonts w:ascii="Arial" w:cs="Arial" w:eastAsia="Arial" w:hAnsi="Arial"/>
                <w:sz w:val="18"/>
                <w:szCs w:val="18"/>
                <w:color w:val="auto"/>
              </w:rPr>
              <w:t>$ 110.7</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91.9%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10.1</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98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9.7</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486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123.0</w:t>
            </w:r>
          </w:p>
        </w:tc>
        <w:tc>
          <w:tcPr>
            <w:tcW w:w="2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24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1"/>
              <w:spacing w:after="0"/>
              <w:rPr>
                <w:sz w:val="20"/>
                <w:szCs w:val="20"/>
                <w:color w:val="auto"/>
              </w:rPr>
            </w:pPr>
            <w:r>
              <w:rPr>
                <w:rFonts w:ascii="Arial" w:cs="Arial" w:eastAsia="Arial" w:hAnsi="Arial"/>
                <w:sz w:val="18"/>
                <w:szCs w:val="18"/>
                <w:color w:val="auto"/>
              </w:rPr>
              <w:t>79.2</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64.4</w:t>
            </w:r>
          </w:p>
        </w:tc>
        <w:tc>
          <w:tcPr>
            <w:tcW w:w="980" w:type="dxa"/>
            <w:vAlign w:val="bottom"/>
            <w:gridSpan w:val="3"/>
          </w:tcPr>
          <w:p>
            <w:pPr>
              <w:jc w:val="right"/>
              <w:ind w:right="161"/>
              <w:spacing w:after="0"/>
              <w:rPr>
                <w:sz w:val="20"/>
                <w:szCs w:val="20"/>
                <w:color w:val="auto"/>
              </w:rPr>
            </w:pPr>
            <w:r>
              <w:rPr>
                <w:rFonts w:ascii="Arial" w:cs="Arial" w:eastAsia="Arial" w:hAnsi="Arial"/>
                <w:sz w:val="18"/>
                <w:szCs w:val="18"/>
                <w:color w:val="auto"/>
              </w:rPr>
              <w:t>81.6</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67.7</w:t>
            </w: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transitional Fab 3 foundry services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9.4</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98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9.7</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486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1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24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72.1</w:t>
            </w:r>
          </w:p>
        </w:tc>
        <w:tc>
          <w:tcPr>
            <w:tcW w:w="2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240" w:type="dxa"/>
            <w:vAlign w:val="bottom"/>
          </w:tcPr>
          <w:p>
            <w:pPr>
              <w:spacing w:after="0"/>
              <w:rPr>
                <w:sz w:val="20"/>
                <w:szCs w:val="20"/>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75.8</w:t>
            </w: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34.4</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w:t>
            </w:r>
          </w:p>
        </w:tc>
        <w:tc>
          <w:tcPr>
            <w:tcW w:w="98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29.1</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13.4</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98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10.5</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 charges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1"/>
              <w:spacing w:after="0"/>
              <w:rPr>
                <w:sz w:val="20"/>
                <w:szCs w:val="20"/>
                <w:color w:val="auto"/>
              </w:rPr>
            </w:pPr>
            <w:r>
              <w:rPr>
                <w:rFonts w:ascii="Arial" w:cs="Arial" w:eastAsia="Arial" w:hAnsi="Arial"/>
                <w:sz w:val="18"/>
                <w:szCs w:val="18"/>
                <w:color w:val="auto"/>
              </w:rPr>
              <w:t>10.4</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980" w:type="dxa"/>
            <w:vAlign w:val="bottom"/>
            <w:gridSpan w:val="3"/>
          </w:tcPr>
          <w:p>
            <w:pPr>
              <w:jc w:val="right"/>
              <w:ind w:right="161"/>
              <w:spacing w:after="0"/>
              <w:rPr>
                <w:sz w:val="20"/>
                <w:szCs w:val="20"/>
                <w:color w:val="auto"/>
              </w:rPr>
            </w:pPr>
            <w:r>
              <w:rPr>
                <w:rFonts w:ascii="Arial" w:cs="Arial" w:eastAsia="Arial" w:hAnsi="Arial"/>
                <w:sz w:val="18"/>
                <w:szCs w:val="18"/>
                <w:color w:val="auto"/>
              </w:rPr>
              <w:t>0.6</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(2.1)</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98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6.0</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(0.8)</w:t>
            </w: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1"/>
              <w:spacing w:after="0"/>
              <w:rPr>
                <w:sz w:val="20"/>
                <w:szCs w:val="20"/>
                <w:color w:val="auto"/>
              </w:rPr>
            </w:pPr>
            <w:r>
              <w:rPr>
                <w:rFonts w:ascii="Arial" w:cs="Arial" w:eastAsia="Arial" w:hAnsi="Arial"/>
                <w:sz w:val="18"/>
                <w:szCs w:val="18"/>
                <w:color w:val="auto"/>
              </w:rPr>
              <w:t>(1.0)</w:t>
            </w:r>
          </w:p>
        </w:tc>
        <w:tc>
          <w:tcPr>
            <w:tcW w:w="130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8"/>
                <w:szCs w:val="18"/>
                <w:color w:val="auto"/>
              </w:rPr>
              <w:t>(5.6)</w:t>
            </w:r>
          </w:p>
        </w:tc>
        <w:tc>
          <w:tcPr>
            <w:tcW w:w="15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 net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(4.7)</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98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(31.0)</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26.3</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Others, net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1"/>
              <w:spacing w:after="0"/>
              <w:rPr>
                <w:sz w:val="20"/>
                <w:szCs w:val="20"/>
                <w:color w:val="auto"/>
              </w:rPr>
            </w:pPr>
            <w:r>
              <w:rPr>
                <w:rFonts w:ascii="Arial" w:cs="Arial" w:eastAsia="Arial" w:hAnsi="Arial"/>
                <w:sz w:val="18"/>
                <w:szCs w:val="18"/>
                <w:color w:val="auto"/>
              </w:rPr>
              <w:t>0.6</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980" w:type="dxa"/>
            <w:vAlign w:val="bottom"/>
            <w:gridSpan w:val="3"/>
          </w:tcPr>
          <w:p>
            <w:pPr>
              <w:jc w:val="right"/>
              <w:ind w:right="161"/>
              <w:spacing w:after="0"/>
              <w:rPr>
                <w:sz w:val="20"/>
                <w:szCs w:val="20"/>
                <w:color w:val="auto"/>
              </w:rPr>
            </w:pPr>
            <w:r>
              <w:rPr>
                <w:rFonts w:ascii="Arial" w:cs="Arial" w:eastAsia="Arial" w:hAnsi="Arial"/>
                <w:sz w:val="18"/>
                <w:szCs w:val="18"/>
                <w:color w:val="auto"/>
              </w:rPr>
              <w:t>0.8</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(5.1)</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98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(35.7)</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30.6</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Loss from continuing operations before income tax expense</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(5.8)</w:t>
            </w: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1"/>
              <w:spacing w:after="0"/>
              <w:rPr>
                <w:sz w:val="20"/>
                <w:szCs w:val="20"/>
                <w:color w:val="auto"/>
              </w:rPr>
            </w:pPr>
            <w:r>
              <w:rPr>
                <w:rFonts w:ascii="Arial" w:cs="Arial" w:eastAsia="Arial" w:hAnsi="Arial"/>
                <w:sz w:val="18"/>
                <w:szCs w:val="18"/>
                <w:color w:val="auto"/>
              </w:rPr>
              <w:t>(7.2)</w:t>
            </w:r>
          </w:p>
        </w:tc>
        <w:tc>
          <w:tcPr>
            <w:tcW w:w="130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8"/>
                <w:szCs w:val="18"/>
                <w:color w:val="auto"/>
              </w:rPr>
              <w:t>(29.8)</w:t>
            </w:r>
          </w:p>
        </w:tc>
        <w:tc>
          <w:tcPr>
            <w:tcW w:w="15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22.6</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0.3</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98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1.3</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Loss from continuing operations</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(6.1)</w:t>
            </w: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1"/>
              <w:spacing w:after="0"/>
              <w:rPr>
                <w:sz w:val="20"/>
                <w:szCs w:val="20"/>
                <w:color w:val="auto"/>
              </w:rPr>
            </w:pPr>
            <w:r>
              <w:rPr>
                <w:rFonts w:ascii="Arial" w:cs="Arial" w:eastAsia="Arial" w:hAnsi="Arial"/>
                <w:sz w:val="18"/>
                <w:szCs w:val="18"/>
                <w:color w:val="auto"/>
              </w:rPr>
              <w:t>(7.5)</w:t>
            </w:r>
          </w:p>
        </w:tc>
        <w:tc>
          <w:tcPr>
            <w:tcW w:w="130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8"/>
                <w:szCs w:val="18"/>
                <w:color w:val="auto"/>
              </w:rPr>
              <w:t>(31.1)</w:t>
            </w:r>
          </w:p>
        </w:tc>
        <w:tc>
          <w:tcPr>
            <w:tcW w:w="15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23.6</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7.3</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(23.7</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(19.7)</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0" w:type="dxa"/>
            <w:vAlign w:val="bottom"/>
            <w:vMerge w:val="restart"/>
          </w:tcPr>
          <w:p>
            <w:pPr>
              <w:jc w:val="right"/>
              <w:ind w:right="17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sets forth information relating to our continuing operations: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March 31, 2020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tcPr>
          <w:p>
            <w:pPr>
              <w:jc w:val="right"/>
              <w:ind w:right="297"/>
              <w:spacing w:after="0" w:line="119"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tcBorders>
              <w:top w:val="single" w:sz="8" w:color="auto"/>
            </w:tcBorders>
          </w:tcPr>
          <w:p>
            <w:pPr>
              <w:jc w:val="right"/>
              <w:ind w:right="297"/>
              <w:spacing w:after="0" w:line="119" w:lineRule="exact"/>
              <w:rPr>
                <w:sz w:val="20"/>
                <w:szCs w:val="20"/>
                <w:color w:val="auto"/>
              </w:rPr>
            </w:pPr>
            <w:r>
              <w:rPr>
                <w:rFonts w:ascii="Arial" w:cs="Arial" w:eastAsia="Arial" w:hAnsi="Arial"/>
                <w:sz w:val="13"/>
                <w:szCs w:val="13"/>
                <w:b w:val="1"/>
                <w:bCs w:val="1"/>
                <w:color w:val="auto"/>
              </w:rPr>
              <w:t>% of</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0"/>
              </w:rPr>
              <w:t>Total Revenues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0"/>
              </w:rPr>
              <w:t>Total Revenues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44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10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180" w:type="dxa"/>
            <w:vAlign w:val="bottom"/>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77.6</w:t>
            </w:r>
          </w:p>
        </w:tc>
        <w:tc>
          <w:tcPr>
            <w:tcW w:w="260" w:type="dxa"/>
            <w:vAlign w:val="bottom"/>
            <w:tcBorders>
              <w:right w:val="single" w:sz="8" w:color="CCEEFF"/>
            </w:tcBorders>
            <w:shd w:val="clear" w:color="auto" w:fill="CCEEFF"/>
          </w:tcPr>
          <w:p>
            <w:pPr>
              <w:spacing w:after="0"/>
              <w:rPr>
                <w:sz w:val="18"/>
                <w:szCs w:val="18"/>
                <w:color w:val="auto"/>
              </w:rPr>
            </w:pP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64.4%</w:t>
            </w:r>
          </w:p>
        </w:tc>
        <w:tc>
          <w:tcPr>
            <w:tcW w:w="220" w:type="dxa"/>
            <w:vAlign w:val="bottom"/>
            <w:gridSpan w:val="2"/>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424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33.1</w:t>
            </w: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27.5</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tcBorders>
              <w:right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Total standard products business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w:t>
            </w: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110.7</w:t>
            </w:r>
          </w:p>
        </w:tc>
        <w:tc>
          <w:tcPr>
            <w:tcW w:w="26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tcBorders>
              <w:right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120.5</w:t>
            </w:r>
          </w:p>
        </w:tc>
        <w:tc>
          <w:tcPr>
            <w:tcW w:w="260" w:type="dxa"/>
            <w:vAlign w:val="bottom"/>
            <w:tcBorders>
              <w:right w:val="single" w:sz="8" w:color="CCEEFF"/>
            </w:tcBorders>
            <w:shd w:val="clear" w:color="auto" w:fill="CCEEFF"/>
          </w:tcPr>
          <w:p>
            <w:pPr>
              <w:spacing w:after="0"/>
              <w:rPr>
                <w:sz w:val="18"/>
                <w:szCs w:val="18"/>
                <w:color w:val="auto"/>
              </w:rPr>
            </w:pP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March 31, 2020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4"/>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080" w:type="dxa"/>
            <w:vAlign w:val="bottom"/>
            <w:tcBorders>
              <w:top w:val="single" w:sz="8" w:color="auto"/>
            </w:tcBorders>
            <w:gridSpan w:val="2"/>
          </w:tcPr>
          <w:p>
            <w:pPr>
              <w:ind w:left="400"/>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Net sales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Net sales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10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Gross profit – standard products business</w:t>
            </w:r>
          </w:p>
        </w:tc>
        <w:tc>
          <w:tcPr>
            <w:tcW w:w="18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29.8%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ind w:left="680"/>
              <w:spacing w:after="0"/>
              <w:rPr>
                <w:sz w:val="20"/>
                <w:szCs w:val="20"/>
                <w:color w:val="auto"/>
              </w:rPr>
            </w:pPr>
            <w:r>
              <w:rPr>
                <w:rFonts w:ascii="Arial" w:cs="Arial" w:eastAsia="Arial" w:hAnsi="Arial"/>
                <w:sz w:val="18"/>
                <w:szCs w:val="18"/>
                <w:color w:val="auto"/>
              </w:rPr>
              <w:t>29.1</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26.3%</w:t>
            </w: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2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9"/>
              </w:rPr>
              <w:t>Gross profit – transitional Fab 3 foundry services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720"/>
              <w:spacing w:after="0"/>
              <w:rPr>
                <w:sz w:val="20"/>
                <w:szCs w:val="20"/>
                <w:color w:val="auto"/>
              </w:rPr>
            </w:pPr>
            <w:r>
              <w:rPr>
                <w:rFonts w:ascii="Arial" w:cs="Arial" w:eastAsia="Arial" w:hAnsi="Arial"/>
                <w:sz w:val="18"/>
                <w:szCs w:val="18"/>
                <w:color w:val="auto"/>
              </w:rPr>
              <w:t>Total gross profit</w:t>
            </w:r>
          </w:p>
        </w:tc>
        <w:tc>
          <w:tcPr>
            <w:tcW w:w="18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vMerge w:val="continue"/>
          </w:tcPr>
          <w:p>
            <w:pPr>
              <w:spacing w:after="0"/>
              <w:rPr>
                <w:sz w:val="19"/>
                <w:szCs w:val="19"/>
                <w:color w:val="auto"/>
              </w:rPr>
            </w:pPr>
          </w:p>
        </w:tc>
        <w:tc>
          <w:tcPr>
            <w:tcW w:w="18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27.9%</w:t>
            </w:r>
          </w:p>
        </w:tc>
        <w:tc>
          <w:tcPr>
            <w:tcW w:w="1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w w:val="79"/>
              </w:rPr>
              <w:t>29.1</w:t>
            </w:r>
          </w:p>
        </w:tc>
        <w:tc>
          <w:tcPr>
            <w:tcW w:w="260" w:type="dxa"/>
            <w:vAlign w:val="bottom"/>
            <w:vMerge w:val="continue"/>
          </w:tcPr>
          <w:p>
            <w:pPr>
              <w:spacing w:after="0"/>
              <w:rPr>
                <w:sz w:val="19"/>
                <w:szCs w:val="19"/>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24.2%</w:t>
            </w:r>
          </w:p>
        </w:tc>
        <w:tc>
          <w:tcPr>
            <w:tcW w:w="6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Total revenues were $123.0 million for the three months ended March 31, 2021, a $2.5 million, or 2.1%, increase compared to $120.5 million for the three months ended March 31, 2020. This increase was primarily due to an increase in revenue related to our standard products business as described below.</w:t>
      </w:r>
    </w:p>
    <w:p>
      <w:pPr>
        <w:spacing w:after="0" w:line="18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The standard products business. </w:t>
      </w:r>
      <w:r>
        <w:rPr>
          <w:rFonts w:ascii="Arial" w:cs="Arial" w:eastAsia="Arial" w:hAnsi="Arial"/>
          <w:sz w:val="16"/>
          <w:szCs w:val="16"/>
          <w:color w:val="auto"/>
        </w:rPr>
        <w:t>Net sales from our standard products business were $112.9 million for the three months ended March 31, 2021,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2.2 million, or 2.0%, increase compared to $110.7 million for the three months ended March 31, 2020. This increase was primarily attributable to a higher demand for power products such as MOSFETs, including high-end MOSFETs, primarily for TVs and e-bikes, whereas the revenue for power products in the first quarter of 2020 was impacted by COVID-19-related supply chain issues and market softness in China. This increase was offset in part by a decrease in revenue related to our mobile OLED display driver ICs as a result of the U.S. Government’s export restrictions on Huawei, which was a downstream customer of some of our direct customers, since the third quarter of 2020 that impacted the shipment of certain mobile OLED display driver ICs to certain of our customers, and a strategic reduction of our lower margin non-auto LCD business.</w:t>
      </w:r>
    </w:p>
    <w:p>
      <w:pPr>
        <w:spacing w:after="0" w:line="16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The transitional Fab 3 foundry services. </w:t>
      </w:r>
      <w:r>
        <w:rPr>
          <w:rFonts w:ascii="Arial" w:cs="Arial" w:eastAsia="Arial" w:hAnsi="Arial"/>
          <w:sz w:val="18"/>
          <w:szCs w:val="18"/>
          <w:color w:val="auto"/>
        </w:rPr>
        <w:t>Net sales from the transitional Fab 3 foundry services were $10.1 million and $9.7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2021 and 2020,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Total gross profit was $34.4 million for the three months ended March 31, 2021 compared to $29.1 million for the three months ended March 31, 2020, a $5.3 million, or 18.0%, increase. Gross profit as a percentage of net sales for the three months ended March 31, 2021 increased to 27.9% compared to 24.2% for the three months ended March 31, 2020. The increase in gross profit and gross profit as a percentage of net sales was primarily due to our standard products business as further described below.</w:t>
      </w:r>
    </w:p>
    <w:p>
      <w:pPr>
        <w:spacing w:after="0" w:line="18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b w:val="1"/>
          <w:bCs w:val="1"/>
          <w:i w:val="1"/>
          <w:iCs w:val="1"/>
          <w:color w:val="auto"/>
        </w:rPr>
        <w:t xml:space="preserve">The standard products business. </w:t>
      </w:r>
      <w:r>
        <w:rPr>
          <w:rFonts w:ascii="Arial" w:cs="Arial" w:eastAsia="Arial" w:hAnsi="Arial"/>
          <w:sz w:val="16"/>
          <w:szCs w:val="16"/>
          <w:color w:val="auto"/>
        </w:rPr>
        <w:t>Gross profit from our standard products business was $33.7 million for the three months ended March 31,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represented a $4.5 million, or 15.5%, increase from gross profit of $29.1 million for the three months ended March 31, 2020. Gross profit as a percentage of net sales for the three months ended March 31, 2021 increased to 29.8% compared to 26.3% for the three months ended March 31, 2020. The increase in both gross profit and gross profit margin was primarily attributable to a higher utilization rate and an improved product mix.</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86"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Sales – Standard Products Business by Geographic Region</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report net sales – 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three months ended March 31, 2021 and 2020:</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Net Sales –</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Net Sales –</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standard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standard</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products</w:t>
            </w:r>
          </w:p>
        </w:tc>
        <w:tc>
          <w:tcPr>
            <w:tcW w:w="22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products</w:t>
            </w: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business</w:t>
            </w:r>
          </w:p>
        </w:tc>
        <w:tc>
          <w:tcPr>
            <w:tcW w:w="2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2"/>
              </w:rPr>
              <w:t>business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rPr>
              <w:t>(In millions)</w:t>
            </w:r>
          </w:p>
        </w:tc>
        <w:tc>
          <w:tcPr>
            <w:tcW w:w="6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30.8</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83.7</w:t>
            </w:r>
          </w:p>
        </w:tc>
        <w:tc>
          <w:tcPr>
            <w:tcW w:w="3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77.5</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112.9</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110.7</w:t>
            </w:r>
          </w:p>
        </w:tc>
        <w:tc>
          <w:tcPr>
            <w:tcW w:w="320" w:type="dxa"/>
            <w:vAlign w:val="bottom"/>
            <w:vMerge w:val="continue"/>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Net sales – standard products business in Korea for the three months ended March 31, 2021 decreased from $30.8 million to $26.4 million compared to the three months ended March 31, 2020, or by $4.4 million, or 14.2%, primarily due to a decrease in revenue related to our mobile OLED display driver ICs as a result of the U.S. Government’s export restrictions on Huawei, which was a downstream customer of some of our direct customers, since the third quarter of 2020 that impacted the shipment of certain mobile OLED display driver ICs to certain of our customers, and a strategic reduction of our lower margin non-auto LCD business. This decrease was offset in part by a higher demand for power products such as MOSFETs, including high-end MOSFETs, primarily for TVs.</w:t>
      </w:r>
    </w:p>
    <w:p>
      <w:pPr>
        <w:spacing w:after="0" w:line="19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Net sales – standard products business in Asia Pacific (other than Korea) for the three months ended March 31, 2021 increased to $83.7 million from $77.5 million in the three months ended March 31, 2020, or by $6.2 million, or 8.0%, primarily due to a higher demand for power products such as MOSFETs, including high-end MOSFETs, primarily for TVs and e-bikes.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were $12.6 million, or 10.3% of total revenues,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three months ended March 31, 2021, compared to $12.1 million, or 10.0% of total revenues, for the three months ended March 31, 2020. The increase of $0.5 million, or 4.4%, was primarily attributable to the grant timing of equity-based compensation.</w:t>
      </w:r>
    </w:p>
    <w:p>
      <w:pPr>
        <w:spacing w:after="0" w:line="165"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were $13.4 million, or 10.9% of total revenues,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2021, compared to $10.5 million, or 8.7% of total revenues, for the three months ended March 31, 2020. The increase of $2.9 million, or 27.7%, was primarily attributable to an increase in development activities for our 28-nanometer OLED display driver ICs.</w:t>
      </w:r>
    </w:p>
    <w:p>
      <w:pPr>
        <w:spacing w:after="0" w:line="149"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Other Charges. </w:t>
      </w:r>
      <w:r>
        <w:rPr>
          <w:rFonts w:ascii="Arial" w:cs="Arial" w:eastAsia="Arial" w:hAnsi="Arial"/>
          <w:sz w:val="16"/>
          <w:szCs w:val="16"/>
          <w:color w:val="auto"/>
        </w:rPr>
        <w:t>Of the other charges of $10.4 million for the three months ended March 31, 2021, $9.8 million related to professional fees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transaction related expenses incurred in connection with the Merger. Other charges were $0.6 million for the three months ended March 31, 2020, which were consisted of professional service fees and expenses incurred in connection with certain treasury and finance initiatives.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As a result of the foregoing, operating loss of $2.1 million was recorded for the three months ended March 31, 2021 compared to operating income of $6.0 million the three months ended March 31, 2020. As discussed above, the decrease in operating income of $8.1 million resulted primarily from a $9.9 million increase in other charges, $2.9 million increase in research and development expenses, and a $0.5 million increase in selling, general and administrative expenses. This increase was offset in part by a $5.3 million increase in gross profit.</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86"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expenses were $1.0 million and $5.6 million for the three months ended March 31, 2021 and March 31,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respectively. Interest expenses were incurred primarily under our 2021 Notes and Exchangeable Notes. We redeemed all outstanding 2021 Notes on October 2, 2020. Our Exchangeable Notes were exchanged for common stock prior to their maturity date of March 1, 2021. From and after October 2, 2020 and March 1, 2021, we have not incurred interest expense associated with the 2021 Notes and Exchangeable Notes, respectively.</w:t>
      </w:r>
    </w:p>
    <w:p>
      <w:pPr>
        <w:spacing w:after="0" w:line="15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Foreign Currency Loss, Net. </w:t>
      </w:r>
      <w:r>
        <w:rPr>
          <w:rFonts w:ascii="Arial" w:cs="Arial" w:eastAsia="Arial" w:hAnsi="Arial"/>
          <w:sz w:val="17"/>
          <w:szCs w:val="17"/>
          <w:color w:val="auto"/>
        </w:rPr>
        <w:t>Net foreign currency loss for the three months ended March 31, 2021 was $4.7 million compared to net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currency loss of $31.0 million for the three months ended March 31, 2020. The net foreign currency loss for the three months ended March 31, 2021 and March 31, 2020 was due to the depreciation in value of the Korean won relative to the U.S. dollar during the period.</w:t>
      </w:r>
    </w:p>
    <w:p>
      <w:pPr>
        <w:spacing w:after="0" w:line="165"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intercompany long-term loans to our Korean subsidiary, which are denominated in U.S. dollars, and are affected by changes in the exchange rate between the Korean won and the U.S. dollar. As of March 31, 2021 and March 31, 2020, the outstanding intercompany loan balances, including accrued interest between our Korean subsidiary and our Dutch subsidiary, were $382 million and $684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w:t>
      </w:r>
    </w:p>
    <w:p>
      <w:pPr>
        <w:spacing w:after="0" w:line="164"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comprised of rental income, interest income, and gains and losses from valuation of derivatives which were designated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hedging instruments. Others for the three months ended March 31, 2021 and March 31, 2020 was $0.6 million and $0.8 million, respectively.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Income tax expense was $0.3 million for the three months ended March 31, 2021, which was primarily attributable to interest on intercompany loan balances, and offset in part by the tax benefit recognized on the loss for the first quarter of 2021 from our Korean subsidiary. Income tax expense from the continuing operations for the three months ended March 31, 2020 was $1.3 million, which was primarily attributable to interest on intercompany loan balances. The income tax expense was recorded for our Korean subsidiary based on the estimated taxable income for the respective period, combined with our ability to utilize net operating loss carryforwards up to 60% in 2020.</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from Continuing Operations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Loss from continuing operations for the three months ended March 31, 2021 was $7.5 million compared to loss from continuing operations of $31.1 million for the three months ended March 31, 2020. The $23.6 million improvement in results from continuing operations was primarily attributable to a $26.3 million improvement in net foreign currency loss and a $4.6 million decrease in interest expense, which were offset in part by an $8.1 million decrease in operating income.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from Discontinued Operations, Net of Tax</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On March 30, 2020, we entered into the Business Transfer Agreement for the sale of our Foundry Services Group business and Fab 4. As a result, the results of the Foundry Services Group business were classified as discontinued operations in our consolidated statements of operations and excluded from our continuing operations for all periods presented. Income from discontinued operations, net of tax was $7.3 million for the three months ended March 31, 2020. On September 1, 2020, we completed the sale of our Foundry Services Group business and Fab 4 for a purchase price equal to approximately $350.6 million in cash. We have not incurred a gain or loss from discontinued operations in 2021 as the sale of the Foundry Service Group business and Fab 4 was completed in 2020.</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a result of the foregoing, a net loss of $7.5 million was recorded for the three months ended March 31, 2021 compared to a net loss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$23.7 million for the three months ended March 31, 2020. As discussed above, the improvement in net loss of $16.3 million primarily resulted from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$23.6 million improvement in loss from continuing operations, which was offset by a $7.3 million decrease in income from discontinued operation, net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tax.</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86"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520" w:firstLine="440"/>
        <w:spacing w:after="0" w:line="308" w:lineRule="auto"/>
        <w:rPr>
          <w:sz w:val="20"/>
          <w:szCs w:val="20"/>
          <w:color w:val="auto"/>
        </w:rPr>
      </w:pPr>
      <w:r>
        <w:rPr>
          <w:rFonts w:ascii="Arial" w:cs="Arial" w:eastAsia="Arial" w:hAnsi="Arial"/>
          <w:sz w:val="17"/>
          <w:szCs w:val="17"/>
          <w:color w:val="auto"/>
        </w:rPr>
        <w:t>Our principal capital requirements are to fund sales and marketing, invest in research and development and capital equipment, to make debt service payments and to fund working capital needs. We calculate working capital as current assets less current liabilities.</w:t>
      </w:r>
    </w:p>
    <w:p>
      <w:pPr>
        <w:spacing w:after="0" w:line="146"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Our principal sources of liquidity are our cash, cash equivalents, cash flows from operations and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March 31, 2021, we do not have any accounts payable on extended terms or payment deferment with our vendors.</w:t>
      </w:r>
    </w:p>
    <w:p>
      <w:pPr>
        <w:spacing w:after="0" w:line="192"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On September 1, 2020, we completed the sale of our Foundry Services Group business and Fab 4 to Key Foundry Co., Ltd. in exchange for a purchase price equal to approximately $350.6 million in cash. The purchase price was paid in a combination of U.S. Dollars in the amount of $46.5 million and Korean Won in the amount of approximately KRW 360.6 billion.</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 October 2, 2020, we redeemed of all of our outstanding 2021 Notes. We paid approximately $227.4 million to fully redeem all of the outstanding $224.25 million aggregate principal amount of the 2021 Notes at a redemption price equal to the sum of 100% of the principal amount plus accrued and unpaid interest thereon.</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January 17, 2017, we issued an aggregate of $86.3 million in principal amount of our Exchangeable Notes. Prior to the March 1, 2021 maturity of our Exchangeable Notes, holders elected to exchange for an aggregate of 10,144,131 shares of our common stock in satisfaction in full of the remaining outstanding obligations under the Exchangeable Notes.</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currently believe that we will have sufficient cash reserves from cash on hand and expected cash from operations to fund our operations as well as capital expenditures for the next 12 months and the foreseeable future.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Our working capital balance as of March 31, 2021 was $315.3 million compared to $236.0 million as of December 31, 2020. The $79.3 million increase was primarily attributable to the exchange of our Exchangeable Notes for common stock prior to their maturity date of March 1, 2021.</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consolidated statements of cash flows have not been adjusted to separately disclose cash flows related to discontinued operations for the three months ended March 31, 2020, but the material items in the operating and investing activities of cash flows relating to discontinued operations in the referred period are disclosed in “Item 1. Financial Statements and Supplementary Data – Notes to Consolidated Financial Statements – Note 3 – Discontinued Operations and Assets Held for Sale” included elsewhere in this Report.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Cash inflow provided by operating activities totaled $21.2 million for the three months ended March 31, 2021, compared to $21.1 million of cash inflow provided by operating activities for the three months ended March 31, 2020. The net operating cash inflow for the three months ended March 31, 2021 reflects our net loss of $7.5 million, as adjusted favorably by $33.2 million, which mainly consisted of depreciation and amortization, provision for severance benefits, restructuring and other charges, and net foreign currency loss, and net unfavorable impact of $4.5 million from changes of operating assets and liabilities.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Cash outflow used in investing activities totaled $1.4 million for the three months ended March 31, 2021, compared to $7.1 million of cash outflow used in investing activities for the three months ended March 31, 2020. The $5.8 million decrease was primarily attributable to a $3.6 million net decrease in hedge collateral and a $2.3 million decrease in purchase of plant, property and equipment.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86"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Cash inflow provided by financing activities totaled $0.8 million for the three months ended March 31, 2021, compared to $1.2 million of cash outflow used in financing activities for the three months ended March 31, 2020. The financing cash inflow for the three months ended March 31, 2021 was primarily attributable to $2.5 million of proceeds received from the issuance of common stock in connection with the exercise of stock options, which was offset in part by a payment of $1.5 million for the repurchase of our common stock to satisfy tax withholding obligations in connection with the vesting of restricted stock units. The financing cash outflow for the three months ended March 31, 2020 was primarily attributable to a payment of $1.0 million for the repurchase of our common stock to satisfy tax withholding obligation in connection with the vesting of restricted stock units.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routinely make capital expenditures for fabrication facility maintenance, enhancement of our existing facilities and reinforcement of our global research and development capability. For the three months ended March 31, 2021, capital expenditures for plant, property and equipment were</w:t>
      </w:r>
    </w:p>
    <w:p>
      <w:pPr>
        <w:ind w:left="120" w:right="440"/>
        <w:spacing w:after="0" w:line="255" w:lineRule="auto"/>
        <w:rPr>
          <w:sz w:val="20"/>
          <w:szCs w:val="20"/>
          <w:color w:val="auto"/>
        </w:rPr>
      </w:pPr>
      <w:r>
        <w:rPr>
          <w:rFonts w:ascii="Arial" w:cs="Arial" w:eastAsia="Arial" w:hAnsi="Arial"/>
          <w:sz w:val="18"/>
          <w:szCs w:val="18"/>
          <w:color w:val="auto"/>
        </w:rPr>
        <w:t>$1.1 million, a $2.3 million, or 67.7%, decrease from $3.4 million for the three months ended March 31, 2020. The decrease was mainly due to the timing of our equipment deployment. The capital expenditures for the three months ended March 31, 2021 and 2020 were related to meeting our customer demand and supporting technology and facility improvement at our fabrication facilities.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86"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summarizes our contractual obligations as of March 31, 2021:</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2"/>
          </w:tcPr>
          <w:p>
            <w:pPr>
              <w:jc w:val="right"/>
              <w:ind w:right="16"/>
              <w:spacing w:after="0" w:line="119" w:lineRule="exact"/>
              <w:rPr>
                <w:sz w:val="20"/>
                <w:szCs w:val="20"/>
                <w:color w:val="auto"/>
              </w:rPr>
            </w:pPr>
            <w:r>
              <w:rPr>
                <w:rFonts w:ascii="Arial" w:cs="Arial" w:eastAsia="Arial" w:hAnsi="Arial"/>
                <w:sz w:val="13"/>
                <w:szCs w:val="13"/>
                <w:b w:val="1"/>
                <w:bCs w:val="1"/>
                <w:color w:val="auto"/>
              </w:rPr>
              <w:t>Remainder</w:t>
            </w: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640" w:type="dxa"/>
            <w:vAlign w:val="bottom"/>
          </w:tcPr>
          <w:p>
            <w:pPr>
              <w:jc w:val="right"/>
              <w:ind w:right="296"/>
              <w:spacing w:after="0" w:line="149" w:lineRule="exact"/>
              <w:rPr>
                <w:sz w:val="20"/>
                <w:szCs w:val="20"/>
                <w:color w:val="auto"/>
              </w:rPr>
            </w:pPr>
            <w:r>
              <w:rPr>
                <w:rFonts w:ascii="Arial" w:cs="Arial" w:eastAsia="Arial" w:hAnsi="Arial"/>
                <w:sz w:val="14"/>
                <w:szCs w:val="14"/>
                <w:b w:val="1"/>
                <w:bCs w:val="1"/>
                <w:color w:val="auto"/>
              </w:rPr>
              <w:t>of</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2023</w:t>
            </w:r>
          </w:p>
        </w:tc>
        <w:tc>
          <w:tcPr>
            <w:tcW w:w="5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2024</w:t>
            </w:r>
          </w:p>
        </w:tc>
        <w:tc>
          <w:tcPr>
            <w:tcW w:w="6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2025</w:t>
            </w:r>
          </w:p>
        </w:tc>
        <w:tc>
          <w:tcPr>
            <w:tcW w:w="8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4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(In millions)</w:t>
            </w:r>
          </w:p>
        </w:tc>
        <w:tc>
          <w:tcPr>
            <w:tcW w:w="5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leases(1)</w:t>
            </w:r>
          </w:p>
        </w:tc>
        <w:tc>
          <w:tcPr>
            <w:tcW w:w="25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$ 4.9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$0.7</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4"/>
              </w:rPr>
              <w:t>$ 0.5</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$ 0.4</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Finance leases(1)</w:t>
            </w:r>
          </w:p>
        </w:tc>
        <w:tc>
          <w:tcPr>
            <w:tcW w:w="2540" w:type="dxa"/>
            <w:vAlign w:val="bottom"/>
            <w:gridSpan w:val="2"/>
          </w:tcPr>
          <w:p>
            <w:pPr>
              <w:jc w:val="right"/>
              <w:ind w:right="48"/>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0.1</w:t>
            </w:r>
          </w:p>
        </w:tc>
        <w:tc>
          <w:tcPr>
            <w:tcW w:w="520" w:type="dxa"/>
            <w:vAlign w:val="bottom"/>
          </w:tcPr>
          <w:p>
            <w:pPr>
              <w:jc w:val="center"/>
              <w:ind w:right="14"/>
              <w:spacing w:after="0"/>
              <w:rPr>
                <w:sz w:val="20"/>
                <w:szCs w:val="20"/>
                <w:color w:val="auto"/>
              </w:rPr>
            </w:pPr>
            <w:r>
              <w:rPr>
                <w:rFonts w:ascii="Arial" w:cs="Arial" w:eastAsia="Arial" w:hAnsi="Arial"/>
                <w:sz w:val="18"/>
                <w:szCs w:val="18"/>
                <w:color w:val="auto"/>
                <w:w w:val="99"/>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Water Treatment Services(1)(2)</w:t>
            </w:r>
          </w:p>
        </w:tc>
        <w:tc>
          <w:tcPr>
            <w:tcW w:w="25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4.0</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Others(3)</w:t>
            </w:r>
          </w:p>
        </w:tc>
        <w:tc>
          <w:tcPr>
            <w:tcW w:w="2540" w:type="dxa"/>
            <w:vAlign w:val="bottom"/>
            <w:gridSpan w:val="2"/>
          </w:tcPr>
          <w:p>
            <w:pPr>
              <w:jc w:val="right"/>
              <w:ind w:right="48"/>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20"/>
                <w:szCs w:val="20"/>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3.1</w:t>
            </w:r>
          </w:p>
        </w:tc>
        <w:tc>
          <w:tcPr>
            <w:tcW w:w="52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Assumes constant currency exchange rate for Korean won to US dollars of 1,133.5:1, the exchange rate as of March 31, 2021.</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future payments for water treatment services for our fabrication facility in Gumi, Korea based on the contractual terms.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license agreements and other contractual obligations.</w:t>
      </w:r>
    </w:p>
    <w:p>
      <w:pPr>
        <w:spacing w:after="0" w:line="21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We lease land, office space and equipment under various operating lease agreements that expire through 2025.</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a party to an arrangement for the water treatment facility in Gumi, Korea, which includes a 10-year service agreement beginning July 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2018.</w:t>
      </w:r>
    </w:p>
    <w:p>
      <w:pPr>
        <w:spacing w:after="0" w:line="21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Beginning in July 2018, we have contributed a certain percentage of severance benefits, accrued for eligible employees for their services beginning January 1, 2018, to certain severance insurance deposit accounts. These accounts consist of time deposits and other guaranteed principal and interest, and are maintained at insurance companies, banks or security companies for the benefit of employees. We deduct the contributions made to these severance insurance deposit accounts from our accrued severance benefits. As of March 31, 2021, our accrued severance benefits, net, totaled $39.1 million and cumulative contributions to these severance insurance deposit accounts amounted to $13.2 million.</w:t>
      </w:r>
    </w:p>
    <w:p>
      <w:pPr>
        <w:spacing w:after="0" w:line="16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follow U.S. GAAP guidance on uncertain tax positions. Our unrecognized tax benefits totaled $0.3 million as of March 31, 2021. These unrecognized tax benefits have been excluded from the above table because we cannot estimate the period of cash settlement with the respective taxing authorities.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2021, we did not have any off-balance sheet arrangements, as defined in Item 303(a)(4)(ii) of Regulation S-K.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86"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believe that our significant accounting policies, which are described further in Note 1 to our consolidated financial statements in our Annual Report on Form 10-K for our fiscal year ended December 31, 2020, or our 2020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description of our critical accounting policies that involve significant management judgement appears in our 2020 Form 10-K, under “Management’s Discussion and Analysis of Financial Conditions and Reports of Operations—Critical Accounting Policies and Estimates.” There have been no other material changes to our critical accounting policies and estimates as compared to our critical accounting policies and estimates included in our 2020 Form 10-K.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Recent </w:t>
      </w:r>
      <w:r>
        <w:rPr>
          <w:rFonts w:ascii="Arial" w:cs="Arial" w:eastAsia="Arial" w:hAnsi="Arial"/>
          <w:sz w:val="18"/>
          <w:szCs w:val="18"/>
          <w:b w:val="1"/>
          <w:bCs w:val="1"/>
          <w:color w:val="auto"/>
        </w:rPr>
        <w:t>Accounting</w:t>
      </w:r>
      <w:r>
        <w:rPr>
          <w:rFonts w:ascii="Arial" w:cs="Arial" w:eastAsia="Arial" w:hAnsi="Arial"/>
          <w:sz w:val="18"/>
          <w:szCs w:val="18"/>
          <w:b w:val="1"/>
          <w:bCs w:val="1"/>
          <w:i w:val="1"/>
          <w:iCs w:val="1"/>
          <w:color w:val="auto"/>
        </w:rPr>
        <w:t xml:space="preserve"> Pronouncements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For a full description of new accounting pronouncements and recently adopted accounting pronouncements, please see “Item 1. Interim Consolidated Financial Statements—Notes to Consolidated Financial Statements—Note 1. Business, Basis of Presentation and Significant Accounting Policies” in this Report.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86"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We are exposed to the market risk that the value of a financial instrument will fluctuate due to changes in market conditions, primarily from changes in foreign currency exchange rates and interest rates. In the normal course of our business, we are subject to market risks associated with interest rate movements and currency movements on our assets and liabilities.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Exposures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March 31, 2021 for our Korean subsidiary, a 10% devaluation of the Korean won against the U.S. dollar would have resulted in a decrease of $3.2 million in our U.S. dollar financial instruments and cash balances.</w:t>
      </w:r>
    </w:p>
    <w:p>
      <w:pPr>
        <w:spacing w:after="0" w:line="19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See “Note 9.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86"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connection with the preparation of this Report, we carried out an evaluation under the supervision of and with the participation of our management, including our Chief Executive Officer and Chief Financial Officer, as of March 31, 2021,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March 31, 2021.</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2021 that have materially affected, or are reasonably likely to materially affect, our internal control over financial reporting.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86"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For a discussion of legal proceedings, see “Item 1. Interim Consolidated Financial Statements—Notes to Consolidated Financial Statements— Note 18. Commitments and Contingencies” in this Report and “Part I: Item 3. Legal Proceedings” of our 2020 Form 10-K.</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also “Item 1A. Risk Factors” in this Report and “Part I: Item 1A. Risk Factors” of our 2020 Form 10-K for additional information.</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120" w:right="300" w:firstLine="440"/>
        <w:spacing w:after="0" w:line="291" w:lineRule="auto"/>
        <w:rPr>
          <w:sz w:val="20"/>
          <w:szCs w:val="20"/>
          <w:color w:val="auto"/>
        </w:rPr>
      </w:pPr>
      <w:r>
        <w:rPr>
          <w:rFonts w:ascii="Arial" w:cs="Arial" w:eastAsia="Arial" w:hAnsi="Arial"/>
          <w:sz w:val="16"/>
          <w:szCs w:val="16"/>
          <w:color w:val="auto"/>
        </w:rPr>
        <w:t>The Company is subject to risks and uncertainties, any of which could have a significant or material adverse effect on our business, financial condition, liquidity or consolidated financial statements. You should carefully consider the risk factors disclosed in Part I, Item 1A of our 2020 Form</w:t>
      </w:r>
    </w:p>
    <w:p>
      <w:pPr>
        <w:ind w:left="120"/>
        <w:spacing w:after="0" w:line="255" w:lineRule="auto"/>
        <w:rPr>
          <w:sz w:val="20"/>
          <w:szCs w:val="20"/>
          <w:color w:val="auto"/>
        </w:rPr>
      </w:pPr>
      <w:r>
        <w:rPr>
          <w:rFonts w:ascii="Arial" w:cs="Arial" w:eastAsia="Arial" w:hAnsi="Arial"/>
          <w:sz w:val="18"/>
          <w:szCs w:val="18"/>
          <w:color w:val="auto"/>
        </w:rPr>
        <w:t>10-K (including that the impact of the COVID-19 pandemic may also exacerbate the risks discussed therein), herein and other reports we have filed with the SEC. The risks described herein and therein are not the only ones we face. This information should be considered carefully together with the other information contained in this Report and the other reports and materials the Company files with the SEC.</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Merger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are risks and uncertainties associated with the Merger.</w:t>
      </w:r>
    </w:p>
    <w:p>
      <w:pPr>
        <w:spacing w:after="0" w:line="117"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On March 25, 2021, we entered into the Merger Agreement with Parent and Merger Sub, pursuant to which, among other things, Merger Sub will be merged with and into the Company, with the Company continuing its corporate existence as the surviving corporation in the Merger and becoming a wholly owned subsidiary of Parent. The consummation of the Merger is conditioned on the receipt of the approval of our stockholders, as well as the satisfaction of other customary closing conditions, including (i) the receipt of certain required or requested governmental approvals, (ii) the absence of any order or law issued, enacted or deemed applicable by certain governmental authorities specified in the Merger Agreement that makes consummation of the Merger illegal and that remains in effect, (iii) the absence of a Company Material Adverse Effect (as defined in the Merger Agreement) and</w:t>
      </w:r>
    </w:p>
    <w:p>
      <w:pPr>
        <w:spacing w:after="0" w:line="4" w:lineRule="exact"/>
        <w:rPr>
          <w:sz w:val="20"/>
          <w:szCs w:val="20"/>
          <w:color w:val="auto"/>
        </w:rPr>
      </w:pPr>
    </w:p>
    <w:p>
      <w:pPr>
        <w:ind w:left="120" w:hanging="4"/>
        <w:spacing w:after="0" w:line="253" w:lineRule="auto"/>
        <w:tabs>
          <w:tab w:leader="none" w:pos="4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customary closing conditions, including the accuracy of each party’s representations and warranties, and each party’s compliance with its obligations under the Merger Agreement (subject in the case of this clause (iv) to certain materiality qualifiers). There is no assurance that the conditions to the Merger will be satisfied in a timely manner or at all. Additionally, if the Merger is not completed, we may suffer a number of consequences that could adversely affect our business, results of operations, and stock price. There are numerous other risks related to the Merger as well, including the following:</w:t>
      </w:r>
    </w:p>
    <w:p>
      <w:pPr>
        <w:spacing w:after="0" w:line="96" w:lineRule="exact"/>
        <w:rPr>
          <w:rFonts w:ascii="Arial" w:cs="Arial" w:eastAsia="Arial" w:hAnsi="Arial"/>
          <w:sz w:val="18"/>
          <w:szCs w:val="18"/>
          <w:color w:val="auto"/>
        </w:rPr>
      </w:pPr>
    </w:p>
    <w:p>
      <w:pPr>
        <w:ind w:left="1080" w:right="40" w:hanging="424"/>
        <w:spacing w:after="0" w:line="277"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possibility that any or all of the conditions precedent to the consummation of the proposed Merger, including the receipt of stockholder and regulatory approvals, may not be satisfied or waived;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unanticipated difficulties or expenditures relating to the proposed Merger;</w:t>
      </w:r>
    </w:p>
    <w:p>
      <w:pPr>
        <w:spacing w:after="0" w:line="130" w:lineRule="exact"/>
        <w:rPr>
          <w:rFonts w:ascii="Arial" w:cs="Arial" w:eastAsia="Arial" w:hAnsi="Arial"/>
          <w:sz w:val="18"/>
          <w:szCs w:val="18"/>
          <w:color w:val="auto"/>
        </w:rPr>
      </w:pPr>
    </w:p>
    <w:p>
      <w:pPr>
        <w:ind w:left="1080" w:right="700" w:hanging="424"/>
        <w:spacing w:after="0" w:line="277"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failure to consummate the proposed Merger may result in negative publicity and a negative impression of us in the investment community;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86"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required regulatory approvals from governmental entities may delay the proposed Merger or result in the imposition of conditions that could cause Parent to abandon the Merger;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occurrence of any event, change or circumstance that could give rise to the termination of the Merger Agreement;</w:t>
      </w:r>
    </w:p>
    <w:p>
      <w:pPr>
        <w:spacing w:after="0" w:line="130" w:lineRule="exact"/>
        <w:rPr>
          <w:rFonts w:ascii="Arial" w:cs="Arial" w:eastAsia="Arial" w:hAnsi="Arial"/>
          <w:sz w:val="18"/>
          <w:szCs w:val="18"/>
          <w:color w:val="auto"/>
        </w:rPr>
      </w:pPr>
    </w:p>
    <w:p>
      <w:pPr>
        <w:ind w:left="1080" w:right="180" w:hanging="424"/>
        <w:spacing w:after="0" w:line="25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that any termination of the Merger Agreement may have on the Company or our business, including the risks that (a) the price of our common stock may decline significantly if the Merger is not completed, (b) the Merger Agreement may be terminated in circumstances requiring the Company to pay Parent a termination fee, or (c) the circumstances of the termination, including the possible imposition of a 12-month tail period during which the termination fee could be payable upon certain subsequent transactions, may have a chilling effect on alternatives to the Merger;</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diversion of and attention of management of Magnachip on transaction-related issues;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legal proceedings, judgments or settlements, including those that have been and may in the future be instituted against Magnachip, our Board of Directors and executive officers and others following the announcement of the proposed Merger;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of current plans and operations caused by the announcement and pendency of the proposed Merger;</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difficulties in employee retention (including executive and other key officers) due to the announcement and pendency of the proposed Merger;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response of customers, suppliers, business partners and regulators to the announcement of the proposed Merger;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effect of limitations that the Merger Agreement places on our ability to operate our business or engage in alternative transactions;</w:t>
      </w:r>
    </w:p>
    <w:p>
      <w:pPr>
        <w:spacing w:after="0" w:line="142"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Merger may be completed even though certain events occur prior to consummation of the Merger that materially and adversely affect us; and</w:t>
      </w:r>
    </w:p>
    <w:p>
      <w:pPr>
        <w:spacing w:after="0" w:line="75"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risks and uncertainties and the factors identified under “Forward-Looking Information” in our Proxy Statement on Schedule 14A filed on May 7, 2021 and under “Risk Factors” in Part I, Item 1A of Magnachip’s Annual Report on Form 10-K for the year ended December 31, 2020, and updated in subsequent reports filed by Magnachip with the SEC.</w:t>
      </w:r>
    </w:p>
    <w:p>
      <w:pPr>
        <w:spacing w:after="0" w:line="184"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color w:val="auto"/>
        </w:rPr>
        <w:t>In addition, we have incurred, and will continue to incur, significant costs, expenses and fees for professional services and other transaction costs in connection with the Merger, and these fees and costs are payable by us regardless of whether the Merger is consummated.</w:t>
      </w:r>
    </w:p>
    <w:p>
      <w:pPr>
        <w:spacing w:after="0" w:line="146"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Lawsuits have been filed, and other lawsuits may be filed, against the Company and current or former members of our Board of Directors in connection with the Merger, and an adverse ruling in any such lawsuit may delay or prevent the completion of the Merger or result in an award of damages against the Company.</w:t>
      </w:r>
    </w:p>
    <w:p>
      <w:pPr>
        <w:spacing w:after="0" w:line="18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See “Item 1. Interim Consolidated Financial Statements—Notes to Consolidated Financial Statements—18. Commitments and Contingencies” in this Report for a description of the Merger-related lawsuits.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Additional lawsuits arising out of or relating to the Merger Agreement or the Merger may be filed in the future. The results of complex legal proceedings are difficult to predict and could delay or prevent the completion of the Merger. The existence of litigation relating to the Merger could impact the likelihood of obtaining stockholder approval of the Merger. Moreover, the pending litigation is, and any future additional litigation could be, time consuming and expensive and could divert management’s attention away from its regular business.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86"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ectPr>
          <w:pgSz w:w="11900" w:h="16838" w:orient="portrait"/>
          <w:cols w:equalWidth="0" w:num="1">
            <w:col w:w="11080"/>
          </w:cols>
          <w:pgMar w:left="320" w:top="486" w:right="499" w:bottom="1440" w:gutter="0" w:footer="0" w:header="0"/>
        </w:sectPr>
      </w:pPr>
    </w:p>
    <w:p>
      <w:pPr>
        <w:spacing w:after="0" w:line="24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3"/>
          <w:szCs w:val="13"/>
          <w:b w:val="1"/>
          <w:bCs w:val="1"/>
          <w:u w:val="single" w:color="auto"/>
          <w:color w:val="auto"/>
        </w:rPr>
        <w:t>Number</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line="263" w:lineRule="auto"/>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Agreement and Plan of Merger, dated as of March 25, 2021, by and among South Dearborn Limited, Michigan Merger Sub, Inc., and</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Magnachip Semiconductor Corporation (incorporated by reference to Exhibit 2.1 to our Current Report on Form 8-K filed on March 29,</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2021).</w:t>
        </w:r>
      </w:hyperlink>
    </w:p>
    <w:p>
      <w:pPr>
        <w:spacing w:after="0" w:line="1" w:lineRule="exact"/>
        <w:rPr>
          <w:rFonts w:ascii="Arial" w:cs="Arial" w:eastAsia="Arial" w:hAnsi="Arial"/>
          <w:sz w:val="18"/>
          <w:szCs w:val="18"/>
          <w:u w:val="single" w:color="auto"/>
          <w:color w:val="0000EE"/>
        </w:rPr>
      </w:pPr>
    </w:p>
    <w:p>
      <w:pPr>
        <w:sectPr>
          <w:pgSz w:w="11900" w:h="16838" w:orient="portrait"/>
          <w:cols w:equalWidth="0" w:num="2">
            <w:col w:w="740" w:space="540"/>
            <w:col w:w="9800"/>
          </w:cols>
          <w:pgMar w:left="320" w:top="486" w:right="499" w:bottom="1440" w:gutter="0" w:footer="0" w:header="0"/>
          <w:type w:val="continuous"/>
        </w:sectPr>
      </w:pPr>
    </w:p>
    <w:tbl>
      <w:tblPr>
        <w:tblLayout w:type="fixed"/>
        <w:tblInd w:w="120" w:type="dxa"/>
        <w:tblCellMar>
          <w:top w:w="0" w:type="dxa"/>
          <w:left w:w="0" w:type="dxa"/>
          <w:bottom w:w="0" w:type="dxa"/>
          <w:right w:w="0" w:type="dxa"/>
        </w:tblCellMar>
      </w:tblPr>
      <w:tr>
        <w:trPr>
          <w:trHeight w:val="265"/>
        </w:trPr>
        <w:tc>
          <w:tcPr>
            <w:tcW w:w="1160" w:type="dxa"/>
            <w:vAlign w:val="bottom"/>
          </w:tcPr>
          <w:p>
            <w:pPr>
              <w:ind w:left="80"/>
              <w:spacing w:after="0" w:line="265" w:lineRule="exact"/>
              <w:rPr>
                <w:sz w:val="20"/>
                <w:szCs w:val="20"/>
                <w:color w:val="auto"/>
              </w:rPr>
            </w:pPr>
            <w:r>
              <w:rPr>
                <w:rFonts w:ascii="Arial" w:cs="Arial" w:eastAsia="Arial" w:hAnsi="Arial"/>
                <w:sz w:val="18"/>
                <w:szCs w:val="18"/>
                <w:color w:val="auto"/>
              </w:rPr>
              <w:t>31.1</w:t>
            </w:r>
            <w:r>
              <w:rPr>
                <w:rFonts w:ascii="Arial" w:cs="Arial" w:eastAsia="Arial" w:hAnsi="Arial"/>
                <w:sz w:val="25"/>
                <w:szCs w:val="25"/>
                <w:color w:val="auto"/>
                <w:vertAlign w:val="superscript"/>
              </w:rPr>
              <w:t>#</w:t>
            </w:r>
          </w:p>
        </w:tc>
        <w:tc>
          <w:tcPr>
            <w:tcW w:w="93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Certification pursuant to Rule 13a-14(a) or Rule 15d-14(a) of the Securities Exchange Act of 1934 of the Chief Executive Officer.</w:t>
              </w:r>
            </w:hyperlink>
          </w:p>
        </w:tc>
        <w:tc>
          <w:tcPr>
            <w:tcW w:w="26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1160" w:type="dxa"/>
            <w:vAlign w:val="bottom"/>
          </w:tcPr>
          <w:p>
            <w:pPr>
              <w:ind w:left="80"/>
              <w:spacing w:after="0"/>
              <w:rPr>
                <w:sz w:val="20"/>
                <w:szCs w:val="20"/>
                <w:color w:val="auto"/>
              </w:rPr>
            </w:pPr>
            <w:r>
              <w:rPr>
                <w:rFonts w:ascii="Arial" w:cs="Arial" w:eastAsia="Arial" w:hAnsi="Arial"/>
                <w:sz w:val="18"/>
                <w:szCs w:val="18"/>
                <w:color w:val="auto"/>
              </w:rPr>
              <w:t>31.2</w:t>
            </w:r>
            <w:r>
              <w:rPr>
                <w:rFonts w:ascii="Arial" w:cs="Arial" w:eastAsia="Arial" w:hAnsi="Arial"/>
                <w:sz w:val="25"/>
                <w:szCs w:val="25"/>
                <w:color w:val="auto"/>
                <w:vertAlign w:val="superscript"/>
              </w:rPr>
              <w:t>#</w:t>
            </w:r>
          </w:p>
        </w:tc>
        <w:tc>
          <w:tcPr>
            <w:tcW w:w="95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Certification pursuant to Rule 13a-14(a) or Rule 15d-14(a) of the Securities Exchange Act of 1934 of the Principal Financial Officer.</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tcPr>
          <w:p>
            <w:pPr>
              <w:ind w:left="80"/>
              <w:spacing w:after="0"/>
              <w:rPr>
                <w:sz w:val="20"/>
                <w:szCs w:val="20"/>
                <w:color w:val="auto"/>
              </w:rPr>
            </w:pPr>
            <w:r>
              <w:rPr>
                <w:rFonts w:ascii="Arial" w:cs="Arial" w:eastAsia="Arial" w:hAnsi="Arial"/>
                <w:sz w:val="18"/>
                <w:szCs w:val="18"/>
                <w:color w:val="auto"/>
              </w:rPr>
              <w:t>32.1†</w:t>
            </w:r>
          </w:p>
        </w:tc>
        <w:tc>
          <w:tcPr>
            <w:tcW w:w="96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Certification pursuant to 18 U.S.C. Section 1350, as adopted pursuant to Section 906 of the Sarbanes-Oxley Act of 2002, of the Chief</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Executive Officer.</w:t>
              </w:r>
            </w:hyperlink>
          </w:p>
        </w:tc>
        <w:tc>
          <w:tcPr>
            <w:tcW w:w="83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60" w:type="dxa"/>
            <w:vAlign w:val="bottom"/>
          </w:tcPr>
          <w:p>
            <w:pPr>
              <w:ind w:left="80"/>
              <w:spacing w:after="0"/>
              <w:rPr>
                <w:sz w:val="20"/>
                <w:szCs w:val="20"/>
                <w:color w:val="auto"/>
              </w:rPr>
            </w:pPr>
            <w:r>
              <w:rPr>
                <w:rFonts w:ascii="Arial" w:cs="Arial" w:eastAsia="Arial" w:hAnsi="Arial"/>
                <w:sz w:val="18"/>
                <w:szCs w:val="18"/>
                <w:color w:val="auto"/>
              </w:rPr>
              <w:t>32.2†</w:t>
            </w:r>
          </w:p>
        </w:tc>
        <w:tc>
          <w:tcPr>
            <w:tcW w:w="96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Certification pursuant to 18 U.S.C. Section 1350, as adopted pursuant to Section 906 of the Sarbanes-Oxley Act of 2002, of the Chief</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620" w:type="dxa"/>
            <w:vAlign w:val="bottom"/>
            <w:gridSpan w:val="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Financial Officer.</w:t>
              </w:r>
            </w:hyperlink>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8"/>
                <w:szCs w:val="18"/>
                <w:color w:val="auto"/>
              </w:rPr>
              <w:t>101.INS</w:t>
            </w:r>
            <w:r>
              <w:rPr>
                <w:rFonts w:ascii="Arial" w:cs="Arial" w:eastAsia="Arial" w:hAnsi="Arial"/>
                <w:sz w:val="25"/>
                <w:szCs w:val="25"/>
                <w:color w:val="auto"/>
                <w:vertAlign w:val="superscript"/>
              </w:rPr>
              <w:t>#</w:t>
            </w:r>
          </w:p>
        </w:tc>
        <w:tc>
          <w:tcPr>
            <w:tcW w:w="1260" w:type="dxa"/>
            <w:vAlign w:val="bottom"/>
            <w:shd w:val="clear" w:color="auto" w:fill="0000EE"/>
          </w:tcPr>
          <w:p>
            <w:pPr>
              <w:spacing w:after="0" w:line="20" w:lineRule="exact"/>
              <w:rPr>
                <w:sz w:val="1"/>
                <w:szCs w:val="1"/>
                <w:color w:val="auto"/>
              </w:rPr>
            </w:pPr>
          </w:p>
        </w:tc>
        <w:tc>
          <w:tcPr>
            <w:tcW w:w="8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160" w:type="dxa"/>
            <w:vAlign w:val="bottom"/>
            <w:vMerge w:val="continue"/>
          </w:tcPr>
          <w:p>
            <w:pPr>
              <w:spacing w:after="0"/>
              <w:rPr>
                <w:sz w:val="24"/>
                <w:szCs w:val="24"/>
                <w:color w:val="auto"/>
              </w:rPr>
            </w:pPr>
          </w:p>
        </w:tc>
        <w:tc>
          <w:tcPr>
            <w:tcW w:w="9620" w:type="dxa"/>
            <w:vAlign w:val="bottom"/>
            <w:gridSpan w:val="5"/>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101.SCH</w:t>
            </w:r>
            <w:r>
              <w:rPr>
                <w:rFonts w:ascii="Arial" w:cs="Arial" w:eastAsia="Arial" w:hAnsi="Arial"/>
                <w:sz w:val="25"/>
                <w:szCs w:val="25"/>
                <w:color w:val="auto"/>
                <w:vertAlign w:val="superscript"/>
              </w:rPr>
              <w:t>#</w:t>
            </w:r>
          </w:p>
        </w:tc>
        <w:tc>
          <w:tcPr>
            <w:tcW w:w="962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101.CAL</w:t>
            </w:r>
            <w:r>
              <w:rPr>
                <w:rFonts w:ascii="Arial" w:cs="Arial" w:eastAsia="Arial" w:hAnsi="Arial"/>
                <w:sz w:val="25"/>
                <w:szCs w:val="25"/>
                <w:color w:val="auto"/>
                <w:vertAlign w:val="superscript"/>
              </w:rPr>
              <w:t>#</w:t>
            </w:r>
          </w:p>
        </w:tc>
        <w:tc>
          <w:tcPr>
            <w:tcW w:w="962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101.DEF</w:t>
            </w:r>
            <w:r>
              <w:rPr>
                <w:rFonts w:ascii="Arial" w:cs="Arial" w:eastAsia="Arial" w:hAnsi="Arial"/>
                <w:sz w:val="25"/>
                <w:szCs w:val="25"/>
                <w:color w:val="auto"/>
                <w:vertAlign w:val="superscript"/>
              </w:rPr>
              <w:t>#</w:t>
            </w:r>
          </w:p>
        </w:tc>
        <w:tc>
          <w:tcPr>
            <w:tcW w:w="962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101.LAB</w:t>
            </w:r>
            <w:r>
              <w:rPr>
                <w:rFonts w:ascii="Arial" w:cs="Arial" w:eastAsia="Arial" w:hAnsi="Arial"/>
                <w:sz w:val="25"/>
                <w:szCs w:val="25"/>
                <w:color w:val="auto"/>
                <w:vertAlign w:val="superscript"/>
              </w:rPr>
              <w:t>#</w:t>
            </w:r>
          </w:p>
        </w:tc>
        <w:tc>
          <w:tcPr>
            <w:tcW w:w="962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5"/>
        </w:trPr>
        <w:tc>
          <w:tcPr>
            <w:tcW w:w="1160" w:type="dxa"/>
            <w:vAlign w:val="bottom"/>
          </w:tcPr>
          <w:p>
            <w:pPr>
              <w:spacing w:after="0"/>
              <w:rPr>
                <w:sz w:val="20"/>
                <w:szCs w:val="20"/>
                <w:color w:val="auto"/>
              </w:rPr>
            </w:pPr>
            <w:r>
              <w:rPr>
                <w:rFonts w:ascii="Arial" w:cs="Arial" w:eastAsia="Arial" w:hAnsi="Arial"/>
                <w:sz w:val="18"/>
                <w:szCs w:val="18"/>
                <w:color w:val="auto"/>
              </w:rPr>
              <w:t>101.PRE</w:t>
            </w:r>
            <w:r>
              <w:rPr>
                <w:rFonts w:ascii="Arial" w:cs="Arial" w:eastAsia="Arial" w:hAnsi="Arial"/>
                <w:sz w:val="25"/>
                <w:szCs w:val="25"/>
                <w:color w:val="auto"/>
                <w:vertAlign w:val="superscript"/>
              </w:rPr>
              <w:t>#</w:t>
            </w:r>
          </w:p>
        </w:tc>
        <w:tc>
          <w:tcPr>
            <w:tcW w:w="962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962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Footnotes:</w:t>
      </w:r>
    </w:p>
    <w:p>
      <w:pPr>
        <w:spacing w:after="0" w:line="73"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Filed herewith</w:t>
      </w:r>
    </w:p>
    <w:p>
      <w:pPr>
        <w:spacing w:after="0" w:line="2"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86" w:right="49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Dated: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Dated: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Young Soo Woo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380"/>
          </w:cols>
          <w:pgMar w:left="320" w:top="486" w:right="119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Young-Joon Kim, certify that:</w:t>
      </w:r>
    </w:p>
    <w:p>
      <w:pPr>
        <w:spacing w:after="0" w:line="117" w:lineRule="exact"/>
        <w:rPr>
          <w:sz w:val="20"/>
          <w:szCs w:val="20"/>
          <w:color w:val="auto"/>
        </w:rPr>
      </w:pPr>
    </w:p>
    <w:p>
      <w:pPr>
        <w:ind w:left="620" w:hanging="184"/>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117"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120" w:firstLine="436"/>
        <w:spacing w:after="0" w:line="263"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left="440" w:right="140" w:hanging="4"/>
        <w:spacing w:after="0" w:line="263" w:lineRule="auto"/>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40" w:right="60" w:hanging="4"/>
        <w:spacing w:after="0" w:line="263"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640" w:hanging="4"/>
        <w:spacing w:after="0" w:line="342" w:lineRule="auto"/>
        <w:tabs>
          <w:tab w:leader="none" w:pos="685"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hanging="4"/>
        <w:spacing w:after="0" w:line="263"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80" w:firstLine="436"/>
        <w:spacing w:after="0" w:line="342" w:lineRule="auto"/>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0" w:right="40" w:hanging="4"/>
        <w:spacing w:after="0" w:line="277" w:lineRule="auto"/>
        <w:tabs>
          <w:tab w:leader="none" w:pos="6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40" w:hanging="4"/>
        <w:spacing w:after="0" w:line="277"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Young Soo Woo, certify that:</w:t>
      </w:r>
    </w:p>
    <w:p>
      <w:pPr>
        <w:spacing w:after="0" w:line="117" w:lineRule="exact"/>
        <w:rPr>
          <w:sz w:val="20"/>
          <w:szCs w:val="20"/>
          <w:color w:val="auto"/>
        </w:rPr>
      </w:pPr>
    </w:p>
    <w:p>
      <w:pPr>
        <w:ind w:left="620" w:hanging="184"/>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117"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120" w:firstLine="436"/>
        <w:spacing w:after="0" w:line="263"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left="440" w:right="140" w:hanging="4"/>
        <w:spacing w:after="0" w:line="263"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40" w:right="60" w:hanging="4"/>
        <w:spacing w:after="0" w:line="263"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640" w:hanging="4"/>
        <w:spacing w:after="0" w:line="342" w:lineRule="auto"/>
        <w:tabs>
          <w:tab w:leader="none" w:pos="685"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hanging="4"/>
        <w:spacing w:after="0" w:line="263"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80" w:firstLine="436"/>
        <w:spacing w:after="0" w:line="342" w:lineRule="auto"/>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0" w:right="40" w:hanging="4"/>
        <w:spacing w:after="0" w:line="277" w:lineRule="auto"/>
        <w:tabs>
          <w:tab w:leader="none" w:pos="6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40" w:hanging="4"/>
        <w:spacing w:after="0" w:line="277"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Young Soo Woo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0"/>
          </w:cols>
          <w:pgMar w:left="440" w:top="121" w:right="4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62" w:lineRule="exact"/>
        <w:rPr>
          <w:sz w:val="20"/>
          <w:szCs w:val="20"/>
          <w:color w:val="auto"/>
        </w:rPr>
      </w:pPr>
    </w:p>
    <w:p>
      <w:pPr>
        <w:jc w:val="both"/>
        <w:ind w:right="200" w:firstLine="436"/>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2021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75" w:lineRule="exact"/>
        <w:rPr>
          <w:rFonts w:ascii="Arial" w:cs="Arial" w:eastAsia="Arial" w:hAnsi="Arial"/>
          <w:sz w:val="18"/>
          <w:szCs w:val="18"/>
          <w:color w:val="auto"/>
        </w:rPr>
      </w:pPr>
    </w:p>
    <w:p>
      <w:pPr>
        <w:ind w:right="720" w:firstLine="436"/>
        <w:spacing w:after="0" w:line="277"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May 10, 2021</w:t>
      </w:r>
      <w:r>
        <w:rPr>
          <w:sz w:val="20"/>
          <w:szCs w:val="20"/>
          <w:color w:val="auto"/>
        </w:rPr>
        <w:tab/>
      </w:r>
      <w:r>
        <w:rPr>
          <w:rFonts w:ascii="Arial" w:cs="Arial" w:eastAsia="Arial" w:hAnsi="Arial"/>
          <w:sz w:val="16"/>
          <w:szCs w:val="16"/>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20"/>
          </w:cols>
          <w:pgMar w:left="440" w:top="121" w:right="4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62" w:lineRule="exact"/>
        <w:rPr>
          <w:sz w:val="20"/>
          <w:szCs w:val="20"/>
          <w:color w:val="auto"/>
        </w:rPr>
      </w:pPr>
    </w:p>
    <w:p>
      <w:pPr>
        <w:jc w:val="both"/>
        <w:ind w:right="200" w:firstLine="436"/>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2021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75" w:lineRule="exact"/>
        <w:rPr>
          <w:rFonts w:ascii="Arial" w:cs="Arial" w:eastAsia="Arial" w:hAnsi="Arial"/>
          <w:sz w:val="18"/>
          <w:szCs w:val="18"/>
          <w:color w:val="auto"/>
        </w:rPr>
      </w:pPr>
    </w:p>
    <w:p>
      <w:pPr>
        <w:ind w:right="720" w:firstLine="436"/>
        <w:spacing w:after="0" w:line="277" w:lineRule="auto"/>
        <w:tabs>
          <w:tab w:leader="none" w:pos="7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May 10, 2021</w:t>
      </w:r>
      <w:r>
        <w:rPr>
          <w:sz w:val="20"/>
          <w:szCs w:val="20"/>
          <w:color w:val="auto"/>
        </w:rPr>
        <w:tab/>
      </w:r>
      <w:r>
        <w:rPr>
          <w:rFonts w:ascii="Arial" w:cs="Arial" w:eastAsia="Arial" w:hAnsi="Arial"/>
          <w:sz w:val="16"/>
          <w:szCs w:val="16"/>
          <w:color w:val="auto"/>
        </w:rPr>
        <w:t>/s/ 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Young Soo Woo</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lowerLetter"/>
      <w:start w:val="1"/>
    </w:lvl>
    <w:lvl w:ilvl="1">
      <w:lvlJc w:val="left"/>
      <w:lvlText w:val="•"/>
      <w:numFmt w:val="bullet"/>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lowerLetter"/>
      <w:start w:val="3"/>
    </w:lvl>
    <w:lvl w:ilvl="1">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lowerRoman"/>
      <w:start w:val="4"/>
    </w:lvl>
    <w:lvl w:ilvl="1">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72" Type="http://schemas.openxmlformats.org/officeDocument/2006/relationships/hyperlink" Target="http://www.sec.gov/Archives/edgar/data/1325702/000119312521097514/d159514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2021-05-10T15:20:15Z</dcterms:created>
  <dcterms:modified xsi:type="dcterms:W3CDTF">2021-05-10T15:20:15Z</dcterms:modified>
</cp:coreProperties>
</file>