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40" w:right="100" w:hanging="424"/>
        <w:spacing w:after="0" w:line="262"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80"/>
        <w:spacing w:after="0"/>
        <w:tabs>
          <w:tab w:leader="none" w:pos="670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431165</wp:posOffset>
            </wp:positionV>
            <wp:extent cx="225425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83-0406195</w:t>
            </w:r>
          </w:p>
        </w:tc>
      </w:tr>
      <w:tr>
        <w:trPr>
          <w:trHeight w:val="149"/>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tbl>
      <w:tblPr>
        <w:tblLayout w:type="fixed"/>
        <w:tblInd w:w="1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6" w:right="439" w:bottom="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760" w:space="720"/>
            <w:col w:w="1600" w:space="720"/>
            <w:col w:w="220"/>
          </w:cols>
          <w:pgMar w:left="320" w:top="226" w:right="439" w:bottom="0" w:gutter="0" w:footer="0" w:header="0"/>
          <w:type w:val="continuous"/>
        </w:sectPr>
      </w:pP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760" w:space="720"/>
            <w:col w:w="1980" w:space="340"/>
            <w:col w:w="220"/>
          </w:cols>
          <w:pgMar w:left="320" w:top="226"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5" w:lineRule="exact"/>
        <w:rPr>
          <w:sz w:val="20"/>
          <w:szCs w:val="20"/>
          <w:color w:val="auto"/>
        </w:rPr>
      </w:pPr>
    </w:p>
    <w:p>
      <w:pPr>
        <w:ind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April 30, 2022, the registrant had 44,894,385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400" w:type="dxa"/>
            <w:vAlign w:val="bottom"/>
            <w:gridSpan w:val="23"/>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3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Interim Consolidated Financial Statements (Unaudited)</w:t>
            </w:r>
          </w:p>
        </w:tc>
        <w:tc>
          <w:tcPr>
            <w:tcW w:w="5200" w:type="dxa"/>
            <w:vAlign w:val="bottom"/>
            <w:gridSpan w:val="10"/>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Balance Sheets as of March 31, 2022 and</w:t>
            </w:r>
          </w:p>
        </w:tc>
        <w:tc>
          <w:tcPr>
            <w:tcW w:w="10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Operations for the Three Months</w:t>
            </w:r>
          </w:p>
        </w:tc>
        <w:tc>
          <w:tcPr>
            <w:tcW w:w="6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Magnachip Semiconductor Corporation and Subsidiaries Consolidated Statements of Comprehensive Income (Loss) for the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Three Months Ended March 31, 2022 and 2021</w:t>
            </w:r>
          </w:p>
        </w:tc>
        <w:tc>
          <w:tcPr>
            <w:tcW w:w="30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Changes in Stockholders’ Equity for</w:t>
            </w:r>
          </w:p>
        </w:tc>
        <w:tc>
          <w:tcPr>
            <w:tcW w:w="4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the Three Months Ended March 31, 2022 and 2021</w:t>
            </w:r>
          </w:p>
        </w:tc>
        <w:tc>
          <w:tcPr>
            <w:tcW w:w="532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Cash Flows for the Three Months</w:t>
            </w:r>
          </w:p>
        </w:tc>
        <w:tc>
          <w:tcPr>
            <w:tcW w:w="6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Notes to Consolidated Financial Statements</w:t>
            </w:r>
          </w:p>
        </w:tc>
        <w:tc>
          <w:tcPr>
            <w:tcW w:w="19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17"/>
                <w:szCs w:val="17"/>
                <w:color w:val="auto"/>
              </w:rPr>
            </w:pPr>
          </w:p>
        </w:tc>
        <w:tc>
          <w:tcPr>
            <w:tcW w:w="27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742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4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786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84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Interim Consolidated Financial Statements (Unaudited)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0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284,921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51,208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50,954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36,947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39,370</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(Notes 16 and 18)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 (Note 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4,060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9,262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421,643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102,675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107,882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3,719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6,771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40,246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41,095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10,608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587,865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583,654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37,566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7,707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(Note 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20,573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9,361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11,823</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6,989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32,572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33,064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1,496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8,216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10,395</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126,703</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56,225,441 shares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44,894,385 outstanding at March 31, 2022 and 55,905,320 shares issued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45,659,304 outstanding at December 31, 2021</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562</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261,830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241,197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353,070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343,542</w:t>
            </w:r>
          </w:p>
        </w:tc>
        <w:tc>
          <w:tcPr>
            <w:tcW w:w="0" w:type="dxa"/>
            <w:vAlign w:val="bottom"/>
          </w:tcPr>
          <w:p>
            <w:pPr>
              <w:spacing w:after="0"/>
              <w:rPr>
                <w:sz w:val="1"/>
                <w:szCs w:val="1"/>
                <w:color w:val="auto"/>
              </w:rPr>
            </w:pPr>
          </w:p>
        </w:tc>
      </w:tr>
      <w:tr>
        <w:trPr>
          <w:trHeight w:val="198"/>
        </w:trPr>
        <w:tc>
          <w:tcPr>
            <w:tcW w:w="6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11,331,056 shares at March 31, 2022 and 10,246,016 shares at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(148,523)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(130,306)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(5,777)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461,162</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587,865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583,654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7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5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5"/>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94,010</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112,906</w:t>
            </w: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10,083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10,113</w:t>
            </w:r>
          </w:p>
        </w:tc>
      </w:tr>
      <w:tr>
        <w:trPr>
          <w:trHeight w:val="223"/>
        </w:trPr>
        <w:tc>
          <w:tcPr>
            <w:tcW w:w="5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123,019</w:t>
            </w:r>
          </w:p>
        </w:tc>
        <w:tc>
          <w:tcPr>
            <w:tcW w:w="12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56,080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79,247</w:t>
            </w: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9,017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9,390</w:t>
            </w:r>
          </w:p>
        </w:tc>
      </w:tr>
      <w:tr>
        <w:trPr>
          <w:trHeight w:val="230"/>
        </w:trPr>
        <w:tc>
          <w:tcPr>
            <w:tcW w:w="5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cost of sales</w:t>
            </w:r>
          </w:p>
        </w:tc>
        <w:tc>
          <w:tcPr>
            <w:tcW w:w="1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88,637</w:t>
            </w:r>
          </w:p>
        </w:tc>
        <w:tc>
          <w:tcPr>
            <w:tcW w:w="12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38,996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34,382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12,634</w:t>
            </w: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11,954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13,423</w:t>
            </w: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Merger-related costs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9,831</w:t>
            </w: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5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36,473</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19"/>
                <w:szCs w:val="19"/>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(4,671)</w:t>
            </w: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2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3,483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0.21</w:t>
            </w:r>
          </w:p>
        </w:tc>
        <w:tc>
          <w:tcPr>
            <w:tcW w:w="6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0.20</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45,603,208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40,292,838</w:t>
            </w:r>
          </w:p>
        </w:tc>
      </w:tr>
      <w:tr>
        <w:trPr>
          <w:trHeight w:val="216"/>
        </w:trPr>
        <w:tc>
          <w:tcPr>
            <w:tcW w:w="5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46,693,294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40,292,838</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8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4"/>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8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 for loss (gain) on derivatives included in net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7"/>
        </w:trPr>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000" w:type="dxa"/>
            <w:vAlign w:val="bottom"/>
            <w:gridSpan w:val="2"/>
            <w:vMerge w:val="restart"/>
          </w:tcPr>
          <w:p>
            <w:pPr>
              <w:jc w:val="right"/>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60" w:type="dxa"/>
            <w:vAlign w:val="bottom"/>
            <w:vMerge w:val="restart"/>
          </w:tcPr>
          <w:p>
            <w:pPr>
              <w:spacing w:after="0" w:line="20" w:lineRule="exact"/>
              <w:rPr>
                <w:sz w:val="1"/>
                <w:szCs w:val="1"/>
                <w:color w:val="auto"/>
              </w:rPr>
            </w:pPr>
          </w:p>
        </w:tc>
        <w:tc>
          <w:tcPr>
            <w:tcW w:w="112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0"/>
        </w:trPr>
        <w:tc>
          <w:tcPr>
            <w:tcW w:w="2940" w:type="dxa"/>
            <w:vAlign w:val="bottom"/>
            <w:tcBorders>
              <w:bottom w:val="single" w:sz="8" w:color="auto"/>
            </w:tcBorders>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tcPr>
          <w:p>
            <w:pPr>
              <w:jc w:val="right"/>
              <w:ind w:right="381"/>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45,659,304</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559</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$241,197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$343,542</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$(130,306)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(2,230)</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$452,762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151,326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1,780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168,795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(53,464)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Accelerated stock repurchase</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(1,031,576)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17,217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(17,217)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9,528</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44,894,385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261,830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353,070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(148,523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461,162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35,783,347</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450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$163,010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$286,834</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$(108,397)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$345,600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 of exchangeable senior notes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10,144,131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83,639</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83,740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175,760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205,630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(51,455)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(4,694)</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46,257,413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250,829</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279,361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(109,407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420,347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89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196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279,547</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279,940</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284,921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290,194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additions in other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Exchange of exchangeable senior notes into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83,740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stock to satisfy the tax withholding obligations in connection with equity-based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2" w:right="439" w:bottom="1440" w:gutter="0" w:footer="0" w:header="0"/>
        </w:sectPr>
      </w:pP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computing, servers, automotive, and industrial applications.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 2020, the Company completed the sale of the Company’s Foundry Services Group business and its fabrication facility located in Cheongju, Korea, known as “Fab 4”. Following the consummation of the sale, and for up to three years, the Company is expected to provide transitional foundry services associated with its fabrication facility located in Gumi, Korea, known as “Fab 3, at an agreed upon cost plus mark-up (the “Transitional Fab 3 Foundry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months ended March 31, 2022 are not necessarily indicative of the results to be expected for a full year or for any other periods.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December 31, 2021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2021.</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the Company’s significant accounting policies as of and for the three months ended March 31, 2022 as compared to the significant accounting policies described in the Company’s Annual Report on Form 10-K for the fiscal year ended December 31, 2021.</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No. 2020-06, “Debt—Debt with Conversion and Other Options (Subtopic 470-20) and Derivatives and Hedging—Contracts in Entity’s Own Equity (Subtopic 815-40)” (“ASU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adopted ASU 2020-06 as of January 1, 2022, and the adoption of ASU 2020-06 did not have an impact on the Company’s consolidated financial statements.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The Company adopted ASU 2021-04 as of January 1, 2022, and the adoption of ASU 2021-04 did not have an impact on the Company’s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as of March 31, 2022 and December 31, 2021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(5,730)</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39,370</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inventory reserve for the three months ended March 31, 2022 and 2021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(5,730)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previously reserved 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320" w:top="482" w:right="8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as of March 31, 2022 and December 31, 2021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24,003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103,386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32,682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32,396</w:t>
            </w: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160,380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162,285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(95,839)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(94,119)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13,608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25,818</w:t>
            </w: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102,675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107,882</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Aggregate depreciation expenses totaled $3,706 thousand and $3,262 thousand for the three months ended March 31, 2022 and 2021, respectively.</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as of March 31, 2022 and December 31, 2021 are comprised of the following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80" w:type="dxa"/>
            <w:vAlign w:val="bottom"/>
            <w:gridSpan w:val="4"/>
          </w:tcPr>
          <w:p>
            <w:pPr>
              <w:jc w:val="center"/>
              <w:ind w:left="84"/>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9,180</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(6,977)</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2,203</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9,180</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2,203</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80" w:type="dxa"/>
            <w:vAlign w:val="bottom"/>
            <w:gridSpan w:val="4"/>
          </w:tcPr>
          <w:p>
            <w:pPr>
              <w:jc w:val="center"/>
              <w:ind w:left="84"/>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9,312</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(6,935)</w:t>
            </w:r>
          </w:p>
        </w:tc>
        <w:tc>
          <w:tcPr>
            <w:tcW w:w="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2,377</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9,312</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2,377</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Aggregate amortization expenses for intangible assets totaled $185 thousand and $186 thousand for the three months ended March 31, 2022 and 2021,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buildings and other assets such as vehicles and office equipment. The Company’s leases have remaining lease terms ranging from 1 year to 4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March 31, 2022 and December 31, 2021 are as follows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0" w:type="dxa"/>
            <w:vAlign w:val="bottom"/>
            <w:vMerge w:val="restart"/>
          </w:tcPr>
          <w:p>
            <w:pPr>
              <w:spacing w:after="0"/>
              <w:rPr>
                <w:sz w:val="13"/>
                <w:szCs w:val="13"/>
                <w:color w:val="auto"/>
              </w:rPr>
            </w:pPr>
          </w:p>
        </w:tc>
        <w:tc>
          <w:tcPr>
            <w:tcW w:w="1060" w:type="dxa"/>
            <w:vAlign w:val="bottom"/>
          </w:tcPr>
          <w:p>
            <w:pPr>
              <w:spacing w:after="0"/>
              <w:rPr>
                <w:sz w:val="13"/>
                <w:szCs w:val="13"/>
                <w:color w:val="auto"/>
              </w:rPr>
            </w:pPr>
          </w:p>
        </w:tc>
        <w:tc>
          <w:tcPr>
            <w:tcW w:w="366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47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47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1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47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47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0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47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47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20" w:type="dxa"/>
            <w:vAlign w:val="bottom"/>
          </w:tcPr>
          <w:p>
            <w:pPr>
              <w:spacing w:after="0"/>
              <w:rPr>
                <w:sz w:val="15"/>
                <w:szCs w:val="15"/>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 years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 years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34"/>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included in the Company’s consolidated statements of operations, are as follows (in thousands):</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4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4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540" w:right="1280" w:hanging="4980"/>
        <w:spacing w:after="0" w:line="282" w:lineRule="auto"/>
        <w:rPr>
          <w:sz w:val="20"/>
          <w:szCs w:val="20"/>
          <w:color w:val="auto"/>
        </w:rPr>
      </w:pPr>
      <w:r>
        <w:rPr>
          <w:rFonts w:ascii="Times New Roman" w:cs="Times New Roman" w:eastAsia="Times New Roman" w:hAnsi="Times New Roman"/>
          <w:sz w:val="18"/>
          <w:szCs w:val="18"/>
          <w:color w:val="auto"/>
        </w:rPr>
        <w:t>The above table does not include an immaterial cost of short-term leases for the three months ended March 31, 2022 and 2021. 11</w:t>
      </w:r>
    </w:p>
    <w:p>
      <w:pPr>
        <w:sectPr>
          <w:pgSz w:w="11900" w:h="16838" w:orient="portrait"/>
          <w:cols w:equalWidth="0" w:num="1">
            <w:col w:w="10960"/>
          </w:cols>
          <w:pgMar w:left="320" w:top="482"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lease information is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60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March 31, 2022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6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1,837</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206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3,719</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as of March 31, 2022 and December 31, 2021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related taxes, excluding severance benefits</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8,854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2,405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1,829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6,325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8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 Financial Instruments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the zero cost collar contracts as of March 31, 2022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230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7"/>
        </w:trPr>
        <w:tc>
          <w:tcPr>
            <w:tcW w:w="118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shd w:val="clear" w:color="auto" w:fill="000000"/>
          </w:tcPr>
          <w:p>
            <w:pPr>
              <w:spacing w:after="0"/>
              <w:rPr>
                <w:sz w:val="2"/>
                <w:szCs w:val="2"/>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13, 2021</w:t>
            </w:r>
          </w:p>
        </w:tc>
        <w:tc>
          <w:tcPr>
            <w:tcW w:w="2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24,000</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2022 to September 2022</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 2021</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 to December 2022</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04, 2022</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39,000</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2022 to June 2023</w:t>
            </w: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07, 2022</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 to December 2023</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the zero cost collar contracts as of December 31, 2021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580" w:type="dxa"/>
            <w:vAlign w:val="bottom"/>
          </w:tcPr>
          <w:p>
            <w:pPr>
              <w:spacing w:after="0"/>
              <w:rPr>
                <w:sz w:val="15"/>
                <w:szCs w:val="15"/>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13, 2021</w:t>
            </w: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39,000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2022 to September 2022</w:t>
            </w: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 2021</w:t>
            </w: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48,000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 to December 2022</w:t>
            </w:r>
          </w:p>
        </w:tc>
      </w:tr>
    </w:tbl>
    <w:p>
      <w:pPr>
        <w:spacing w:after="0" w:line="17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outstanding zero cost collar contracts recorded as assets and liabilities as of March 31, 2022 and December 31, 2021 are as follows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840" w:type="dxa"/>
            <w:vAlign w:val="bottom"/>
          </w:tcPr>
          <w:p>
            <w:pPr>
              <w:spacing w:after="0"/>
              <w:rPr>
                <w:sz w:val="13"/>
                <w:szCs w:val="13"/>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Asset Derivatives:</w:t>
            </w:r>
          </w:p>
        </w:tc>
        <w:tc>
          <w:tcPr>
            <w:tcW w:w="3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3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8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assets and liabilities as of March 31, 2022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420" w:type="dxa"/>
            <w:vAlign w:val="bottom"/>
          </w:tcPr>
          <w:p>
            <w:pPr>
              <w:spacing w:after="0"/>
              <w:rPr>
                <w:sz w:val="13"/>
                <w:szCs w:val="13"/>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80" w:type="dxa"/>
            <w:vAlign w:val="bottom"/>
          </w:tcPr>
          <w:p>
            <w:pPr>
              <w:spacing w:after="0"/>
              <w:rPr>
                <w:sz w:val="13"/>
                <w:szCs w:val="13"/>
                <w:color w:val="auto"/>
              </w:rPr>
            </w:pPr>
          </w:p>
        </w:tc>
        <w:tc>
          <w:tcPr>
            <w:tcW w:w="23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80" w:type="dxa"/>
            <w:vAlign w:val="bottom"/>
          </w:tcPr>
          <w:p>
            <w:pPr>
              <w:spacing w:after="0"/>
              <w:rPr>
                <w:sz w:val="14"/>
                <w:szCs w:val="14"/>
                <w:color w:val="auto"/>
              </w:rPr>
            </w:pPr>
          </w:p>
        </w:tc>
        <w:tc>
          <w:tcPr>
            <w:tcW w:w="23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0" w:type="dxa"/>
            <w:vAlign w:val="bottom"/>
          </w:tcPr>
          <w:p>
            <w:pPr>
              <w:spacing w:after="0"/>
              <w:rPr>
                <w:sz w:val="10"/>
                <w:szCs w:val="10"/>
                <w:color w:val="auto"/>
              </w:rPr>
            </w:pPr>
          </w:p>
        </w:tc>
        <w:tc>
          <w:tcPr>
            <w:tcW w:w="8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420" w:type="dxa"/>
            <w:vAlign w:val="bottom"/>
          </w:tcPr>
          <w:p>
            <w:pPr>
              <w:spacing w:after="0"/>
              <w:rPr>
                <w:sz w:val="10"/>
                <w:szCs w:val="10"/>
                <w:color w:val="auto"/>
              </w:rPr>
            </w:pPr>
          </w:p>
        </w:tc>
        <w:tc>
          <w:tcPr>
            <w:tcW w:w="13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4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4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48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9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420" w:type="dxa"/>
            <w:vAlign w:val="bottom"/>
          </w:tcPr>
          <w:p>
            <w:pPr>
              <w:spacing w:after="0"/>
              <w:rPr>
                <w:sz w:val="15"/>
                <w:szCs w:val="15"/>
                <w:color w:val="auto"/>
              </w:rPr>
            </w:pPr>
          </w:p>
        </w:tc>
        <w:tc>
          <w:tcPr>
            <w:tcW w:w="138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Asset Derivatives: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2,570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(3,060)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liabilities as of December 31, 2021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8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360" w:type="dxa"/>
            <w:vAlign w:val="bottom"/>
          </w:tcPr>
          <w:p>
            <w:pPr>
              <w:spacing w:after="0"/>
              <w:rPr>
                <w:sz w:val="13"/>
                <w:szCs w:val="13"/>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3"/>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360" w:type="dxa"/>
            <w:vAlign w:val="bottom"/>
          </w:tcPr>
          <w:p>
            <w:pPr>
              <w:spacing w:after="0"/>
              <w:rPr>
                <w:sz w:val="10"/>
                <w:szCs w:val="10"/>
                <w:color w:val="auto"/>
              </w:rPr>
            </w:pPr>
          </w:p>
        </w:tc>
        <w:tc>
          <w:tcPr>
            <w:tcW w:w="11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00" w:type="dxa"/>
            <w:vAlign w:val="bottom"/>
          </w:tcPr>
          <w:p>
            <w:pPr>
              <w:spacing w:after="0"/>
              <w:rPr>
                <w:sz w:val="10"/>
                <w:szCs w:val="10"/>
                <w:color w:val="auto"/>
              </w:rPr>
            </w:pPr>
          </w:p>
        </w:tc>
        <w:tc>
          <w:tcPr>
            <w:tcW w:w="74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360" w:type="dxa"/>
            <w:vAlign w:val="bottom"/>
          </w:tcPr>
          <w:p>
            <w:pPr>
              <w:spacing w:after="0"/>
              <w:rPr>
                <w:sz w:val="10"/>
                <w:szCs w:val="10"/>
                <w:color w:val="auto"/>
              </w:rPr>
            </w:pPr>
          </w:p>
        </w:tc>
        <w:tc>
          <w:tcPr>
            <w:tcW w:w="9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Net amount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360" w:type="dxa"/>
            <w:vAlign w:val="bottom"/>
          </w:tcPr>
          <w:p>
            <w:pPr>
              <w:spacing w:after="0"/>
              <w:rPr>
                <w:sz w:val="13"/>
                <w:szCs w:val="13"/>
                <w:color w:val="auto"/>
              </w:rPr>
            </w:pPr>
          </w:p>
        </w:tc>
        <w:tc>
          <w:tcPr>
            <w:tcW w:w="116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360" w:type="dxa"/>
            <w:vAlign w:val="bottom"/>
          </w:tcPr>
          <w:p>
            <w:pPr>
              <w:spacing w:after="0"/>
              <w:rPr>
                <w:sz w:val="13"/>
                <w:szCs w:val="13"/>
                <w:color w:val="auto"/>
              </w:rPr>
            </w:pPr>
          </w:p>
        </w:tc>
        <w:tc>
          <w:tcPr>
            <w:tcW w:w="92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Liability Derivatives: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(2,060)</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w:t>
            </w:r>
          </w:p>
        </w:tc>
        <w:tc>
          <w:tcPr>
            <w:tcW w:w="0" w:type="dxa"/>
            <w:vAlign w:val="bottom"/>
          </w:tcPr>
          <w:p>
            <w:pPr>
              <w:spacing w:after="0"/>
              <w:rPr>
                <w:sz w:val="1"/>
                <w:szCs w:val="1"/>
                <w:color w:val="auto"/>
              </w:rPr>
            </w:pPr>
          </w:p>
        </w:tc>
      </w:tr>
      <w:tr>
        <w:trPr>
          <w:trHeight w:val="562"/>
        </w:trPr>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154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1920" w:type="dxa"/>
            <w:vAlign w:val="bottom"/>
            <w:gridSpan w:val="6"/>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Location/Amount of Gain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4"/>
            <w:vMerge w:val="restart"/>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Location/Amount of Loss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gridSpan w:val="2"/>
            <w:vMerge w:val="continue"/>
          </w:tcPr>
          <w:p>
            <w:pPr>
              <w:spacing w:after="0"/>
              <w:rPr>
                <w:sz w:val="12"/>
                <w:szCs w:val="12"/>
                <w:color w:val="auto"/>
              </w:rPr>
            </w:pPr>
          </w:p>
        </w:tc>
        <w:tc>
          <w:tcPr>
            <w:tcW w:w="1540" w:type="dxa"/>
            <w:vAlign w:val="bottom"/>
            <w:gridSpan w:val="6"/>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880" w:type="dxa"/>
            <w:vAlign w:val="bottom"/>
          </w:tcPr>
          <w:p>
            <w:pPr>
              <w:spacing w:after="0"/>
              <w:rPr>
                <w:sz w:val="12"/>
                <w:szCs w:val="12"/>
                <w:color w:val="auto"/>
              </w:rPr>
            </w:pPr>
          </w:p>
        </w:tc>
        <w:tc>
          <w:tcPr>
            <w:tcW w:w="740" w:type="dxa"/>
            <w:vAlign w:val="bottom"/>
            <w:gridSpan w:val="3"/>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1540" w:type="dxa"/>
            <w:vAlign w:val="bottom"/>
            <w:gridSpan w:val="6"/>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1920" w:type="dxa"/>
            <w:vAlign w:val="bottom"/>
            <w:gridSpan w:val="6"/>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4"/>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54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3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Into Statement of Operations</w:t>
            </w:r>
          </w:p>
        </w:tc>
        <w:tc>
          <w:tcPr>
            <w:tcW w:w="2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Operations on Derivatives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840" w:type="dxa"/>
            <w:vAlign w:val="bottom"/>
            <w:tcBorders>
              <w:top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1340" w:type="dxa"/>
            <w:vAlign w:val="bottom"/>
            <w:tcBorders>
              <w:top w:val="single" w:sz="8" w:color="auto"/>
            </w:tcBorders>
            <w:gridSpan w:val="5"/>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6"/>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5"/>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54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(1,264)</w:t>
            </w:r>
          </w:p>
        </w:tc>
        <w:tc>
          <w:tcPr>
            <w:tcW w:w="8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(2,125)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Net sales  $</w:t>
            </w: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income, net  $</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(1,264</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(2,125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amount expected to be reclassified from accumulated other comprehensive loss into loss within the next 12 months is $1,907 thousand.</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set aside cash deposits to the counterparties, Nomura Financial Investment (Korea) Co., Ltd. (“NFIK”) and Standard Chartered Bank Korea Limited (“SC”), as required for the zero cost collar contracts. These cash deposits are recorded as hedge collateral on the consolidated balance sheets. Cash deposits as of March 31, 2022 and December 31, 2021 are as follows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Counterparties</w:t>
            </w:r>
          </w:p>
        </w:tc>
        <w:tc>
          <w:tcPr>
            <w:tcW w:w="532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w:t>
            </w:r>
          </w:p>
        </w:tc>
        <w:tc>
          <w:tcPr>
            <w:tcW w:w="5460" w:type="dxa"/>
            <w:vAlign w:val="bottom"/>
            <w:gridSpan w:val="2"/>
            <w:shd w:val="clear" w:color="auto" w:fill="CCEEFF"/>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NFIK and SC for any exposure in excess of $500 thousand. As of March 31, 2022, $2,360 thousand and $700 thousand of additional cash collateral was required by NFIK and SC, respectively, and recorded as hedge collateral on the consolidated balance sheet. As of December 31, 2021, $760 thousand and $1,300 thousand of additional cash collateral was required by NFIK and SC, respectively, and recorded as hedge collateral on the consolidated balance sheet.</w:t>
      </w:r>
    </w:p>
    <w:p>
      <w:pPr>
        <w:spacing w:after="0" w:line="180"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These zero cost collar contracts may be terminated by the counterparties if the Company’s total cash and cash equivalents is less than $30,000 thousand at the end of a fiscal quarter, unless a waiver is obtained.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following table represents the Company’s assets and liabilities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520" w:type="dxa"/>
            <w:vAlign w:val="bottom"/>
          </w:tcPr>
          <w:p>
            <w:pPr>
              <w:spacing w:after="0"/>
              <w:rPr>
                <w:sz w:val="13"/>
                <w:szCs w:val="1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5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5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assets (other non-current assets)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(other current liabilities)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2,421</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2,421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 (other non-current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following table represents the Company’s liabilities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40" w:type="dxa"/>
            <w:vAlign w:val="bottom"/>
            <w:gridSpan w:val="2"/>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5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 (other current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2,020</w:t>
            </w:r>
          </w:p>
        </w:tc>
        <w:tc>
          <w:tcPr>
            <w:tcW w:w="15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   2,020</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Accrued Severance Benefits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2022, 98% of all employees of the Company were eligible for severance benefits.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7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8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6580" w:type="dxa"/>
            <w:vAlign w:val="bottom"/>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$ 51,567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$ 54,452</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(2,177)</w:t>
            </w:r>
          </w:p>
        </w:tc>
      </w:tr>
      <w:tr>
        <w:trPr>
          <w:trHeight w:val="27"/>
        </w:trPr>
        <w:tc>
          <w:tcPr>
            <w:tcW w:w="6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52,553</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Cumulative contributions to severance insurance deposit accounts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(17,954)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(13,212)</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National Pension Fund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severance insurance plan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6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$ 32,572</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$ 39,070</w:t>
            </w:r>
          </w:p>
        </w:tc>
      </w:tr>
      <w:tr>
        <w:trPr>
          <w:trHeight w:val="20"/>
        </w:trPr>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 2032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20,679</w:t>
            </w: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82"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Foreign Currency Loss, Net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March 31, 2022 and December 31, 2021, the outstanding intercompany loan balances including accrued interest between the Korean subsidiary and the Dutch subsidiary were $ 348,477 thousand and $344,411 thousand, respectively. The Korean won to U.S. dollar exchange rates were 1,210.8:1 and 1,185.5:1 using the first base rate as of March 31, 2022 and December 31, 2021, respectively, as quoted by the KEB Hana Bank.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expense of $3,483 thousand, primarily related to its primary operating entity in Korea based on the estimated taxable income for the respective period.</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the Company recorded an income tax expense of $290 thousand, primarily attributable to interest on intercompany loan balances, which was offset in part by the tax benefit recognized on the loss for the first quarter of 2021 from the Company’s Korean subsidiary.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Geographic and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relating to the single operating segment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5"/>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6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29,185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$ 58,895</w:t>
            </w:r>
          </w:p>
        </w:tc>
      </w:tr>
      <w:tr>
        <w:trPr>
          <w:trHeight w:val="216"/>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64,825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54,011</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94,010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$ 112,906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10,083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10,113</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104,093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123,019</w:t>
            </w: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80" w:type="dxa"/>
            <w:vAlign w:val="bottom"/>
          </w:tcPr>
          <w:p>
            <w:pPr>
              <w:spacing w:after="0"/>
              <w:rPr>
                <w:sz w:val="10"/>
                <w:szCs w:val="10"/>
                <w:color w:val="auto"/>
              </w:rPr>
            </w:pPr>
          </w:p>
        </w:tc>
        <w:tc>
          <w:tcPr>
            <w:tcW w:w="900" w:type="dxa"/>
            <w:vAlign w:val="bottom"/>
            <w:tcBorders>
              <w:top w:val="single" w:sz="8" w:color="auto"/>
            </w:tcBorders>
            <w:gridSpan w:val="6"/>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6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8"/>
              </w:rPr>
              <w:t>$ 37,930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$ 33,659</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$ 38,996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$ 34,382</w:t>
            </w: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$ 31,030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26,434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83,740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$ 94,010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112,906</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of the Company’s net sales – standard products business in Asia Pacific (other than Korea), net sales – standard products business in China and Hong Kong together represented 71.1% and 57.1%, respectively, and net sales—standard products business in Vietnam represented 14.4% and 37.4%, respectively.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Net sales from the Company’s top ten largest customers in the standard products business (which does not include the Transitional Fab 3 Foundry Services) accounted for 72% and 82% for the three months ended March 31, 2022 and 2021, respectively.</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 had two customers that represented 25.5% and 12.9% of its net sales – standard products business, respectively. For the three months ended March 31, 2021, the Company had two customers that represented 48.8% and 10.0% of its net sales – standard products business, respectively.</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two customers accounted for 17.0% and 16.7% of accounts receivable, respectively. As of December 31, 2021, two customers accounted for 25.6% and 18.6% of accounts receivable, respectively.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as of March 31, 2022 and December 31, 2021, respectively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7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adjustments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4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(2,230)</w:t>
            </w:r>
          </w:p>
        </w:tc>
      </w:tr>
      <w:tr>
        <w:trPr>
          <w:trHeight w:val="20"/>
        </w:trPr>
        <w:tc>
          <w:tcPr>
            <w:tcW w:w="4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accumulated other comprehensive loss for the three months ended March 31, 2022 and 2021 are as follows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0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7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3"/>
                <w:szCs w:val="13"/>
                <w:color w:val="auto"/>
              </w:rPr>
            </w:pPr>
          </w:p>
        </w:tc>
        <w:tc>
          <w:tcPr>
            <w:tcW w:w="10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40" w:type="dxa"/>
            <w:vAlign w:val="bottom"/>
          </w:tcPr>
          <w:p>
            <w:pPr>
              <w:spacing w:after="0"/>
              <w:rPr>
                <w:sz w:val="12"/>
                <w:szCs w:val="12"/>
                <w:color w:val="auto"/>
              </w:rPr>
            </w:pPr>
          </w:p>
        </w:tc>
        <w:tc>
          <w:tcPr>
            <w:tcW w:w="110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700" w:type="dxa"/>
            <w:vAlign w:val="bottom"/>
            <w:gridSpan w:val="3"/>
            <w:vMerge w:val="continue"/>
          </w:tcPr>
          <w:p>
            <w:pPr>
              <w:spacing w:after="0"/>
              <w:rPr>
                <w:sz w:val="13"/>
                <w:szCs w:val="13"/>
                <w:color w:val="auto"/>
              </w:rPr>
            </w:pPr>
          </w:p>
        </w:tc>
        <w:tc>
          <w:tcPr>
            <w:tcW w:w="1440" w:type="dxa"/>
            <w:vAlign w:val="bottom"/>
            <w:gridSpan w:val="6"/>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40" w:type="dxa"/>
            <w:vAlign w:val="bottom"/>
            <w:gridSpan w:val="5"/>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(2,058)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ind w:left="454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82"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Accelerated Stock Repurchase Program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2021, the Board of Directors authorized the Company to repurchase up to $75,000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March 2022, the previously announced repurchase of $37,500 thousand of the Company’s common stock was completed pursuant to the ASR Agreement, and as a result, the Company additionally received 1,031,576 shares of its common stock for an aggregate purchase price of $</w:t>
      </w: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17,217 thousand at a price per share of $16.69, which was reclassified as a treasury stock from additional paid-in capital in stockholder’s equity in its consolidated balance sheets.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82"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Earnings (Loss) Per Share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computation of basic and diluted earnings (loss) per common share for the three months ended March 31, 2022 and 2021:</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9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9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0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(7,473)</w:t>
            </w: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45,603,208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40,292,838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(7,473)</w:t>
            </w: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45,603,208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40,292,838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dilutive equity awards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1,090,086</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46,693,294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40,292,838</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loss per share, as they have an anti-dilutive effect on the calculation:</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66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3"/>
        </w:trPr>
        <w:tc>
          <w:tcPr>
            <w:tcW w:w="66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130,000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1,471,421</w:t>
            </w:r>
          </w:p>
        </w:tc>
        <w:tc>
          <w:tcPr>
            <w:tcW w:w="40" w:type="dxa"/>
            <w:vAlign w:val="bottom"/>
            <w:shd w:val="clear" w:color="auto" w:fill="CCEEFF"/>
          </w:tcPr>
          <w:p>
            <w:pPr>
              <w:spacing w:after="0"/>
              <w:rPr>
                <w:sz w:val="18"/>
                <w:szCs w:val="18"/>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1,109,572</w:t>
            </w: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5,783,919 shares of potential common stock from the assumed conversion of Exchangeable Notes were excluded from the computation of diluted loss per share as the effect were anti-dilutive for the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Plan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may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will expire at the close of business on December 12, 2022, unless redeemed or exchanged prior to that time.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person or group of affiliated or associated persons becomes an Acquiring Person, then, after the Distribution Date, each Right (other than Rights beneficially owned by the Acquiring Person and certain affiliated persons or transferees thereof) will entitle the holder to purchase, for the Purchase Price, a number of shares of common stock having a market value of twice the Purchase Price. Alternatively, if, after any person or group of affiliated or associated persons becomes an Acquiring Person, (1) the Company is 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Merger Agreement</w:t>
      </w:r>
    </w:p>
    <w:p>
      <w:pPr>
        <w:spacing w:after="0" w:line="121" w:lineRule="exact"/>
        <w:rPr>
          <w:sz w:val="20"/>
          <w:szCs w:val="20"/>
          <w:color w:val="auto"/>
        </w:rPr>
      </w:pPr>
    </w:p>
    <w:p>
      <w:pPr>
        <w:jc w:val="both"/>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On March 25, 2021,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Parent.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closing of the Merger was subject to certain conditions, including clearance by the Committee on Foreign Investment in the United States (“CFIUS”) under the Defense Production Act of 1950, as amended. The Company and Parent were advised that CFIUS clearance of the Merger would not be forthcoming and received permission from CFIUS to withdraw their joint filing. In connection therewith, the Company and Parent entered into a Termination and Settlement Agreement, dated December 13, 2021 (the “Termination Agreement”), pursuant to which Parent agreed to pay</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$70,200 thousand (the “Termination Fee”) to the Company on the terms specified in the Termination Agreement in satisfaction of Parent’s obligation to pay a termination fee in connection with the termination of the Merger Agreement. On December 20, 2021, the Merger Agreement was terminated pursuant to the Termination Agreement after the Company’s receipt of a fee of $51,000 thousand from Parent and a standby letter of credit, which secures a deferred fee of $19,200 thousand from Parent due on or before March 31, 2022. As of March 31, 2022, of the Termination Fee, $19,200 thousand deferred fee was recorded as other receivables.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the Company incurred $9,831 thousand of professional fees and certain transaction related-expenses incurred in connection with the Merger, which were recognized in merger-related costs in the consolidated statements of operations.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82"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make advances in form of prepayments or deposits to suppliers, including external foundries, to meet its planned production. The Company recorded advances of $8,001 thousand and $1,708 thousand as other current assets as of March 31, 2022 and December 31,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pacing w:after="0" w:line="187"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Terminated Merger</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was previously terminated on December 20, 2021 pursuant to the Termination Agreement following the Company’s receipt of a portion of the Termination Fee equal to $51,000 thousand from Parent and the issuance of a standby letter of credit, which secured a deferred portion of the Termination Fee equal to $19,200 thousand from Parent due on or before March 31, 2022. In connection therewith, the Company, Parent and Wise Road entered into a first amendment to the Termination Agreement, dated April 4, 2022, pursuant to which Parent agreed to pay the Company $19,200 thousand, of which $14,400 thousand has been paid on April 4, 2022 and payment of the remaining $4,800 thousand (which amount is secured by a new standby letter of credit, dated April 4, 2022), will be paid by Parent on or before June 30, 2022.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contracts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April 2022, the Company and NFIK entered into derivative contracts of zero cost collars for the period from April 2023 to December 2023. The total notional amounts are $33,000 thousand.</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April 2022, the Company and SC entered into derivative contracts of zero cost collars for the period from October 2022 to March 2023. The total notional amounts are $18,000 thousand.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2021 filed on February 23, 2022 (“2021 Form 10-K”) (including that the impact of the COVID-19 pandemic may also exacerbate the risks discussed therein).</w:t>
      </w:r>
    </w:p>
    <w:p>
      <w:pPr>
        <w:spacing w:after="0" w:line="19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1,150 registered patents and pending applications and extensive engineering and manufacturing process expertise.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 LED) televisions. Our Display Solutions products support some of the industry’s most advanced display technologies, such as OLEDs, low temperature polysilicons thin film transistors (LTPS TFTs),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applications including smartphones, TVs, and other mobile devices.</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8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Accelerated Stock Repurchase Program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2021, our Board of Directors authorized the repurchase of up to $75.0 million of our outstanding common stock and we entered into an accelerated stock repurchase agreement (the “ASR Agreement”) with JPMorgan Chase Bank, National Association (“JPM”) to repurchase an aggregate of $37.5 million of our common stock.</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ASR Agreement dated December 21, 2021, we paid to JPM $37.5 million in cash and received an initial delivery of 994,695 shares of our common stock in the open market for an aggregate purchase price of $20.1 million at a price per share of $20.18 on December 22, 2021.</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we accounted for the remaining portion of the ASR Agreement as a forward contract indexed to our common stock and recorded $17.4 million in additional paid-in capital in stockholders’ equity in our consolidated balance sheets.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March 2022, the previously announced repurchase of $37.5 million of our common stock was completed pursuant to the ASR Agreement, and as a result, we additionally received 1,031,576 shares of our common stock for an aggregate purchase price of $17.2 million at a price per share of $16.69, which was reclassified as a treasury stock from additional paid-in capital in stockholder’s equity in our consolidated balance sheets.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Additional details about the ASR Agreement are contained in the Current Report on Form 8-K filed by us with the Securities and Exchange Commission, or the SEC on March 14,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Semiconductor Chip Shortage</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Recent sharp increases in demand for semiconductor products have resulted in a global shortage of manufacturing capacity.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this shortage of manufacturing capacity may lead to an increase in our manufacturing costs. Our principal pricing strategy is to pass on the increased manufacturing costs to our customers; however, we may not be fully able to do this in all cases. Total revenues for the three months ended March 31, 2022 were severely impacted by these persisting supply shortages, in particular for 28nm 12-inch OLED wafers.</w:t>
      </w:r>
    </w:p>
    <w:p>
      <w:pPr>
        <w:spacing w:after="0" w:line="17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an effort to minimize the potential adverse impact of the supply shortage, we are working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not able to foresee when the current shortage of manufacturing capacity will subside. A prolonged global supply shortage could negatively impact our financial condition, potentially resulting in a need for additional capital to fund strategic initiatives or operating activities.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8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82"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Operating Income and Adjusted Net Income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net, (iv) merger-related costs and (v) other charges. EBITDA for the periods indicated is defined as net income (loss) before interest expense (income), net, income tax expense, and depreciation and amortization.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67" w:lineRule="exact"/>
        <w:rPr>
          <w:sz w:val="20"/>
          <w:szCs w:val="20"/>
          <w:color w:val="auto"/>
        </w:rPr>
      </w:pPr>
    </w:p>
    <w:p>
      <w:pPr>
        <w:ind w:left="540" w:right="60" w:hanging="316"/>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1"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81" w:lineRule="exact"/>
        <w:rPr>
          <w:rFonts w:ascii="Times New Roman" w:cs="Times New Roman" w:eastAsia="Times New Roman" w:hAnsi="Times New Roman"/>
          <w:sz w:val="18"/>
          <w:szCs w:val="18"/>
          <w:color w:val="auto"/>
        </w:rPr>
      </w:pPr>
    </w:p>
    <w:p>
      <w:pPr>
        <w:ind w:left="540" w:right="940" w:hanging="316"/>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EBITDA in a number of ways, including: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is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net(b)</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net(c)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Merger-related costs(d)</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6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$9.8 million in non-recurring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$0.6 million non-recurring professional service fees and expenses incurred in connection with the regulatory requests.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80"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merger-related costs and (iii) other charges.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operating income (loss) that we make in order to calculate Adjusted Operating Income for the periods indicated: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5"/>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Merger-related costs(b)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$9.8 million non-recurring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$0.6 million non-recurring professional service fees and expenses incurred in connection with the regulatory requests.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Net Income (including on a per share basis) as a further supplemental measure of our performance. We prepare Adjusted Net Income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210" w:lineRule="exact"/>
        <w:rPr>
          <w:sz w:val="20"/>
          <w:szCs w:val="20"/>
          <w:color w:val="auto"/>
        </w:rPr>
      </w:pPr>
    </w:p>
    <w:p>
      <w:pPr>
        <w:ind w:left="1080" w:right="1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net income (loss), adjusted to exclude (i) equity-based compensation expense, (ii) foreign currency loss, net, (iii) derivative valuation loss, net, (iv) merger-related costs, (v) other charges and (vi) income tax effect on non-GAAP adjustments.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net income (loss) that we make in order to calculate Adjusted Net Income (including on a per share basis) for the periods indicated: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gridSpan w:val="4"/>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(Dollars in millions, 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net(b)</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net(c)</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Merger-related costs(d)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adjustments(f)</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Reported earnings (loss) per share—basic</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7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Reported earnings (loss) per share—diluted</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45,603,208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40,292,838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46,693,294</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40,292,838</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earnings per share—basic</w:t>
            </w: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earnings per share—diluted</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45,603,208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40,292,838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46,693,294</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47,470,416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ectPr>
          <w:pgSz w:w="11900" w:h="16838" w:orient="portrait"/>
          <w:cols w:equalWidth="0" w:num="1">
            <w:col w:w="11120"/>
          </w:cols>
          <w:pgMar w:left="320" w:top="482" w:right="459" w:bottom="144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5"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$9.8 million non-recurring professional service fees and expenses incurred in connection with the contemplated Merger transaction (see “Note 16. Merger Agreement” to our consolidated financial statements under “Item</w:t>
      </w:r>
    </w:p>
    <w:p>
      <w:pPr>
        <w:ind w:left="540" w:right="80" w:firstLine="8"/>
        <w:spacing w:after="0" w:line="250" w:lineRule="auto"/>
        <w:tabs>
          <w:tab w:leader="none" w:pos="7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this adjustment eliminates $0.6 million non-recurring professional service fees and expenses incurred in connection with the regulatory requests.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this adjustment eliminates the income tax effect on non-GAAP adjustments of $1.0 million related to our Korean subsidiary using a calculation method that we compare the tax expense of our Korean subsidiary with and without the non-GAAP adjustments.</w:t>
      </w:r>
    </w:p>
    <w:p>
      <w:pPr>
        <w:spacing w:after="0" w:line="7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all adjustments to net income (loss) used to calculate Adjusted Net Income was applied consistently to the periods presented.</w:t>
      </w:r>
    </w:p>
    <w:p>
      <w:pPr>
        <w:spacing w:after="0" w:line="117" w:lineRule="exact"/>
        <w:rPr>
          <w:rFonts w:ascii="Times New Roman" w:cs="Times New Roman" w:eastAsia="Times New Roman" w:hAnsi="Times New Roman"/>
          <w:sz w:val="18"/>
          <w:szCs w:val="18"/>
          <w:color w:val="auto"/>
        </w:rPr>
      </w:pPr>
    </w:p>
    <w:p>
      <w:pPr>
        <w:ind w:left="56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differently than we do, limiting its usefulness as a comparative measure.</w:t>
      </w:r>
    </w:p>
    <w:p>
      <w:pPr>
        <w:spacing w:after="0" w:line="54" w:lineRule="exact"/>
        <w:rPr>
          <w:sz w:val="20"/>
          <w:szCs w:val="20"/>
          <w:color w:val="auto"/>
        </w:rPr>
      </w:pPr>
    </w:p>
    <w:p>
      <w:pPr>
        <w:ind w:left="560" w:right="38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7" w:lineRule="exact"/>
        <w:rPr>
          <w:sz w:val="20"/>
          <w:szCs w:val="20"/>
          <w:color w:val="auto"/>
        </w:rPr>
      </w:pPr>
    </w:p>
    <w:p>
      <w:pPr>
        <w:ind w:left="120" w:right="2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Sales. </w:t>
      </w:r>
      <w:r>
        <w:rPr>
          <w:rFonts w:ascii="Times New Roman" w:cs="Times New Roman" w:eastAsia="Times New Roman" w:hAnsi="Times New Roman"/>
          <w:sz w:val="17"/>
          <w:szCs w:val="17"/>
          <w:color w:val="auto"/>
        </w:rPr>
        <w:t>We derive substantially all of our sales (net of sales returns and allowances) from our standard products business. We outsource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68"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product, which is generally upon product shipment, delivery at the customer’s location or upon customer acceptance, depending on the terms of the arrangement. For the three months ended March 31, 2022 and 2021, we sold products to 140 and 145 customers, respectively, and our net sales to our ten largest customers represented 72% and 82% of our net sales—standard products business,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provide the Transitional Fab 3 Foundry Services up to September 1, 2023 at an agreed upon cost plus a mark-up.</w:t>
      </w:r>
    </w:p>
    <w:p>
      <w:pPr>
        <w:spacing w:after="0" w:line="221"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 selling prices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w:t>
      </w:r>
      <w:r>
        <w:rPr>
          <w:rFonts w:ascii="Times New Roman" w:cs="Times New Roman" w:eastAsia="Times New Roman" w:hAnsi="Times New Roman"/>
          <w:sz w:val="18"/>
          <w:szCs w:val="18"/>
          <w:color w:val="auto"/>
        </w:rPr>
        <w:t>Average selling prices for our products tend to be highest at the time of introduction of new products which utilize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material costs consist of costs of raw materials, such as silicon wafers, chemicals, gases and tape and packaging supplies.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7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with one or more years of service are entitled to severance benefits upon the termination of their employment based on their length of service and rate of pay. As of March 31, 2022, approximately 98% of our employees were eligible for severance benefits.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 equipment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 representatives to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6"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 operations,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w:t>
      </w:r>
    </w:p>
    <w:p>
      <w:pPr>
        <w:sectPr>
          <w:pgSz w:w="11900" w:h="16838" w:orient="portrait"/>
          <w:cols w:equalWidth="0" w:num="1">
            <w:col w:w="11080"/>
          </w:cols>
          <w:pgMar w:left="320" w:top="482" w:right="499" w:bottom="1440" w:gutter="0" w:footer="0" w:header="0"/>
        </w:sectPr>
      </w:pP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82"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 cost of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2022, the outstanding intercompany loan balance including accrued interest between our Korean subsidiary and our Dutch subsidiary was $348.5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 currency other than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 asset and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54"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We primarily invest in manufacturing equipment, software design tools and other tangible assets mainly for fabrication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 required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March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three months ended March 31,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9"/>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Borders>
              <w:top w:val="single" w:sz="8" w:color="auto"/>
            </w:tcBorders>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6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spacing w:after="0"/>
              <w:rPr>
                <w:sz w:val="10"/>
                <w:szCs w:val="10"/>
                <w:color w:val="auto"/>
              </w:rPr>
            </w:pPr>
          </w:p>
        </w:tc>
        <w:tc>
          <w:tcPr>
            <w:tcW w:w="5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gridSpan w:val="7"/>
            <w:vMerge w:val="continue"/>
          </w:tcPr>
          <w:p>
            <w:pPr>
              <w:spacing w:after="0"/>
              <w:rPr>
                <w:sz w:val="15"/>
                <w:szCs w:val="15"/>
                <w:color w:val="auto"/>
              </w:rPr>
            </w:pPr>
          </w:p>
        </w:tc>
        <w:tc>
          <w:tcPr>
            <w:tcW w:w="122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40" w:type="dxa"/>
            <w:vAlign w:val="bottom"/>
          </w:tcPr>
          <w:p>
            <w:pPr>
              <w:spacing w:after="0"/>
              <w:rPr>
                <w:sz w:val="15"/>
                <w:szCs w:val="15"/>
                <w:color w:val="auto"/>
              </w:rPr>
            </w:pPr>
          </w:p>
        </w:tc>
        <w:tc>
          <w:tcPr>
            <w:tcW w:w="880" w:type="dxa"/>
            <w:vAlign w:val="bottom"/>
            <w:gridSpan w:val="6"/>
            <w:vMerge w:val="continue"/>
          </w:tcPr>
          <w:p>
            <w:pPr>
              <w:spacing w:after="0"/>
              <w:rPr>
                <w:sz w:val="15"/>
                <w:szCs w:val="15"/>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8"/>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760" w:type="dxa"/>
            <w:vAlign w:val="bottom"/>
            <w:gridSpan w:val="6"/>
          </w:tcPr>
          <w:p>
            <w:pPr>
              <w:jc w:val="right"/>
              <w:ind w:right="28"/>
              <w:spacing w:after="0"/>
              <w:rPr>
                <w:sz w:val="20"/>
                <w:szCs w:val="20"/>
                <w:color w:val="auto"/>
              </w:rPr>
            </w:pPr>
            <w:r>
              <w:rPr>
                <w:rFonts w:ascii="Times New Roman" w:cs="Times New Roman" w:eastAsia="Times New Roman" w:hAnsi="Times New Roman"/>
                <w:sz w:val="18"/>
                <w:szCs w:val="18"/>
                <w:color w:val="auto"/>
              </w:rPr>
              <w:t>$ 94.0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91.8%</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4"/>
              </w:rPr>
              <w:t>$ (18.9)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1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60" w:type="dxa"/>
            <w:vAlign w:val="bottom"/>
            <w:gridSpan w:val="4"/>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760" w:type="dxa"/>
            <w:vAlign w:val="bottom"/>
            <w:gridSpan w:val="6"/>
          </w:tcPr>
          <w:p>
            <w:pPr>
              <w:jc w:val="right"/>
              <w:ind w:right="28"/>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140" w:type="dxa"/>
            <w:vAlign w:val="bottom"/>
          </w:tcPr>
          <w:p>
            <w:pPr>
              <w:spacing w:after="0"/>
              <w:rPr>
                <w:sz w:val="20"/>
                <w:szCs w:val="20"/>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72.1</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6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Pr>
          <w:p>
            <w:pPr>
              <w:spacing w:after="0"/>
              <w:rPr>
                <w:sz w:val="19"/>
                <w:szCs w:val="19"/>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Pr>
          <w:p>
            <w:pPr>
              <w:spacing w:after="0"/>
              <w:rPr>
                <w:sz w:val="20"/>
                <w:szCs w:val="20"/>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5"/>
          </w:tcPr>
          <w:p>
            <w:pPr>
              <w:jc w:val="right"/>
              <w:ind w:right="68"/>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(4.7)</w:t>
            </w:r>
          </w:p>
        </w:tc>
        <w:tc>
          <w:tcPr>
            <w:tcW w:w="20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(5.1)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76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(7.2)</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88"/>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(7.5)</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9"/>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spacing w:after="0"/>
              <w:rPr>
                <w:sz w:val="10"/>
                <w:szCs w:val="10"/>
                <w:color w:val="auto"/>
              </w:rPr>
            </w:pPr>
          </w:p>
        </w:tc>
        <w:tc>
          <w:tcPr>
            <w:tcW w:w="5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continue"/>
          </w:tcPr>
          <w:p>
            <w:pPr>
              <w:spacing w:after="0"/>
              <w:rPr>
                <w:sz w:val="15"/>
                <w:szCs w:val="15"/>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11"/>
          </w:tcPr>
          <w:p>
            <w:pPr>
              <w:jc w:val="right"/>
              <w:ind w:right="13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440" w:type="dxa"/>
            <w:vAlign w:val="bottom"/>
            <w:gridSpan w:val="4"/>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29.2</w:t>
            </w:r>
          </w:p>
        </w:tc>
        <w:tc>
          <w:tcPr>
            <w:tcW w:w="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w:t>
            </w:r>
          </w:p>
        </w:tc>
        <w:tc>
          <w:tcPr>
            <w:tcW w:w="620" w:type="dxa"/>
            <w:vAlign w:val="bottom"/>
            <w:tcBorders>
              <w:lef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(29.7)</w:t>
            </w:r>
          </w:p>
        </w:tc>
        <w:tc>
          <w:tcPr>
            <w:tcW w:w="0" w:type="dxa"/>
            <w:vAlign w:val="bottom"/>
          </w:tcPr>
          <w:p>
            <w:pPr>
              <w:spacing w:after="0"/>
              <w:rPr>
                <w:sz w:val="1"/>
                <w:szCs w:val="1"/>
                <w:color w:val="auto"/>
              </w:rPr>
            </w:pPr>
          </w:p>
        </w:tc>
      </w:tr>
      <w:tr>
        <w:trPr>
          <w:trHeight w:val="216"/>
        </w:trPr>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Power Solutions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5"/>
              </w:rPr>
              <w:t>64.8</w:t>
            </w:r>
          </w:p>
        </w:tc>
        <w:tc>
          <w:tcPr>
            <w:tcW w:w="80" w:type="dxa"/>
            <w:vAlign w:val="bottom"/>
          </w:tcPr>
          <w:p>
            <w:pPr>
              <w:spacing w:after="0"/>
              <w:rPr>
                <w:sz w:val="18"/>
                <w:szCs w:val="18"/>
                <w:color w:val="auto"/>
              </w:rPr>
            </w:pPr>
          </w:p>
        </w:tc>
        <w:tc>
          <w:tcPr>
            <w:tcW w:w="122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94.0</w:t>
            </w:r>
          </w:p>
        </w:tc>
        <w:tc>
          <w:tcPr>
            <w:tcW w:w="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90.3</w:t>
            </w:r>
          </w:p>
        </w:tc>
        <w:tc>
          <w:tcPr>
            <w:tcW w:w="9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91.8</w:t>
            </w:r>
          </w:p>
        </w:tc>
        <w:tc>
          <w:tcPr>
            <w:tcW w:w="620" w:type="dxa"/>
            <w:vAlign w:val="bottom"/>
            <w:tcBorders>
              <w:lef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8"/>
                <w:szCs w:val="18"/>
                <w:color w:val="auto"/>
              </w:rPr>
            </w:pPr>
          </w:p>
        </w:tc>
        <w:tc>
          <w:tcPr>
            <w:tcW w:w="122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88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123.0</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Borders>
              <w:lef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9"/>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8"/>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spacing w:after="0"/>
              <w:rPr>
                <w:sz w:val="10"/>
                <w:szCs w:val="10"/>
                <w:color w:val="auto"/>
              </w:rPr>
            </w:pPr>
          </w:p>
        </w:tc>
        <w:tc>
          <w:tcPr>
            <w:tcW w:w="56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10"/>
          </w:tcPr>
          <w:p>
            <w:pPr>
              <w:jc w:val="center"/>
              <w:ind w:right="12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 standard products business</w:t>
            </w:r>
          </w:p>
        </w:tc>
        <w:tc>
          <w:tcPr>
            <w:tcW w:w="144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122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40.3%</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 transitional Fab 3 foundry services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Borders>
              <w:right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10.6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1340" w:type="dxa"/>
            <w:vAlign w:val="bottom"/>
            <w:gridSpan w:val="3"/>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122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37.5%</w:t>
            </w:r>
          </w:p>
        </w:tc>
        <w:tc>
          <w:tcPr>
            <w:tcW w:w="380" w:type="dxa"/>
            <w:vAlign w:val="bottom"/>
            <w:gridSpan w:val="3"/>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Total revenues were $104.1 million for the three months ended March 31, 2022, an $18.9 million, or 15.4%, decrease compared to $123.0 million for the three months ended March 31, 2021. This decrease was primarily due to a decrease in revenue related to our standard products business as described below.</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$94.0 million for the three months ended March 31, 2022,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$18.9 million, or 16.7%, decrease compared to $112.9 million for the three months ended March 31, 2021. The decrease in net sales from our Display Solutions business line was primarily attributable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first quarter of 2022, which was offset in part by a higher demand for our OLED TV DDIC and auto-LCD DDIC. The increase in net sales from our Power Solutions business line was attributable to a strong demand for power products such as MOSFETs, including high-end MOSFETs, primarily for TVs, smartphones and industrial applications, and IGBTs mainly for solar inverters.</w:t>
      </w:r>
    </w:p>
    <w:p>
      <w:pPr>
        <w:spacing w:after="0" w:line="18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$10.1 million for each of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2022 and 2021,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Total gross profit was $39.0 million for the three months ended March 31, 2022 compared to $34.4 million for the three months ended March 31, 2021, a $4.6 million, or 13.4%, increase. Gross profit as a percentage of net sales for the three months ended March 31, 2022 increased to 37.5% compared to 27.9% for the three months ended March 31, 2021. The increase in gross profit and gross profit as a percentage of net sales was primarily due to our standard products business as further described below.</w:t>
      </w:r>
    </w:p>
    <w:p>
      <w:pPr>
        <w:spacing w:after="0" w:line="176"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$37.9 million for the three months ended March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represented a $4.3 million, or 12.7%, increase from gross profit of $33.7 million for the three months ended March 31, 2021. Gross profit as a percentage of net sales for the three months ended March 31, 2022 increased to 40.3% compared to 29.8% for the three months ended March 31, 2021. The increase in both gross profit and gross profit margin was primarily attributable to an improved product mix and an increase in average selling price benefited from the favorable pricing environment.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 – 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March 31, 2022 and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0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11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83.7</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112.9</w:t>
            </w:r>
          </w:p>
        </w:tc>
        <w:tc>
          <w:tcPr>
            <w:tcW w:w="32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Net sales – standard products business in Korea for the three months ended March 31, 2022 increased from $26.4 million to $31.0 million compared to the three months ended March 31, 2021, or by $4.6 million, or 17.4%, primarily due to a strong demand for power products such as MOSFETs, including high-end MOSFETs, primarily for TVs and smartphone applications. The increased demand for OLED TV DDIC also favorably affected in this quarter.</w:t>
      </w:r>
    </w:p>
    <w:p>
      <w:pPr>
        <w:spacing w:after="0" w:line="18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Net sales – standard products business in Asia Pacific (other than Korea) for the three months ended March 31, 2022 decreased to $58.3 million from $83.7 million in the three months ended March 31, 2021, or by $25.5 million, or 30.4%, primarily due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first quarter of 2022, which was offset in part by a higher demand for power products such as MOSFETs, including high-end MOSFETs, primarily for TVs, computing and industrial applications, and IGBTs mainly for solar inverters. The increased demand for our auto-LCD DDIC also favorably affected in this quarter.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$14.2 million, or 13.6% of total revenues,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2022, compared to $12.6 million, or 10.3% of total revenues, for the three months ended March 31, 2021. The increase of $1.5 million, or 12.1%, was primarily attributable to an increase in employee compensation including certain incentive and benefit related accruals.</w:t>
      </w:r>
    </w:p>
    <w:p>
      <w:pPr>
        <w:spacing w:after="0" w:line="176" w:lineRule="exact"/>
        <w:rPr>
          <w:sz w:val="20"/>
          <w:szCs w:val="20"/>
          <w:color w:val="auto"/>
        </w:rPr>
      </w:pPr>
    </w:p>
    <w:p>
      <w:pPr>
        <w:ind w:left="120" w:right="14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$12.0 million, or 11.5% of total revenues,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2022, compared to $13.4 million, or 10.9% of total revenues, for the three months ended March 31, 2021. The decrease of</w:t>
      </w:r>
    </w:p>
    <w:p>
      <w:pPr>
        <w:spacing w:after="0" w:line="1"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$1.5 million, or 10.9%, was primarily attributable to the timing of development activities for our 28-nanometer OLED display driver ICs, which was offset in part by an increase in employee compensation.</w:t>
      </w:r>
    </w:p>
    <w:p>
      <w:pPr>
        <w:spacing w:after="0" w:line="17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Merger-related Costs. </w:t>
      </w:r>
      <w:r>
        <w:rPr>
          <w:rFonts w:ascii="Times New Roman" w:cs="Times New Roman" w:eastAsia="Times New Roman" w:hAnsi="Times New Roman"/>
          <w:sz w:val="18"/>
          <w:szCs w:val="18"/>
          <w:color w:val="auto"/>
        </w:rPr>
        <w:t>For the three months ended March 31, 2021, we recorded $9.8 million of non-recurring professional service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incurred in connection with the contemplated Merger transaction.</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Charges. </w:t>
      </w:r>
      <w:r>
        <w:rPr>
          <w:rFonts w:ascii="Times New Roman" w:cs="Times New Roman" w:eastAsia="Times New Roman" w:hAnsi="Times New Roman"/>
          <w:sz w:val="18"/>
          <w:szCs w:val="18"/>
          <w:color w:val="auto"/>
        </w:rPr>
        <w:t>For the three months ended March 31, 2021, we recorded $0.6 million of non-recurring professional service fees and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in connection with the regulatory requests.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foregoing, operating income of $12.9 million was recorded for the three months ended March 31, 2022 compared to operating loss of $2.1 million for the three months ended March 31, 2021. As discussed above, the increase in operating income of $15.0 million resulted primarily from a $9.8 million decrease in Merger-related costs, a $4.6 million increase in gross profit, a $1.5 million decrease in research and development expenses and a $0.6 million decrease in other charges. This increase was offset in part by a $1.5 million increase in selling, general and administrative expenses.</w:t>
      </w:r>
    </w:p>
    <w:p>
      <w:pPr>
        <w:sectPr>
          <w:pgSz w:w="11900" w:h="16838" w:orient="portrait"/>
          <w:cols w:equalWidth="0" w:num="1">
            <w:col w:w="11140"/>
          </w:cols>
          <w:pgMar w:left="320" w:top="482"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7"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were $0.1 million and $1.0 million for the three months ended March 31, 2022 and March 31,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5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Net. </w:t>
      </w:r>
      <w:r>
        <w:rPr>
          <w:rFonts w:ascii="Times New Roman" w:cs="Times New Roman" w:eastAsia="Times New Roman" w:hAnsi="Times New Roman"/>
          <w:sz w:val="18"/>
          <w:szCs w:val="18"/>
          <w:color w:val="auto"/>
        </w:rPr>
        <w:t>Net foreign currency loss for the three months ended March 31, 2022 was $0.7 million compared to net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loss of $4.7 million for the three months ended March 31, 2021. The net foreign currency loss for the three months ended March 31, 2022 and March 31, 2021 was due to the depreciation in value of the Korean won relative to the U.S. dollar during the period.</w:t>
      </w:r>
    </w:p>
    <w:p>
      <w:pPr>
        <w:spacing w:after="0" w:line="17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March 31, 2022 and March 31, 2021, the outstanding intercompany loan balances, including accrued interest between our Korean subsidiary and our Dutch subsidiary, were $348 million and $382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w:t>
      </w:r>
    </w:p>
    <w:p>
      <w:pPr>
        <w:spacing w:after="0" w:line="183" w:lineRule="exact"/>
        <w:rPr>
          <w:sz w:val="20"/>
          <w:szCs w:val="20"/>
          <w:color w:val="auto"/>
        </w:rPr>
      </w:pPr>
    </w:p>
    <w:p>
      <w:pPr>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Others, Net. </w:t>
      </w:r>
      <w:r>
        <w:rPr>
          <w:rFonts w:ascii="Times New Roman" w:cs="Times New Roman" w:eastAsia="Times New Roman" w:hAnsi="Times New Roman"/>
          <w:sz w:val="17"/>
          <w:szCs w:val="17"/>
          <w:color w:val="auto"/>
        </w:rPr>
        <w:t>Others were comprised of interest income, rental income, and gains and losses from valuation of derivatives which were designated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hedging instruments. Others for the three months ended March 31, 2022 and March 31, 2021 was $0.9 million and $0.6 million, respectively.</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was $3.5 million for the three months ended March 31, 2022, which was primarily attributable to the estimated taxable income in our Korean subsidiary for the respective period. Income tax expense was $0.3 million for the three months ended March 31, 2021, which was primarily attributable to interest on intercompany loan balances, and offset in part by the tax benefit recognized on the loss for the first quarter of 2021 from our Korean subsidiary.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a net income of $9.5 million was recorded for the three months ended March 31, 2022 compared to a net loss of $7.5 million for the three months ended March 31, 2021. As discussed above, the $17.0 million increase in net income was primarily attributable to a $15.0 million increase in operating income, a $4.0 million improvement in net foreign currency loss and a $0.9 million decrease in interest expense, which was offset in part by a $3.2 million increase in income tax expense.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482"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2022, we did not have any accounts payable on extended terms or payment deferment with our vendors.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March 31, 2022, the outstanding obligation of this arrangement is approximately $22.5 million for remaining service term through 2028.</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2022, cash and cash equivalents held by our Korean subsidiary were $279.4 million, which represents 98%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working capital balance as of March 31, 2022 was $337.2 million compared to $323.6 million as of December 31, 2021. The $13.6 million increase was primarily attributable to a $5.4 million increase in cash and cash equivalents and a $6.6 million increase in advance payments to certain suppliers, including external foundries to meet our planned production.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Cash inflow provided by operating activities totaled $12.8 million for the three months ended March 31, 2022, compared to $21.2 million of cash inflow provided by operating activities for the three months ended March 31, 2021. The net operating cash inflow for the three months ended March 31, 2022 reflects our net income of $9.5 million, as adjusted favorably by $13.9 million, which mainly consisted of depreciation and amortization, provision for severance benefits, and net foreign currency loss, and net unfavorable impact of $10.6 million from changes of operating assets and liabilities.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Cash outflow used in investing activities totaled $2.1 million for the three months ended March 31, 2022, compared to $1.4 million of cash outflow used in investing activities for the three months ended March 31, 2021. The $0.8 million increase was primarily attributable to a $1.1 million net increase in hedge collateral, which was offset in part by a $0.1 million decrease in purchase of property, plant and equipment.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Cash inflow provided by financing activities totaled $0.8 million for the three months ended March 31, 2022, compared to $0.8 million of cash inflow provided by financing activities for the three months ended March 31, 2021. The financing cash inflow for the three months ended March 31, 2022 was primarily attributable to $1.8 million of proceeds received from the issuance of common stock in connection with the exercise of stock options, which was offset in part by a payment of $0.8 million for the repurchase of our common stock to satisfy tax withholding obligations in connection with the vesting of restricted stock units. The financing cash inflow for the three months ended March 31, 2021 was primarily attributable to $2.5 million of proceeds received from the issuance of common stock in connection with the exercise of stock options, which was offset in part by a payment of $1.5 million for the repurchase of our common stock to satisfy tax withholding obligations in connection with the vesting of restricted stock units.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routinely make capital expenditures for fabrication facility maintenance, enhancement of our existing facility and reinforcement of our global research and development capability. For the three months ended March 31, 2022, capital expenditures for property, plant and equipment were</w:t>
      </w: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$0.9 million, a $0.1 million, or 12.8%, decrease from $1.1 million for the three months ended March 31, 2021. The capital expenditures for the three months ended March 31, 2022 and 2021 were related to meeting our customer demand and supporting technology and facility improvement at our fabrication facility.</w:t>
      </w:r>
    </w:p>
    <w:p>
      <w:pPr>
        <w:sectPr>
          <w:pgSz w:w="11900" w:h="16838" w:orient="portrait"/>
          <w:cols w:equalWidth="0" w:num="1">
            <w:col w:w="11120"/>
          </w:cols>
          <w:pgMar w:left="320" w:top="482"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significant accounting policies, which are described further in Note 1 to our consolidated financial statements in our Annual Report on Form 10-K for our fiscal year ended December 31, 2021, or our 2021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judgement appears in our 2021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2021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Recent </w:t>
      </w:r>
      <w:r>
        <w:rPr>
          <w:rFonts w:ascii="Times New Roman" w:cs="Times New Roman" w:eastAsia="Times New Roman" w:hAnsi="Times New Roman"/>
          <w:sz w:val="18"/>
          <w:szCs w:val="18"/>
          <w:b w:val="1"/>
          <w:bCs w:val="1"/>
          <w:color w:val="auto"/>
        </w:rPr>
        <w:t>Accounting</w:t>
      </w:r>
      <w:r>
        <w:rPr>
          <w:rFonts w:ascii="Times New Roman" w:cs="Times New Roman" w:eastAsia="Times New Roman" w:hAnsi="Times New Roman"/>
          <w:sz w:val="18"/>
          <w:szCs w:val="18"/>
          <w:b w:val="1"/>
          <w:bCs w:val="1"/>
          <w:i w:val="1"/>
          <w:iCs w:val="1"/>
          <w:color w:val="auto"/>
        </w:rPr>
        <w:t xml:space="preserve"> Pronouncements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2022 for our Korean subsidiary, a 10% devaluation of the Korean won against the U.S. dollar would have resulted in a decrease of $3.1 million in our U.S. dollar financial instruments and cash balances.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of this Report, we carried out an evaluation under the supervision of and with the participation of our management, including our Chief Executive Officer and Chief Financial Officer, as of March 31, 2022,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discussion of legal proceedings, see “Part I: Item 3. Legal Proceedings” of our 2021 Form 10-K.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“Item 1A. Risk Factors” in this Report and “Part I: Item 1A. Risk Factors” of our 2021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2021 Form 10-K (including that the impact of the COVID-19 pandemic, such as the ongoing lockdowns in Shanghai, China, may also exacerbate the risks discussed therein), herein and other reports we have filed with the SEC. In addition, the recent geopolitical conflict between Russia and Ukraine, and any sanctions, export controls or other retaliatory actions against, or restrictions on doing business with Russia, as well as any disruption, instability or volatility in the global markets, industries and supply chains resulting from such conflict, could adversely affect our business, even though at present we are not experiencing or expecting any notable negative effect on our financial condition or results of operations.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monthly activity related to our repurchases of common stock for the quarter ended March 31,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58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920" w:type="dxa"/>
            <w:vAlign w:val="bottom"/>
            <w:vMerge w:val="restart"/>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3"/>
        </w:trPr>
        <w:tc>
          <w:tcPr>
            <w:tcW w:w="420" w:type="dxa"/>
            <w:vAlign w:val="bottom"/>
            <w:tcBorders>
              <w:bottom w:val="single" w:sz="8" w:color="auto"/>
            </w:tcBorders>
            <w:vMerge w:val="continue"/>
          </w:tcPr>
          <w:p>
            <w:pPr>
              <w:spacing w:after="0"/>
              <w:rPr>
                <w:sz w:val="16"/>
                <w:szCs w:val="16"/>
                <w:color w:val="auto"/>
              </w:rPr>
            </w:pPr>
          </w:p>
        </w:tc>
        <w:tc>
          <w:tcPr>
            <w:tcW w:w="3920" w:type="dxa"/>
            <w:vAlign w:val="bottom"/>
            <w:vMerge w:val="continue"/>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8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or Programs(1)</w:t>
            </w:r>
          </w:p>
        </w:tc>
        <w:tc>
          <w:tcPr>
            <w:tcW w:w="12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thousands)(1)</w:t>
            </w: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January 2022</w:t>
            </w:r>
          </w:p>
        </w:tc>
        <w:tc>
          <w:tcPr>
            <w:tcW w:w="860" w:type="dxa"/>
            <w:vAlign w:val="bottom"/>
            <w:tcBorders>
              <w:top w:val="single" w:sz="8" w:color="auto"/>
            </w:tcBorders>
            <w:shd w:val="clear" w:color="auto" w:fill="CCEEFF"/>
          </w:tcPr>
          <w:p>
            <w:pPr>
              <w:jc w:val="right"/>
              <w:ind w:right="18"/>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1,031,576</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16.69</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1,031,576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1,031,576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2021, the Company’s Board of Directors authorized the Company to repurchase up to $75 million of the Company’s common stock. As an immediate step towards implementing the approved stock repurchase program, the Company entered into an ASR Agreement on December 21, 2021 with JPM to repurchase an aggregate of $37.5 million of the Company’s common stock. Pursuant to the terms of the ASR Agreement dated December 21, 2021, we paid to JPM $37.5 million in cash and received an initial delivery of 994,695 shares of our common stock in the open market. In March 2022, the previously announced repurchase of $37.5 million of our common stock was completed pursuant to the ASR Agreement, and as a result, we additionally received 1,031,576 shares of our common stock.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300" w:type="dxa"/>
            <w:vAlign w:val="bottom"/>
            <w:gridSpan w:val="5"/>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5"/>
                <w:szCs w:val="25"/>
                <w:color w:val="auto"/>
                <w:vertAlign w:val="superscript"/>
              </w:rPr>
              <w:t>#</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 13a-14(a) or Rule 15d-14(a) of the Securities Exchange Act of 1934 of the Chief Executive Officer.</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 of the Chief Financial Officer.</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9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Executive Officer.</w:t>
            </w:r>
          </w:p>
        </w:tc>
        <w:tc>
          <w:tcPr>
            <w:tcW w:w="8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5"/>
                <w:szCs w:val="25"/>
                <w:color w:val="auto"/>
                <w:vertAlign w:val="superscript"/>
              </w:rPr>
              <w:t>#</w:t>
            </w: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9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Footnotes:</w:t>
      </w:r>
    </w:p>
    <w:p>
      <w:pPr>
        <w:spacing w:after="0" w:line="77"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320" w:top="482"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Dated: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Dated: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Shin Young Park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1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60"/>
          </w:cols>
          <w:pgMar w:left="320" w:top="482" w:right="9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Young-Joon Kim, certify that:</w:t>
      </w:r>
    </w:p>
    <w:p>
      <w:pPr>
        <w:spacing w:after="0" w:line="225"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80" w:firstLine="436"/>
        <w:spacing w:after="0" w:line="282"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Shin Young Park, certify that:</w:t>
      </w:r>
    </w:p>
    <w:p>
      <w:pPr>
        <w:spacing w:after="0" w:line="225" w:lineRule="exact"/>
        <w:rPr>
          <w:sz w:val="20"/>
          <w:szCs w:val="20"/>
          <w:color w:val="auto"/>
        </w:rPr>
      </w:pPr>
    </w:p>
    <w:p>
      <w:pPr>
        <w:ind w:left="620" w:hanging="184"/>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80" w:firstLine="436"/>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Shin Young 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020"/>
          </w:cols>
          <w:pgMar w:left="440" w:top="117"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54" w:lineRule="exact"/>
        <w:rPr>
          <w:sz w:val="20"/>
          <w:szCs w:val="20"/>
          <w:color w:val="auto"/>
        </w:rPr>
      </w:pPr>
    </w:p>
    <w:p>
      <w:pPr>
        <w:jc w:val="both"/>
        <w:ind w:right="200" w:firstLine="436"/>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2022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6, 2022</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17"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162" w:lineRule="exact"/>
        <w:rPr>
          <w:sz w:val="20"/>
          <w:szCs w:val="20"/>
          <w:color w:val="auto"/>
        </w:rPr>
      </w:pPr>
    </w:p>
    <w:p>
      <w:pPr>
        <w:jc w:val="both"/>
        <w:ind w:right="200" w:firstLine="43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2022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May 6, 2022</w:t>
      </w:r>
      <w:r>
        <w:rPr>
          <w:sz w:val="20"/>
          <w:szCs w:val="20"/>
          <w:color w:val="auto"/>
        </w:rPr>
        <w:tab/>
      </w:r>
      <w:r>
        <w:rPr>
          <w:rFonts w:ascii="Times New Roman" w:cs="Times New Roman" w:eastAsia="Times New Roman" w:hAnsi="Times New Roman"/>
          <w:sz w:val="17"/>
          <w:szCs w:val="17"/>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Shin Young Park</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2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lvl w:ilvl="1">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2022-05-07T00:40:53Z</dcterms:created>
  <dcterms:modified xsi:type="dcterms:W3CDTF">2022-05-07T00:40:53Z</dcterms:modified>
</cp:coreProperties>
</file>