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Date of report (Date of earliest event reported): September 5, 2008</w:t>
      </w:r>
    </w:p>
    <w:p>
      <w:pPr>
        <w:spacing w:after="0" w:line="136"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597" w:right="639" w:bottom="1440" w:gutter="0" w:footer="0" w:header="0"/>
        </w:sectPr>
      </w:pPr>
    </w:p>
    <w:p>
      <w:pPr>
        <w:spacing w:after="0" w:line="175"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080"/>
        <w:spacing w:after="0"/>
        <w:rPr>
          <w:sz w:val="20"/>
          <w:szCs w:val="20"/>
          <w:color w:val="auto"/>
        </w:rPr>
      </w:pPr>
      <w:r>
        <w:rPr>
          <w:rFonts w:ascii="Arial" w:cs="Arial" w:eastAsia="Arial" w:hAnsi="Arial"/>
          <w:sz w:val="15"/>
          <w:szCs w:val="15"/>
          <w:b w:val="1"/>
          <w:bCs w:val="1"/>
          <w:color w:val="auto"/>
        </w:rPr>
        <w:t>333-126019-09</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83-0406195</w:t>
      </w:r>
    </w:p>
    <w:p>
      <w:pPr>
        <w:spacing w:after="0" w:line="47" w:lineRule="exact"/>
        <w:rPr>
          <w:sz w:val="24"/>
          <w:szCs w:val="24"/>
          <w:color w:val="auto"/>
        </w:rPr>
      </w:pPr>
    </w:p>
    <w:p>
      <w:pPr>
        <w:sectPr>
          <w:pgSz w:w="11900" w:h="16838" w:orient="portrait"/>
          <w:cols w:equalWidth="0" w:num="3">
            <w:col w:w="4580" w:space="720"/>
            <w:col w:w="3160" w:space="720"/>
            <w:col w:w="1840"/>
          </w:cols>
          <w:pgMar w:left="240" w:top="597" w:right="639" w:bottom="1440" w:gutter="0" w:footer="0" w:header="0"/>
          <w:type w:val="continuous"/>
        </w:sectPr>
      </w:pP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97" w:lineRule="exact"/>
        <w:rPr>
          <w:sz w:val="24"/>
          <w:szCs w:val="24"/>
          <w:color w:val="auto"/>
        </w:rPr>
      </w:pPr>
    </w:p>
    <w:p>
      <w:pPr>
        <w:sectPr>
          <w:pgSz w:w="11900" w:h="16838" w:orient="portrait"/>
          <w:cols w:equalWidth="0" w:num="3">
            <w:col w:w="4740" w:space="720"/>
            <w:col w:w="2880" w:space="720"/>
            <w:col w:w="1960"/>
          </w:cols>
          <w:pgMar w:left="240" w:top="597" w:right="639" w:bottom="1440" w:gutter="0" w:footer="0" w:header="0"/>
          <w:type w:val="continuous"/>
        </w:sectPr>
      </w:pPr>
    </w:p>
    <w:p>
      <w:pPr>
        <w:jc w:val="center"/>
        <w:ind w:right="1680"/>
        <w:spacing w:after="0"/>
        <w:rPr>
          <w:sz w:val="20"/>
          <w:szCs w:val="20"/>
          <w:color w:val="auto"/>
        </w:rPr>
      </w:pPr>
      <w:r>
        <w:rPr>
          <w:rFonts w:ascii="Arial" w:cs="Arial" w:eastAsia="Arial" w:hAnsi="Arial"/>
          <w:sz w:val="16"/>
          <w:szCs w:val="16"/>
          <w:b w:val="1"/>
          <w:bCs w:val="1"/>
          <w:color w:val="auto"/>
        </w:rPr>
        <w:t>c/o MagnaChip Semiconductor S.A., 74, rue de Merl, B.P. 709, L-2017</w:t>
      </w:r>
    </w:p>
    <w:p>
      <w:pPr>
        <w:spacing w:after="0" w:line="44"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Not Applicable</w:t>
      </w:r>
    </w:p>
    <w:p>
      <w:pPr>
        <w:spacing w:after="0" w:line="55" w:lineRule="exact"/>
        <w:rPr>
          <w:sz w:val="24"/>
          <w:szCs w:val="24"/>
          <w:color w:val="auto"/>
        </w:rPr>
      </w:pPr>
    </w:p>
    <w:p>
      <w:pPr>
        <w:sectPr>
          <w:pgSz w:w="11900" w:h="16838" w:orient="portrait"/>
          <w:cols w:equalWidth="0" w:num="2">
            <w:col w:w="7400" w:space="720"/>
            <w:col w:w="2900"/>
          </w:cols>
          <w:pgMar w:left="240" w:top="597"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6" w:lineRule="exact"/>
        <w:rPr>
          <w:sz w:val="24"/>
          <w:szCs w:val="24"/>
          <w:color w:val="auto"/>
        </w:rPr>
      </w:pPr>
    </w:p>
    <w:p>
      <w:pPr>
        <w:sectPr>
          <w:pgSz w:w="11900" w:h="16838" w:orient="portrait"/>
          <w:cols w:equalWidth="0" w:num="2">
            <w:col w:w="7660" w:space="720"/>
            <w:col w:w="2640"/>
          </w:cols>
          <w:pgMar w:left="240" w:top="597" w:right="639" w:bottom="1440" w:gutter="0" w:footer="0" w:header="0"/>
          <w:type w:val="continuous"/>
        </w:sectPr>
      </w:pPr>
    </w:p>
    <w:p>
      <w:pPr>
        <w:ind w:left="3340"/>
        <w:spacing w:after="0"/>
        <w:rPr>
          <w:sz w:val="20"/>
          <w:szCs w:val="20"/>
          <w:color w:val="auto"/>
        </w:rPr>
      </w:pPr>
      <w:r>
        <w:rPr>
          <w:rFonts w:ascii="Arial" w:cs="Arial" w:eastAsia="Arial" w:hAnsi="Arial"/>
          <w:sz w:val="18"/>
          <w:szCs w:val="18"/>
          <w:color w:val="auto"/>
        </w:rPr>
        <w:t>Registrant’s telephone number, including area code: (352) 45-62-62</w:t>
      </w:r>
    </w:p>
    <w:p>
      <w:pPr>
        <w:spacing w:after="0" w:line="17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597"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MagnaChip Semiconductor LLC (the “Company”) has retained UBS Investment Bank to assist the Company in raising additional financing. The Company has proposed a first lien debt financing of approximately $50 million. However, there is no certainty as to whether any financing will be completed or the amount, terms or other conditions of any such financing.</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rules of the Securities and Exchange Commission, the information contained in this report shall not be deemed to be “filed” for the purposes of Section 18 of the Securities Exchange Act of 1934, as amended, and will not be incorporated by reference into any filings by the Company under such Act or the Securities Act of 1933, as amended.</w:t>
      </w:r>
    </w:p>
    <w:p>
      <w:pPr>
        <w:sectPr>
          <w:pgSz w:w="11900" w:h="16838" w:orient="portrait"/>
          <w:cols w:equalWidth="0" w:num="1">
            <w:col w:w="11320"/>
          </w:cols>
          <w:pgMar w:left="240" w:top="27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40" w:type="dxa"/>
            <w:vAlign w:val="bottom"/>
          </w:tcPr>
          <w:p>
            <w:pPr>
              <w:spacing w:after="0"/>
              <w:rPr>
                <w:sz w:val="19"/>
                <w:szCs w:val="19"/>
                <w:color w:val="auto"/>
              </w:rPr>
            </w:pPr>
          </w:p>
        </w:tc>
        <w:tc>
          <w:tcPr>
            <w:tcW w:w="7380" w:type="dxa"/>
            <w:vAlign w:val="bottom"/>
            <w:gridSpan w:val="2"/>
          </w:tcPr>
          <w:p>
            <w:pPr>
              <w:ind w:left="220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4040" w:type="dxa"/>
            <w:vAlign w:val="bottom"/>
          </w:tcPr>
          <w:p>
            <w:pPr>
              <w:spacing w:after="0"/>
              <w:rPr>
                <w:sz w:val="20"/>
                <w:szCs w:val="20"/>
                <w:color w:val="auto"/>
              </w:rPr>
            </w:pPr>
            <w:r>
              <w:rPr>
                <w:rFonts w:ascii="Arial" w:cs="Arial" w:eastAsia="Arial" w:hAnsi="Arial"/>
                <w:sz w:val="18"/>
                <w:szCs w:val="18"/>
                <w:color w:val="auto"/>
              </w:rPr>
              <w:t>Dated: September 5, 2008</w:t>
            </w:r>
          </w:p>
        </w:tc>
        <w:tc>
          <w:tcPr>
            <w:tcW w:w="7380" w:type="dxa"/>
            <w:vAlign w:val="bottom"/>
            <w:gridSpan w:val="2"/>
          </w:tcPr>
          <w:p>
            <w:pPr>
              <w:ind w:left="2200"/>
              <w:spacing w:after="0"/>
              <w:rPr>
                <w:sz w:val="20"/>
                <w:szCs w:val="20"/>
                <w:color w:val="auto"/>
              </w:rPr>
            </w:pPr>
            <w:r>
              <w:rPr>
                <w:rFonts w:ascii="Arial" w:cs="Arial" w:eastAsia="Arial" w:hAnsi="Arial"/>
                <w:sz w:val="18"/>
                <w:szCs w:val="18"/>
                <w:color w:val="auto"/>
              </w:rPr>
              <w:t>By: /s/ Robert Krakauer</w:t>
            </w:r>
          </w:p>
        </w:tc>
      </w:tr>
      <w:tr>
        <w:trPr>
          <w:trHeight w:val="202"/>
        </w:trPr>
        <w:tc>
          <w:tcPr>
            <w:tcW w:w="40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9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Robert Krakauer</w:t>
            </w:r>
          </w:p>
        </w:tc>
      </w:tr>
      <w:tr>
        <w:trPr>
          <w:trHeight w:val="222"/>
        </w:trPr>
        <w:tc>
          <w:tcPr>
            <w:tcW w:w="40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President and Chief Financial Officer</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2019-12-15T11:08:45Z</dcterms:created>
  <dcterms:modified xsi:type="dcterms:W3CDTF">2019-12-15T11:08:45Z</dcterms:modified>
</cp:coreProperties>
</file>