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279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7926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Kim Heung Kyu</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60" w:type="dxa"/>
            <w:vAlign w:val="bottom"/>
            <w:tcBorders>
              <w:top w:val="single" w:sz="8" w:color="0000EE"/>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03/10/2011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MAGNACHIP SEMICONDUCTOR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MX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314"/>
        <w:spacing w:after="0" w:line="268" w:lineRule="auto"/>
        <w:rPr>
          <w:sz w:val="20"/>
          <w:szCs w:val="20"/>
          <w:color w:val="auto"/>
        </w:rPr>
      </w:pPr>
      <w:r>
        <w:rPr>
          <w:rFonts w:ascii="Arial" w:cs="Arial" w:eastAsia="Arial" w:hAnsi="Arial"/>
          <w:sz w:val="18"/>
          <w:szCs w:val="18"/>
          <w:color w:val="0000FF"/>
        </w:rPr>
        <w:t>20400 STEVENS CREEK BOULEVARD, SUITE 370</w:t>
      </w:r>
    </w:p>
    <w:p>
      <w:pPr>
        <w:spacing w:after="0" w:line="31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CUPERTINO CA</w:t>
            </w:r>
          </w:p>
        </w:tc>
        <w:tc>
          <w:tcPr>
            <w:tcW w:w="840" w:type="dxa"/>
            <w:vAlign w:val="bottom"/>
          </w:tcPr>
          <w:p>
            <w:pPr>
              <w:jc w:val="right"/>
              <w:spacing w:after="0"/>
              <w:rPr>
                <w:sz w:val="20"/>
                <w:szCs w:val="20"/>
                <w:color w:val="auto"/>
              </w:rPr>
            </w:pPr>
            <w:r>
              <w:rPr>
                <w:rFonts w:ascii="Arial" w:cs="Arial" w:eastAsia="Arial" w:hAnsi="Arial"/>
                <w:sz w:val="18"/>
                <w:szCs w:val="18"/>
                <w:color w:val="0000FF"/>
              </w:rPr>
              <w:t>95014</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26"/>
        <w:spacing w:after="0"/>
        <w:rPr>
          <w:sz w:val="20"/>
          <w:szCs w:val="20"/>
          <w:color w:val="auto"/>
        </w:rPr>
      </w:pPr>
      <w:r>
        <w:rPr>
          <w:rFonts w:ascii="Arial" w:cs="Arial" w:eastAsia="Arial" w:hAnsi="Arial"/>
          <w:sz w:val="18"/>
          <w:szCs w:val="18"/>
          <w:color w:val="0000FF"/>
        </w:rPr>
        <w:t>Exe VP &amp; GM Power Sol. Div.</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0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jc w:val="right"/>
              <w:ind w:right="684"/>
              <w:spacing w:after="0"/>
              <w:rPr>
                <w:sz w:val="20"/>
                <w:szCs w:val="20"/>
                <w:color w:val="auto"/>
              </w:rPr>
            </w:pPr>
            <w:r>
              <w:rPr>
                <w:rFonts w:ascii="Arial" w:cs="Arial" w:eastAsia="Arial" w:hAnsi="Arial"/>
                <w:sz w:val="18"/>
                <w:szCs w:val="18"/>
                <w:color w:val="0000FF"/>
              </w:rPr>
              <w:t>35,000</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04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5840" w:type="dxa"/>
            <w:vAlign w:val="bottom"/>
            <w:gridSpan w:val="6"/>
          </w:tcPr>
          <w:p>
            <w:pPr>
              <w:ind w:left="2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4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2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0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04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40" w:type="dxa"/>
            <w:vAlign w:val="bottom"/>
          </w:tcPr>
          <w:p>
            <w:pPr>
              <w:ind w:left="60"/>
              <w:spacing w:after="0"/>
              <w:rPr>
                <w:sz w:val="20"/>
                <w:szCs w:val="20"/>
                <w:color w:val="auto"/>
              </w:rPr>
            </w:pPr>
            <w:r>
              <w:rPr>
                <w:rFonts w:ascii="Arial" w:cs="Arial" w:eastAsia="Arial" w:hAnsi="Arial"/>
                <w:sz w:val="18"/>
                <w:szCs w:val="18"/>
                <w:color w:val="0000FF"/>
                <w:w w:val="97"/>
              </w:rPr>
              <w:t>Employee Stock Option (Right to Buy)</w:t>
            </w:r>
          </w:p>
        </w:tc>
        <w:tc>
          <w:tcPr>
            <w:tcW w:w="140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right"/>
              <w:ind w:right="12"/>
              <w:spacing w:after="0"/>
              <w:rPr>
                <w:sz w:val="20"/>
                <w:szCs w:val="20"/>
                <w:color w:val="auto"/>
              </w:rPr>
            </w:pPr>
            <w:r>
              <w:rPr>
                <w:rFonts w:ascii="Arial" w:cs="Arial" w:eastAsia="Arial" w:hAnsi="Arial"/>
                <w:sz w:val="14"/>
                <w:szCs w:val="14"/>
                <w:color w:val="0000FF"/>
                <w:w w:val="99"/>
              </w:rPr>
              <w:t>12/08/2019</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70,000</w:t>
            </w:r>
          </w:p>
        </w:tc>
        <w:tc>
          <w:tcPr>
            <w:tcW w:w="880" w:type="dxa"/>
            <w:vAlign w:val="bottom"/>
          </w:tcPr>
          <w:p>
            <w:pPr>
              <w:ind w:left="280"/>
              <w:spacing w:after="0"/>
              <w:rPr>
                <w:sz w:val="20"/>
                <w:szCs w:val="20"/>
                <w:color w:val="auto"/>
              </w:rPr>
            </w:pPr>
            <w:r>
              <w:rPr>
                <w:rFonts w:ascii="Arial" w:cs="Arial" w:eastAsia="Arial" w:hAnsi="Arial"/>
                <w:sz w:val="18"/>
                <w:szCs w:val="18"/>
                <w:color w:val="0000FF"/>
              </w:rPr>
              <w:t>5.88</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0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26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Option granted December 8, 2009, becoming vested and exercisable, subject to continued service: 34% on 12/8/2010; 9% on 3/8/2011; 8% on each of 6/8/2011, 9/8/2011, and 12/8/2011; 9% on 3/8/2012; and 8% on each of 6/8/2012, 9/8/2012, and 12/8/2012.</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24 - Power of Attorney</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Micheal Reagan, Attorney-</w:t>
            </w:r>
          </w:p>
        </w:tc>
        <w:tc>
          <w:tcPr>
            <w:tcW w:w="80" w:type="dxa"/>
            <w:vAlign w:val="bottom"/>
          </w:tcPr>
          <w:p>
            <w:pPr>
              <w:spacing w:after="0"/>
              <w:rPr>
                <w:sz w:val="19"/>
                <w:szCs w:val="19"/>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0000FF"/>
                <w:w w:val="84"/>
              </w:rPr>
              <w:t>03/10/2011</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6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659"/>
        <w:spacing w:after="0"/>
        <w:rPr>
          <w:sz w:val="20"/>
          <w:szCs w:val="20"/>
          <w:color w:val="auto"/>
        </w:rPr>
      </w:pPr>
      <w:r>
        <w:rPr>
          <w:rFonts w:ascii="Courier New" w:cs="Courier New" w:eastAsia="Courier New" w:hAnsi="Courier New"/>
          <w:sz w:val="18"/>
          <w:szCs w:val="18"/>
          <w:color w:val="auto"/>
        </w:rPr>
        <w:t>LIMITED POWER OF ATTORNEY</w:t>
      </w:r>
    </w:p>
    <w:p>
      <w:pPr>
        <w:jc w:val="center"/>
        <w:ind w:right="1659"/>
        <w:spacing w:after="0" w:line="238" w:lineRule="auto"/>
        <w:rPr>
          <w:sz w:val="20"/>
          <w:szCs w:val="20"/>
          <w:color w:val="auto"/>
        </w:rPr>
      </w:pPr>
      <w:r>
        <w:rPr>
          <w:rFonts w:ascii="Courier New" w:cs="Courier New" w:eastAsia="Courier New" w:hAnsi="Courier New"/>
          <w:sz w:val="18"/>
          <w:szCs w:val="18"/>
          <w:color w:val="auto"/>
        </w:rPr>
        <w:t>FOR SECTION 16(a) REPORTING</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KNOW ALL PERSONS BY THESE PRESENTS, that the undersigned hereby makes, constitutes and appoints John McFarland, Micheal J. Reagan, Yem Mai and Charlotte X. Fu, and each of them, as the undersigned's true and lawful attorney-in-fact (the "Attorney-in Fact"), with full power of substitution and resubstitution, each with the power to act alone for the undersigned and in the undersigned's name, place and stead, in any and all capacities to:</w:t>
      </w:r>
    </w:p>
    <w:p>
      <w:pPr>
        <w:spacing w:after="0" w:line="210" w:lineRule="exact"/>
        <w:rPr>
          <w:sz w:val="20"/>
          <w:szCs w:val="20"/>
          <w:color w:val="auto"/>
        </w:rPr>
      </w:pPr>
    </w:p>
    <w:p>
      <w:pPr>
        <w:ind w:right="1879" w:firstLine="851"/>
        <w:spacing w:after="0" w:line="237" w:lineRule="auto"/>
        <w:tabs>
          <w:tab w:leader="none" w:pos="168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Securities and Exchange Commission ("SEC") a Form ID, including amendments thereto, and any other documents necessary or appropriate to obtain codes and passwords enabling the undersigned to make electronic filings with the SEC of reports required or considered advisable under Section 16(a) of the Securities Exchange Act of 1934 (the "Exchange Act") or any rule or regulation of the SEC;</w:t>
      </w:r>
    </w:p>
    <w:p>
      <w:pPr>
        <w:spacing w:after="0" w:line="211" w:lineRule="exact"/>
        <w:rPr>
          <w:rFonts w:ascii="Courier New" w:cs="Courier New" w:eastAsia="Courier New" w:hAnsi="Courier New"/>
          <w:sz w:val="18"/>
          <w:szCs w:val="18"/>
          <w:color w:val="auto"/>
        </w:rPr>
      </w:pPr>
    </w:p>
    <w:p>
      <w:pPr>
        <w:ind w:right="1779" w:firstLine="851"/>
        <w:spacing w:after="0" w:line="237" w:lineRule="auto"/>
        <w:tabs>
          <w:tab w:leader="none" w:pos="168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and submit to the SEC, any national securities exchange or securities quotation system and MagnaChip Semiconductor LLC (which will be converted into MagnaChip Semiconductor Corporation) (the "Company") any and all reports (including any amendment thereto) of the undersigned required or considered advisable under Section 16(a) of the Exchange Act and the rules and regulations thereunder, with respect to the equity securities of the Company, including Forms 3, 4 and 5; and</w:t>
      </w:r>
    </w:p>
    <w:p>
      <w:pPr>
        <w:spacing w:after="0" w:line="211" w:lineRule="exact"/>
        <w:rPr>
          <w:rFonts w:ascii="Courier New" w:cs="Courier New" w:eastAsia="Courier New" w:hAnsi="Courier New"/>
          <w:sz w:val="18"/>
          <w:szCs w:val="18"/>
          <w:color w:val="auto"/>
        </w:rPr>
      </w:pPr>
    </w:p>
    <w:p>
      <w:pPr>
        <w:ind w:right="1779" w:firstLine="851"/>
        <w:spacing w:after="0" w:line="237" w:lineRule="auto"/>
        <w:tabs>
          <w:tab w:leader="none" w:pos="168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07" w:lineRule="exact"/>
        <w:rPr>
          <w:sz w:val="20"/>
          <w:szCs w:val="20"/>
          <w:color w:val="auto"/>
        </w:rPr>
      </w:pPr>
    </w:p>
    <w:p>
      <w:pPr>
        <w:ind w:right="1779" w:firstLine="851"/>
        <w:spacing w:after="0" w:line="279" w:lineRule="auto"/>
        <w:tabs>
          <w:tab w:leader="none" w:pos="168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Limited Power of Attorney authorizes, but does not require, the Attorney-in-Fact to act at his or her discretion on information provided to such Attorney-in-Fact without independent verification of such information;</w:t>
      </w:r>
    </w:p>
    <w:p>
      <w:pPr>
        <w:spacing w:after="0" w:line="178" w:lineRule="exact"/>
        <w:rPr>
          <w:rFonts w:ascii="Courier New" w:cs="Courier New" w:eastAsia="Courier New" w:hAnsi="Courier New"/>
          <w:sz w:val="16"/>
          <w:szCs w:val="16"/>
          <w:color w:val="auto"/>
        </w:rPr>
      </w:pPr>
    </w:p>
    <w:p>
      <w:pPr>
        <w:ind w:right="1879" w:firstLine="851"/>
        <w:spacing w:after="0" w:line="237" w:lineRule="auto"/>
        <w:tabs>
          <w:tab w:leader="none" w:pos="168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or executed by the Attorney-in-Fact on behalf of the undersigned pursuant to this Limited Power of Attorney will be in such form and will contain such information as the Attorney-in-Fact, in his or her discretion, deems necessary or desirable;</w:t>
      </w:r>
    </w:p>
    <w:p>
      <w:pPr>
        <w:spacing w:after="0" w:line="207" w:lineRule="exact"/>
        <w:rPr>
          <w:rFonts w:ascii="Courier New" w:cs="Courier New" w:eastAsia="Courier New" w:hAnsi="Courier New"/>
          <w:sz w:val="18"/>
          <w:szCs w:val="18"/>
          <w:color w:val="auto"/>
        </w:rPr>
      </w:pPr>
    </w:p>
    <w:p>
      <w:pPr>
        <w:ind w:right="1999" w:firstLine="851"/>
        <w:spacing w:after="0" w:line="273" w:lineRule="auto"/>
        <w:tabs>
          <w:tab w:leader="none" w:pos="168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the Attorney-in-Fact assumes any liability for the undersigned's responsibility to comply with the requirements of Section 16 of the Exchange Act, any liability of the undersigned for any failure to comply with such requirements, or any liability of the undersigned for disgorgement of profits under Section 16(b) of the Exchange Act; and</w:t>
      </w:r>
    </w:p>
    <w:p>
      <w:pPr>
        <w:spacing w:after="0" w:line="184" w:lineRule="exact"/>
        <w:rPr>
          <w:rFonts w:ascii="Courier New" w:cs="Courier New" w:eastAsia="Courier New" w:hAnsi="Courier New"/>
          <w:sz w:val="16"/>
          <w:szCs w:val="16"/>
          <w:color w:val="auto"/>
        </w:rPr>
      </w:pPr>
    </w:p>
    <w:p>
      <w:pPr>
        <w:ind w:right="1879" w:firstLine="851"/>
        <w:spacing w:after="0" w:line="275" w:lineRule="auto"/>
        <w:tabs>
          <w:tab w:leader="none" w:pos="168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Limited Power of Attorney does not relieve the undersigned from responsibility for compliance with the undersigned's obligations under Section 16 of the Exchange Act, including, without limitation, the reporting requirements under Section 16(a) of the Exchange Act.</w:t>
      </w:r>
    </w:p>
    <w:p>
      <w:pPr>
        <w:spacing w:after="0" w:line="182"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undersigned hereby grants to the Attorney-in-Fact full power and authority to do and perform each and every act and thing requisite, necessary or 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Limited Power of Attorney.</w:t>
      </w:r>
    </w:p>
    <w:p>
      <w:pPr>
        <w:spacing w:after="0" w:line="211"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This Limited Power of Attorney shall remain in full force and effect until the undersigned is no longer required to file Forms 4 or 5 with respect to the undersigned's holdings of and transactions in equity securities of the Company, unless earlier revoked by the undersigned in a signed writing delivered to the Attorney-in-Fact.</w:t>
      </w:r>
    </w:p>
    <w:p>
      <w:pPr>
        <w:spacing w:after="0" w:line="209" w:lineRule="exact"/>
        <w:rPr>
          <w:sz w:val="20"/>
          <w:szCs w:val="20"/>
          <w:color w:val="auto"/>
        </w:rPr>
      </w:pPr>
    </w:p>
    <w:p>
      <w:pPr>
        <w:ind w:right="199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Limited Power of Attorney as of May 14, 2010.</w:t>
      </w:r>
    </w:p>
    <w:p>
      <w:pPr>
        <w:spacing w:after="0" w:line="203" w:lineRule="exact"/>
        <w:rPr>
          <w:sz w:val="20"/>
          <w:szCs w:val="20"/>
          <w:color w:val="auto"/>
        </w:rPr>
      </w:pPr>
    </w:p>
    <w:p>
      <w:pPr>
        <w:ind w:left="3060"/>
        <w:spacing w:after="0"/>
        <w:tabs>
          <w:tab w:leader="none" w:pos="4720" w:val="left"/>
        </w:tabs>
        <w:rPr>
          <w:sz w:val="20"/>
          <w:szCs w:val="20"/>
          <w:color w:val="auto"/>
        </w:rPr>
      </w:pPr>
      <w:r>
        <w:rPr>
          <w:rFonts w:ascii="Courier New" w:cs="Courier New" w:eastAsia="Courier New" w:hAnsi="Courier New"/>
          <w:sz w:val="18"/>
          <w:szCs w:val="18"/>
          <w:color w:val="auto"/>
        </w:rPr>
        <w:t>Signature: /s/</w:t>
      </w:r>
      <w:r>
        <w:rPr>
          <w:sz w:val="20"/>
          <w:szCs w:val="20"/>
          <w:color w:val="auto"/>
        </w:rPr>
        <w:tab/>
      </w:r>
      <w:r>
        <w:rPr>
          <w:rFonts w:ascii="Courier New" w:cs="Courier New" w:eastAsia="Courier New" w:hAnsi="Courier New"/>
          <w:sz w:val="16"/>
          <w:szCs w:val="16"/>
          <w:color w:val="auto"/>
        </w:rPr>
        <w:t>Heung Kyu Kim</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3060"/>
        <w:spacing w:after="0"/>
        <w:rPr>
          <w:sz w:val="20"/>
          <w:szCs w:val="20"/>
          <w:color w:val="auto"/>
        </w:rPr>
      </w:pPr>
      <w:r>
        <w:rPr>
          <w:rFonts w:ascii="Courier New" w:cs="Courier New" w:eastAsia="Courier New" w:hAnsi="Courier New"/>
          <w:sz w:val="18"/>
          <w:szCs w:val="18"/>
          <w:color w:val="auto"/>
        </w:rPr>
        <w:t>Print Name: Heung Kyu Kim</w:t>
      </w:r>
    </w:p>
    <w:sectPr>
      <w:pgSz w:w="11900" w:h="16838" w:orient="portrait"/>
      <w:cols w:equalWidth="0" w:num="1">
        <w:col w:w="10219"/>
      </w:cols>
      <w:pgMar w:left="240" w:top="136" w:right="1440" w:bottom="94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92294" TargetMode="External"/><Relationship Id="rId12"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2019-12-17T15:09:29Z</dcterms:created>
  <dcterms:modified xsi:type="dcterms:W3CDTF">2019-12-17T15:09:29Z</dcterms:modified>
</cp:coreProperties>
</file>