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15</w:t>
      </w:r>
    </w:p>
    <w:p>
      <w:pPr>
        <w:spacing w:after="0" w:line="252"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CERTIFICATION AND NOTICE OF TERMINATION OF REGISTRATION UNDER SECTION 12(g) OF THE SECURITIES EXCHANGEACT OF 1934 OR SUSPENSION OF DUTY TO FILE REPORTS UNDER SECTIONS 13 AND 15(d) OF THE SECURITIES EXCHANGE ACT OF 1934</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Number 333-126019-09</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74, rue de Merl, B.P. 709</w:t>
      </w:r>
    </w:p>
    <w:p>
      <w:pPr>
        <w:spacing w:after="0" w:line="9"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L-2146 Luxembourg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Grand Duchy of Luxembourg</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(352) 45-62-62</w:t>
      </w:r>
    </w:p>
    <w:p>
      <w:pPr>
        <w:spacing w:after="0" w:line="234" w:lineRule="exact"/>
        <w:rPr>
          <w:sz w:val="24"/>
          <w:szCs w:val="24"/>
          <w:color w:val="auto"/>
        </w:rPr>
      </w:pPr>
    </w:p>
    <w:p>
      <w:pPr>
        <w:ind w:left="1600"/>
        <w:spacing w:after="0"/>
        <w:rPr>
          <w:sz w:val="20"/>
          <w:szCs w:val="20"/>
          <w:color w:val="auto"/>
        </w:rPr>
      </w:pPr>
      <w:r>
        <w:rPr>
          <w:rFonts w:ascii="Arial" w:cs="Arial" w:eastAsia="Arial" w:hAnsi="Arial"/>
          <w:sz w:val="18"/>
          <w:szCs w:val="18"/>
          <w:b w:val="1"/>
          <w:bCs w:val="1"/>
          <w:color w:val="auto"/>
        </w:rPr>
        <w:t>See attached Schedule A - Table of Additional Registrants for information regarding additional Registrants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ind w:left="1560"/>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Floating Rate Second Priority Senior Secured Notes due 2011 and Related Guarantees (See Note 1 below)</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 7/8% Second Priority Senior Secured Notes due 2011 and Related Guarantees (See Note 1 below)</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 Senior Subordinated Notes due 2014 and Related Guarantees (See Note 1 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each class of securities covered by this Form)</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9" w:lineRule="exact"/>
        <w:rPr>
          <w:sz w:val="24"/>
          <w:szCs w:val="24"/>
          <w:color w:val="auto"/>
        </w:rPr>
      </w:pPr>
    </w:p>
    <w:p>
      <w:pPr>
        <w:spacing w:after="0"/>
        <w:rPr>
          <w:sz w:val="20"/>
          <w:szCs w:val="20"/>
          <w:color w:val="auto"/>
        </w:rPr>
      </w:pPr>
      <w:r>
        <w:rPr>
          <w:rFonts w:ascii="Arial" w:cs="Arial" w:eastAsia="Arial" w:hAnsi="Arial"/>
          <w:sz w:val="18"/>
          <w:szCs w:val="18"/>
          <w:color w:val="auto"/>
        </w:rPr>
        <w:t>Please place an X in the box(es) to designate the appropriate rule provision(s) relied upon to terminate or suspend the duty to file reports:</w:t>
      </w:r>
    </w:p>
    <w:p>
      <w:pPr>
        <w:spacing w:after="0" w:line="200" w:lineRule="exact"/>
        <w:rPr>
          <w:sz w:val="24"/>
          <w:szCs w:val="24"/>
          <w:color w:val="auto"/>
        </w:rPr>
      </w:pPr>
    </w:p>
    <w:p>
      <w:pPr>
        <w:spacing w:after="0" w:line="295" w:lineRule="exact"/>
        <w:rPr>
          <w:sz w:val="24"/>
          <w:szCs w:val="24"/>
          <w:color w:val="auto"/>
        </w:rPr>
      </w:pPr>
    </w:p>
    <w:tbl>
      <w:tblPr>
        <w:tblLayout w:type="fixed"/>
        <w:tblInd w:w="2300" w:type="dxa"/>
        <w:tblCellMar>
          <w:top w:w="0" w:type="dxa"/>
          <w:left w:w="0" w:type="dxa"/>
          <w:bottom w:w="0" w:type="dxa"/>
          <w:right w:w="0" w:type="dxa"/>
        </w:tblCellMar>
      </w:tblP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Rule 12g-4(a)(1)(i)</w:t>
            </w:r>
          </w:p>
        </w:tc>
        <w:tc>
          <w:tcPr>
            <w:tcW w:w="1080" w:type="dxa"/>
            <w:vAlign w:val="bottom"/>
          </w:tcPr>
          <w:p>
            <w:pPr>
              <w:ind w:left="200"/>
              <w:spacing w:after="0"/>
              <w:rPr>
                <w:sz w:val="20"/>
                <w:szCs w:val="20"/>
                <w:color w:val="auto"/>
              </w:rPr>
            </w:pPr>
            <w:r>
              <w:rPr>
                <w:rFonts w:ascii="Arial" w:cs="Arial" w:eastAsia="Arial" w:hAnsi="Arial"/>
                <w:sz w:val="18"/>
                <w:szCs w:val="18"/>
                <w:color w:val="auto"/>
              </w:rPr>
              <w:t>o</w:t>
            </w:r>
          </w:p>
        </w:tc>
        <w:tc>
          <w:tcPr>
            <w:tcW w:w="2420" w:type="dxa"/>
            <w:vAlign w:val="bottom"/>
          </w:tcPr>
          <w:p>
            <w:pPr>
              <w:ind w:left="780"/>
              <w:spacing w:after="0"/>
              <w:rPr>
                <w:sz w:val="20"/>
                <w:szCs w:val="20"/>
                <w:color w:val="auto"/>
              </w:rPr>
            </w:pPr>
            <w:r>
              <w:rPr>
                <w:rFonts w:ascii="Arial" w:cs="Arial" w:eastAsia="Arial" w:hAnsi="Arial"/>
                <w:sz w:val="18"/>
                <w:szCs w:val="18"/>
                <w:color w:val="auto"/>
              </w:rPr>
              <w:t>Rule 12h-3(b)(1)(i)</w:t>
            </w:r>
          </w:p>
        </w:tc>
        <w:tc>
          <w:tcPr>
            <w:tcW w:w="360" w:type="dxa"/>
            <w:vAlign w:val="bottom"/>
          </w:tcPr>
          <w:p>
            <w:pPr>
              <w:ind w:left="200"/>
              <w:spacing w:after="0"/>
              <w:rPr>
                <w:sz w:val="20"/>
                <w:szCs w:val="20"/>
                <w:color w:val="auto"/>
              </w:rPr>
            </w:pPr>
            <w:r>
              <w:rPr>
                <w:rFonts w:ascii="Arial" w:cs="Arial" w:eastAsia="Arial" w:hAnsi="Arial"/>
                <w:sz w:val="18"/>
                <w:szCs w:val="18"/>
                <w:color w:val="auto"/>
              </w:rPr>
              <w:t>o</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Rule 12g-4(a)(1)(ii)</w:t>
            </w:r>
          </w:p>
        </w:tc>
        <w:tc>
          <w:tcPr>
            <w:tcW w:w="1080" w:type="dxa"/>
            <w:vAlign w:val="bottom"/>
          </w:tcPr>
          <w:p>
            <w:pPr>
              <w:ind w:left="200"/>
              <w:spacing w:after="0"/>
              <w:rPr>
                <w:sz w:val="20"/>
                <w:szCs w:val="20"/>
                <w:color w:val="auto"/>
              </w:rPr>
            </w:pPr>
            <w:r>
              <w:rPr>
                <w:rFonts w:ascii="Arial" w:cs="Arial" w:eastAsia="Arial" w:hAnsi="Arial"/>
                <w:sz w:val="18"/>
                <w:szCs w:val="18"/>
                <w:color w:val="auto"/>
              </w:rPr>
              <w:t>o</w:t>
            </w:r>
          </w:p>
        </w:tc>
        <w:tc>
          <w:tcPr>
            <w:tcW w:w="2420" w:type="dxa"/>
            <w:vAlign w:val="bottom"/>
          </w:tcPr>
          <w:p>
            <w:pPr>
              <w:ind w:left="780"/>
              <w:spacing w:after="0"/>
              <w:rPr>
                <w:sz w:val="20"/>
                <w:szCs w:val="20"/>
                <w:color w:val="auto"/>
              </w:rPr>
            </w:pPr>
            <w:r>
              <w:rPr>
                <w:rFonts w:ascii="Arial" w:cs="Arial" w:eastAsia="Arial" w:hAnsi="Arial"/>
                <w:sz w:val="18"/>
                <w:szCs w:val="18"/>
                <w:color w:val="auto"/>
              </w:rPr>
              <w:t>Rule 12h-3(b)(1)(ii)</w:t>
            </w:r>
          </w:p>
        </w:tc>
        <w:tc>
          <w:tcPr>
            <w:tcW w:w="360" w:type="dxa"/>
            <w:vAlign w:val="bottom"/>
          </w:tcPr>
          <w:p>
            <w:pPr>
              <w:ind w:left="200"/>
              <w:spacing w:after="0"/>
              <w:rPr>
                <w:sz w:val="20"/>
                <w:szCs w:val="20"/>
                <w:color w:val="auto"/>
              </w:rPr>
            </w:pPr>
            <w:r>
              <w:rPr>
                <w:rFonts w:ascii="Arial" w:cs="Arial" w:eastAsia="Arial" w:hAnsi="Arial"/>
                <w:sz w:val="18"/>
                <w:szCs w:val="18"/>
                <w:color w:val="auto"/>
              </w:rPr>
              <w:t>o</w:t>
            </w:r>
          </w:p>
        </w:tc>
      </w:t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Rule 12g-4(a)(2)(i)</w:t>
            </w:r>
          </w:p>
        </w:tc>
        <w:tc>
          <w:tcPr>
            <w:tcW w:w="1080" w:type="dxa"/>
            <w:vAlign w:val="bottom"/>
          </w:tcPr>
          <w:p>
            <w:pPr>
              <w:ind w:left="200"/>
              <w:spacing w:after="0"/>
              <w:rPr>
                <w:sz w:val="20"/>
                <w:szCs w:val="20"/>
                <w:color w:val="auto"/>
              </w:rPr>
            </w:pPr>
            <w:r>
              <w:rPr>
                <w:rFonts w:ascii="Arial" w:cs="Arial" w:eastAsia="Arial" w:hAnsi="Arial"/>
                <w:sz w:val="18"/>
                <w:szCs w:val="18"/>
                <w:color w:val="auto"/>
              </w:rPr>
              <w:t>o</w:t>
            </w:r>
          </w:p>
        </w:tc>
        <w:tc>
          <w:tcPr>
            <w:tcW w:w="2420" w:type="dxa"/>
            <w:vAlign w:val="bottom"/>
          </w:tcPr>
          <w:p>
            <w:pPr>
              <w:ind w:left="780"/>
              <w:spacing w:after="0"/>
              <w:rPr>
                <w:sz w:val="20"/>
                <w:szCs w:val="20"/>
                <w:color w:val="auto"/>
              </w:rPr>
            </w:pPr>
            <w:r>
              <w:rPr>
                <w:rFonts w:ascii="Arial" w:cs="Arial" w:eastAsia="Arial" w:hAnsi="Arial"/>
                <w:sz w:val="18"/>
                <w:szCs w:val="18"/>
                <w:color w:val="auto"/>
              </w:rPr>
              <w:t>Rule 12h-3(b)(2)(i)</w:t>
            </w:r>
          </w:p>
        </w:tc>
        <w:tc>
          <w:tcPr>
            <w:tcW w:w="360" w:type="dxa"/>
            <w:vAlign w:val="bottom"/>
          </w:tcPr>
          <w:p>
            <w:pPr>
              <w:ind w:left="200"/>
              <w:spacing w:after="0"/>
              <w:rPr>
                <w:sz w:val="20"/>
                <w:szCs w:val="20"/>
                <w:color w:val="auto"/>
              </w:rPr>
            </w:pPr>
            <w:r>
              <w:rPr>
                <w:rFonts w:ascii="Arial" w:cs="Arial" w:eastAsia="Arial" w:hAnsi="Arial"/>
                <w:sz w:val="18"/>
                <w:szCs w:val="18"/>
                <w:color w:val="auto"/>
              </w:rPr>
              <w:t>o</w:t>
            </w:r>
          </w:p>
        </w:tc>
      </w:tr>
      <w:tr>
        <w:trPr>
          <w:trHeight w:val="412"/>
        </w:trPr>
        <w:tc>
          <w:tcPr>
            <w:tcW w:w="1620" w:type="dxa"/>
            <w:vAlign w:val="bottom"/>
          </w:tcPr>
          <w:p>
            <w:pPr>
              <w:spacing w:after="0"/>
              <w:rPr>
                <w:sz w:val="20"/>
                <w:szCs w:val="20"/>
                <w:color w:val="auto"/>
              </w:rPr>
            </w:pPr>
            <w:r>
              <w:rPr>
                <w:rFonts w:ascii="Arial" w:cs="Arial" w:eastAsia="Arial" w:hAnsi="Arial"/>
                <w:sz w:val="18"/>
                <w:szCs w:val="18"/>
                <w:color w:val="auto"/>
              </w:rPr>
              <w:t>Rule 12g-4(a)(2)(ii)</w:t>
            </w:r>
          </w:p>
        </w:tc>
        <w:tc>
          <w:tcPr>
            <w:tcW w:w="1080" w:type="dxa"/>
            <w:vAlign w:val="bottom"/>
          </w:tcPr>
          <w:p>
            <w:pPr>
              <w:ind w:left="200"/>
              <w:spacing w:after="0"/>
              <w:rPr>
                <w:sz w:val="20"/>
                <w:szCs w:val="20"/>
                <w:color w:val="auto"/>
              </w:rPr>
            </w:pPr>
            <w:r>
              <w:rPr>
                <w:rFonts w:ascii="Arial" w:cs="Arial" w:eastAsia="Arial" w:hAnsi="Arial"/>
                <w:sz w:val="18"/>
                <w:szCs w:val="18"/>
                <w:color w:val="auto"/>
              </w:rPr>
              <w:t>o</w:t>
            </w:r>
          </w:p>
        </w:tc>
        <w:tc>
          <w:tcPr>
            <w:tcW w:w="2420" w:type="dxa"/>
            <w:vAlign w:val="bottom"/>
          </w:tcPr>
          <w:p>
            <w:pPr>
              <w:ind w:left="780"/>
              <w:spacing w:after="0"/>
              <w:rPr>
                <w:sz w:val="20"/>
                <w:szCs w:val="20"/>
                <w:color w:val="auto"/>
              </w:rPr>
            </w:pPr>
            <w:r>
              <w:rPr>
                <w:rFonts w:ascii="Arial" w:cs="Arial" w:eastAsia="Arial" w:hAnsi="Arial"/>
                <w:sz w:val="18"/>
                <w:szCs w:val="18"/>
                <w:color w:val="auto"/>
              </w:rPr>
              <w:t>Rule 12h-3(b)(2)(ii)</w:t>
            </w:r>
          </w:p>
        </w:tc>
        <w:tc>
          <w:tcPr>
            <w:tcW w:w="360" w:type="dxa"/>
            <w:vAlign w:val="bottom"/>
          </w:tcPr>
          <w:p>
            <w:pPr>
              <w:ind w:left="200"/>
              <w:spacing w:after="0"/>
              <w:rPr>
                <w:sz w:val="20"/>
                <w:szCs w:val="20"/>
                <w:color w:val="auto"/>
              </w:rPr>
            </w:pPr>
            <w:r>
              <w:rPr>
                <w:rFonts w:ascii="Arial" w:cs="Arial" w:eastAsia="Arial" w:hAnsi="Arial"/>
                <w:sz w:val="18"/>
                <w:szCs w:val="18"/>
                <w:color w:val="auto"/>
              </w:rPr>
              <w:t>o</w:t>
            </w:r>
          </w:p>
        </w:tc>
      </w:tr>
      <w:tr>
        <w:trPr>
          <w:trHeight w:val="283"/>
        </w:trPr>
        <w:tc>
          <w:tcPr>
            <w:tcW w:w="1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20" w:type="dxa"/>
            <w:vAlign w:val="bottom"/>
          </w:tcPr>
          <w:p>
            <w:pPr>
              <w:ind w:left="780"/>
              <w:spacing w:after="0"/>
              <w:rPr>
                <w:sz w:val="20"/>
                <w:szCs w:val="20"/>
                <w:color w:val="auto"/>
              </w:rPr>
            </w:pPr>
            <w:r>
              <w:rPr>
                <w:rFonts w:ascii="Arial" w:cs="Arial" w:eastAsia="Arial" w:hAnsi="Arial"/>
                <w:sz w:val="18"/>
                <w:szCs w:val="18"/>
                <w:color w:val="auto"/>
              </w:rPr>
              <w:t>Rule 15d-6</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Approximate number of holders of record as of the certification or notice date: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Approximately 20 holders of record of Floating Rate Second Priority Senior Secured Notes due 2011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Approximately 37 holders of record of 6 7/8% Second Priority Senior Secured Notes due 2011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Approximately 51 holders of record of 8% Senior Subordinated Notes due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ind w:right="60"/>
        <w:spacing w:after="0" w:line="283" w:lineRule="auto"/>
        <w:rPr>
          <w:sz w:val="20"/>
          <w:szCs w:val="20"/>
          <w:color w:val="auto"/>
        </w:rPr>
      </w:pPr>
      <w:r>
        <w:rPr>
          <w:rFonts w:ascii="Arial" w:cs="Arial" w:eastAsia="Arial" w:hAnsi="Arial"/>
          <w:sz w:val="16"/>
          <w:szCs w:val="16"/>
          <w:color w:val="auto"/>
        </w:rPr>
        <w:t>Note 1: On December 23, 2004, MagnaChip Semiconductor LLC (“</w:t>
      </w:r>
      <w:r>
        <w:rPr>
          <w:rFonts w:ascii="Arial" w:cs="Arial" w:eastAsia="Arial" w:hAnsi="Arial"/>
          <w:sz w:val="16"/>
          <w:szCs w:val="16"/>
          <w:u w:val="single" w:color="auto"/>
          <w:color w:val="auto"/>
        </w:rPr>
        <w:t>MagnaChip</w:t>
      </w:r>
      <w:r>
        <w:rPr>
          <w:rFonts w:ascii="Arial" w:cs="Arial" w:eastAsia="Arial" w:hAnsi="Arial"/>
          <w:sz w:val="16"/>
          <w:szCs w:val="16"/>
          <w:color w:val="auto"/>
        </w:rPr>
        <w:t>”) subsidiaries, MagnaChip Semiconductor S.A. and MagnaChip Semiconductor Finance Company (the “</w:t>
      </w:r>
      <w:r>
        <w:rPr>
          <w:rFonts w:ascii="Arial" w:cs="Arial" w:eastAsia="Arial" w:hAnsi="Arial"/>
          <w:sz w:val="16"/>
          <w:szCs w:val="16"/>
          <w:u w:val="single" w:color="auto"/>
          <w:color w:val="auto"/>
        </w:rPr>
        <w:t>Borrowers</w:t>
      </w:r>
      <w:r>
        <w:rPr>
          <w:rFonts w:ascii="Arial" w:cs="Arial" w:eastAsia="Arial" w:hAnsi="Arial"/>
          <w:sz w:val="16"/>
          <w:szCs w:val="16"/>
          <w:color w:val="auto"/>
        </w:rPr>
        <w:t>”), sold (and MagnaChip and certain of its subsidiaries guaranteed) $300 million in aggregate principal amount of floating rate second priority senior secured notes due 2011, $200 million in aggregate principal amount of 6 7/8% second priority senior secured notes due 2011 and $250 million in aggregate principal amount of 8% senior subordinated notes due 2014 (collectively, the “</w:t>
      </w:r>
      <w:r>
        <w:rPr>
          <w:rFonts w:ascii="Arial" w:cs="Arial" w:eastAsia="Arial" w:hAnsi="Arial"/>
          <w:sz w:val="16"/>
          <w:szCs w:val="16"/>
          <w:u w:val="single" w:color="auto"/>
          <w:color w:val="auto"/>
        </w:rPr>
        <w:t>Original Notes</w:t>
      </w:r>
      <w:r>
        <w:rPr>
          <w:rFonts w:ascii="Arial" w:cs="Arial" w:eastAsia="Arial" w:hAnsi="Arial"/>
          <w:sz w:val="16"/>
          <w:szCs w:val="16"/>
          <w:color w:val="auto"/>
        </w:rPr>
        <w:t>”). The Borrowers exchanged all of the Original Notes for identical notes (the “</w:t>
      </w:r>
      <w:r>
        <w:rPr>
          <w:rFonts w:ascii="Arial" w:cs="Arial" w:eastAsia="Arial" w:hAnsi="Arial"/>
          <w:sz w:val="16"/>
          <w:szCs w:val="16"/>
          <w:u w:val="single" w:color="auto"/>
          <w:color w:val="auto"/>
        </w:rPr>
        <w:t>New Notes</w:t>
      </w:r>
      <w:r>
        <w:rPr>
          <w:rFonts w:ascii="Arial" w:cs="Arial" w:eastAsia="Arial" w:hAnsi="Arial"/>
          <w:sz w:val="16"/>
          <w:szCs w:val="16"/>
          <w:color w:val="auto"/>
        </w:rPr>
        <w:t>”) registered under the Securities Act of 1933, as amended, pursuant to a Registration Statement on Form S-4 declared effective by the Securities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on July 20, 2005. Pursuant to Section 15(d)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the duty of the registrants to file reports under Section 13 of the Exchange Act was suspended commencing with the fiscal year beginning January 1, 2006, because the New Notes were held of record by less than 300 persons as of that date. The duty to file such reports continued to be suspended on the first day of the fiscal years beginning January 1, 2007, January 1, 2008 and January 1, 2009 for the same reasons. MagnaChip nevertheless continued to file Exchange Act reports with the Securities and Exchange Commission (the “</w:t>
      </w:r>
      <w:r>
        <w:rPr>
          <w:rFonts w:ascii="Arial" w:cs="Arial" w:eastAsia="Arial" w:hAnsi="Arial"/>
          <w:sz w:val="16"/>
          <w:szCs w:val="16"/>
          <w:u w:val="single" w:color="auto"/>
          <w:color w:val="auto"/>
        </w:rPr>
        <w:t>Commission</w:t>
      </w:r>
      <w:r>
        <w:rPr>
          <w:rFonts w:ascii="Arial" w:cs="Arial" w:eastAsia="Arial" w:hAnsi="Arial"/>
          <w:sz w:val="16"/>
          <w:szCs w:val="16"/>
          <w:color w:val="auto"/>
        </w:rPr>
        <w:t>”) until December 2008 on a voluntary basis pursuant to the terms of certain indentures, which required MagnaChip to make such</w:t>
      </w:r>
    </w:p>
    <w:p>
      <w:pPr>
        <w:spacing w:after="0" w:line="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filings. MagnaChip is filing this Form 15 to provide notice of the statutory suspension of its filing obligation. (As confirmed by guidance published by the Commission staff, the automatic suspension is granted by statute and is not contingent upon the filing of this Form 15, whether within 30 days after the beginning of the first fiscal year as set forth in Rule 15d-6 or otherwise.)</w:t>
      </w:r>
    </w:p>
    <w:p>
      <w:pPr>
        <w:spacing w:after="0" w:line="2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MagnaChip Semiconductor LLC has caused this certification/notice to be signed on its behalf by the undersigned duly authorized person.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MAGNACHIP SEMICONDUCTOR LLC and EACH OF THE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ADDITIONAL REGISTRANTS LISTED ON SCHEDULED A ATTACHED</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HERETO</w:t>
      </w:r>
    </w:p>
    <w:p>
      <w:pPr>
        <w:spacing w:after="0" w:line="21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John T. McFarland</w:t>
      </w:r>
    </w:p>
    <w:p>
      <w:pPr>
        <w:spacing w:after="0" w:line="23" w:lineRule="exact"/>
        <w:rPr>
          <w:sz w:val="20"/>
          <w:szCs w:val="20"/>
          <w:color w:val="auto"/>
        </w:rPr>
      </w:pPr>
    </w:p>
    <w:p>
      <w:pPr>
        <w:spacing w:after="0"/>
        <w:tabs>
          <w:tab w:leader="none" w:pos="6020" w:val="left"/>
        </w:tabs>
        <w:rPr>
          <w:sz w:val="20"/>
          <w:szCs w:val="20"/>
          <w:color w:val="auto"/>
        </w:rPr>
      </w:pPr>
      <w:r>
        <w:rPr>
          <w:rFonts w:ascii="Arial" w:cs="Arial" w:eastAsia="Arial" w:hAnsi="Arial"/>
          <w:sz w:val="18"/>
          <w:szCs w:val="18"/>
          <w:color w:val="auto"/>
        </w:rPr>
        <w:t>DATE: November 6, 2009</w:t>
      </w:r>
      <w:r>
        <w:rPr>
          <w:sz w:val="20"/>
          <w:szCs w:val="20"/>
          <w:color w:val="auto"/>
        </w:rPr>
        <w:tab/>
      </w:r>
      <w:r>
        <w:rPr>
          <w:rFonts w:ascii="Arial" w:cs="Arial" w:eastAsia="Arial" w:hAnsi="Arial"/>
          <w:sz w:val="16"/>
          <w:szCs w:val="16"/>
          <w:color w:val="auto"/>
        </w:rPr>
        <w:t>Name: John T. McFarland, Esq.</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 Senior Vice President, 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843915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68"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SCHEDULE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Additional Registrants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5807075</wp:posOffset>
            </wp:positionH>
            <wp:positionV relativeFrom="paragraph">
              <wp:posOffset>313690</wp:posOffset>
            </wp:positionV>
            <wp:extent cx="1457325"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57325" cy="1885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636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Exact Name of Additional Registrants (1)</w:t>
            </w:r>
          </w:p>
        </w:tc>
        <w:tc>
          <w:tcPr>
            <w:tcW w:w="2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Jurisdiction of Incorporation</w:t>
            </w:r>
          </w:p>
        </w:tc>
        <w:tc>
          <w:tcPr>
            <w:tcW w:w="2240" w:type="dxa"/>
            <w:vAlign w:val="bottom"/>
          </w:tcPr>
          <w:p>
            <w:pPr>
              <w:ind w:left="120"/>
              <w:spacing w:after="0"/>
              <w:rPr>
                <w:sz w:val="20"/>
                <w:szCs w:val="20"/>
                <w:color w:val="auto"/>
              </w:rPr>
            </w:pPr>
            <w:r>
              <w:rPr>
                <w:rFonts w:ascii="Arial" w:cs="Arial" w:eastAsia="Arial" w:hAnsi="Arial"/>
                <w:sz w:val="18"/>
                <w:szCs w:val="18"/>
                <w:b w:val="1"/>
                <w:bCs w:val="1"/>
                <w:color w:val="auto"/>
                <w:w w:val="95"/>
              </w:rPr>
              <w:t>Commission File Number</w:t>
            </w:r>
          </w:p>
        </w:tc>
      </w:tr>
      <w:tr>
        <w:trPr>
          <w:trHeight w:val="223"/>
        </w:trPr>
        <w:tc>
          <w:tcPr>
            <w:tcW w:w="6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MagnaChip Semiconductor S.A.</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Luxembourg</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333-126019</w:t>
            </w:r>
          </w:p>
        </w:tc>
      </w:tr>
      <w:tr>
        <w:trPr>
          <w:trHeight w:val="223"/>
        </w:trPr>
        <w:tc>
          <w:tcPr>
            <w:tcW w:w="6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MagnaChip Semiconductor Finance Company</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333-126019-10</w:t>
            </w:r>
          </w:p>
        </w:tc>
      </w:tr>
      <w:tr>
        <w:trPr>
          <w:trHeight w:val="223"/>
        </w:trPr>
        <w:tc>
          <w:tcPr>
            <w:tcW w:w="6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MagnaChip Semiconductor B.V.</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The Netherlands</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333-126019-08</w:t>
            </w:r>
          </w:p>
        </w:tc>
      </w:tr>
      <w:tr>
        <w:trPr>
          <w:trHeight w:val="223"/>
        </w:trPr>
        <w:tc>
          <w:tcPr>
            <w:tcW w:w="6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MagnaChip Semiconductor, Ltd.</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Korea</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333-126019-07</w:t>
            </w:r>
          </w:p>
        </w:tc>
      </w:tr>
      <w:tr>
        <w:trPr>
          <w:trHeight w:val="223"/>
        </w:trPr>
        <w:tc>
          <w:tcPr>
            <w:tcW w:w="6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MagnaChip Semiconductor, Inc.</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California</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333-126019-15</w:t>
            </w:r>
          </w:p>
        </w:tc>
      </w:tr>
      <w:tr>
        <w:trPr>
          <w:trHeight w:val="223"/>
        </w:trPr>
        <w:tc>
          <w:tcPr>
            <w:tcW w:w="6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MagnaChip Semiconductor SA Holdings LLC</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333-126019-05</w:t>
            </w:r>
          </w:p>
        </w:tc>
      </w:tr>
      <w:tr>
        <w:trPr>
          <w:trHeight w:val="223"/>
        </w:trPr>
        <w:tc>
          <w:tcPr>
            <w:tcW w:w="6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MagnaChip Semiconductor Ltd.</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United Kingdom</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333-126019-04</w:t>
            </w:r>
          </w:p>
        </w:tc>
      </w:tr>
      <w:tr>
        <w:trPr>
          <w:trHeight w:val="223"/>
        </w:trPr>
        <w:tc>
          <w:tcPr>
            <w:tcW w:w="6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MagnaChip Semiconductor Ltd.</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Taiwan</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333-126019-03</w:t>
            </w:r>
          </w:p>
        </w:tc>
      </w:tr>
      <w:tr>
        <w:trPr>
          <w:trHeight w:val="223"/>
        </w:trPr>
        <w:tc>
          <w:tcPr>
            <w:tcW w:w="6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MagnaChip Semiconductor Ltd.</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Hong Kong</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333-126019-02</w:t>
            </w:r>
          </w:p>
        </w:tc>
      </w:tr>
      <w:tr>
        <w:trPr>
          <w:trHeight w:val="223"/>
        </w:trPr>
        <w:tc>
          <w:tcPr>
            <w:tcW w:w="6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MagnaChip Semiconductor Inc.</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1"/>
              </w:rPr>
              <w:t>Japan</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333-126019-16</w:t>
            </w:r>
          </w:p>
        </w:tc>
      </w:tr>
      <w:tr>
        <w:trPr>
          <w:trHeight w:val="223"/>
        </w:trPr>
        <w:tc>
          <w:tcPr>
            <w:tcW w:w="6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MagnaChip Semiconductor Holding Company Limited</w:t>
            </w: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British Virgin Islands</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333-126019-13</w:t>
            </w:r>
          </w:p>
        </w:tc>
      </w:tr>
    </w:tbl>
    <w:p>
      <w:pPr>
        <w:ind w:right="500" w:firstLine="8"/>
        <w:spacing w:after="0" w:line="261" w:lineRule="auto"/>
        <w:tabs>
          <w:tab w:leader="none" w:pos="25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address of each Additional Registrant is c/o MagnaChip Semiconductor S.A., 74, rue de Merl, B.P. 709, L-2146 Luxembourg, Grand Duchy of Luxembourg, and the telephone number is (352) 45-62-62.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2019-12-17T07:22:22Z</dcterms:created>
  <dcterms:modified xsi:type="dcterms:W3CDTF">2019-12-17T07:22:22Z</dcterms:modified>
</cp:coreProperties>
</file>