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2">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0"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239"/>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10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ind w:left="4160" w:right="3900" w:hanging="4152"/>
        <w:spacing w:after="0" w:line="488" w:lineRule="auto"/>
        <w:tabs>
          <w:tab w:leader="none" w:pos="460" w:val="left"/>
        </w:tabs>
        <w:numPr>
          <w:ilvl w:val="0"/>
          <w:numId w:val="1"/>
        </w:numPr>
        <w:rPr>
          <w:rFonts w:ascii="MS PGothic" w:cs="MS PGothic" w:eastAsia="MS PGothic" w:hAnsi="MS PGothic"/>
          <w:sz w:val="16"/>
          <w:szCs w:val="16"/>
          <w:color w:val="auto"/>
          <w:highlight w:val="black"/>
        </w:rPr>
      </w:pPr>
      <w:r>
        <w:rPr>
          <w:rFonts w:ascii="Arial" w:cs="Arial" w:eastAsia="Arial" w:hAnsi="Arial"/>
          <w:sz w:val="16"/>
          <w:szCs w:val="16"/>
          <w:b w:val="1"/>
          <w:bCs w:val="1"/>
          <w:color w:val="auto"/>
        </w:rPr>
        <w:t xml:space="preserve">Quarterly Report Pursuant to Section 13 or 15(d) of the Securities Exchange Act of 1934 </w:t>
      </w:r>
      <w:r>
        <w:rPr>
          <w:rFonts w:ascii="Arial" w:cs="Arial" w:eastAsia="Arial" w:hAnsi="Arial"/>
          <w:sz w:val="16"/>
          <w:szCs w:val="16"/>
          <w:color w:val="auto"/>
        </w:rPr>
        <w:t>For the quarterly period ended April 2, 2006</w:t>
      </w:r>
    </w:p>
    <w:p>
      <w:pPr>
        <w:ind w:left="5640"/>
        <w:spacing w:after="0"/>
        <w:rPr>
          <w:rFonts w:ascii="MS PGothic" w:cs="MS PGothic" w:eastAsia="MS PGothic" w:hAnsi="MS PGothic"/>
          <w:sz w:val="16"/>
          <w:szCs w:val="16"/>
          <w:color w:val="auto"/>
          <w:highlight w:val="black"/>
        </w:rPr>
      </w:pPr>
      <w:r>
        <w:rPr>
          <w:rFonts w:ascii="Arial" w:cs="Arial" w:eastAsia="Arial" w:hAnsi="Arial"/>
          <w:sz w:val="18"/>
          <w:szCs w:val="18"/>
          <w:color w:val="auto"/>
        </w:rPr>
        <w:t>or</w:t>
      </w:r>
    </w:p>
    <w:p>
      <w:pPr>
        <w:spacing w:after="0" w:line="206"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177" w:lineRule="exact"/>
        <w:rPr>
          <w:sz w:val="24"/>
          <w:szCs w:val="24"/>
          <w:color w:val="auto"/>
        </w:rPr>
      </w:pPr>
    </w:p>
    <w:p>
      <w:pPr>
        <w:ind w:left="3640"/>
        <w:spacing w:after="0"/>
        <w:tabs>
          <w:tab w:leader="none" w:pos="6660" w:val="left"/>
          <w:tab w:leader="none" w:pos="7720" w:val="left"/>
        </w:tabs>
        <w:rPr>
          <w:sz w:val="20"/>
          <w:szCs w:val="20"/>
          <w:color w:val="auto"/>
        </w:rPr>
      </w:pPr>
      <w:r>
        <w:rPr>
          <w:rFonts w:ascii="Arial" w:cs="Arial" w:eastAsia="Arial" w:hAnsi="Arial"/>
          <w:sz w:val="18"/>
          <w:szCs w:val="18"/>
          <w:color w:val="auto"/>
        </w:rPr>
        <w:t>For the transition period from</w:t>
      </w:r>
      <w:r>
        <w:rPr>
          <w:sz w:val="20"/>
          <w:szCs w:val="20"/>
          <w:color w:val="auto"/>
        </w:rPr>
        <w:tab/>
      </w:r>
      <w:r>
        <w:rPr>
          <w:rFonts w:ascii="Arial" w:cs="Arial" w:eastAsia="Arial" w:hAnsi="Arial"/>
          <w:sz w:val="18"/>
          <w:szCs w:val="18"/>
          <w:color w:val="auto"/>
        </w:rPr>
        <w:t>to</w:t>
      </w:r>
      <w:r>
        <w:rPr>
          <w:sz w:val="20"/>
          <w:szCs w:val="20"/>
          <w:color w:val="auto"/>
        </w:rPr>
        <w:tab/>
      </w:r>
      <w:r>
        <w:rPr>
          <w:rFonts w:ascii="Arial" w:cs="Arial" w:eastAsia="Arial" w:hAnsi="Arial"/>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3662045</wp:posOffset>
            </wp:positionH>
            <wp:positionV relativeFrom="paragraph">
              <wp:posOffset>-13970</wp:posOffset>
            </wp:positionV>
            <wp:extent cx="12573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57300" cy="8890"/>
                    </a:xfrm>
                    <a:prstGeom prst="rect">
                      <a:avLst/>
                    </a:prstGeom>
                    <a:noFill/>
                  </pic:spPr>
                </pic:pic>
              </a:graphicData>
            </a:graphic>
          </wp:anchor>
        </w:drawing>
      </w:r>
    </w:p>
    <w:p>
      <w:pPr>
        <w:spacing w:after="0" w:line="151" w:lineRule="exact"/>
        <w:rPr>
          <w:sz w:val="24"/>
          <w:szCs w:val="24"/>
          <w:color w:val="auto"/>
        </w:rPr>
      </w:pPr>
    </w:p>
    <w:p>
      <w:pPr>
        <w:jc w:val="center"/>
        <w:ind w:right="-239"/>
        <w:spacing w:after="0"/>
        <w:rPr>
          <w:sz w:val="20"/>
          <w:szCs w:val="20"/>
          <w:color w:val="auto"/>
        </w:rPr>
      </w:pPr>
      <w:r>
        <w:rPr>
          <w:rFonts w:ascii="Arial" w:cs="Arial" w:eastAsia="Arial" w:hAnsi="Arial"/>
          <w:sz w:val="18"/>
          <w:szCs w:val="18"/>
          <w:color w:val="auto"/>
        </w:rPr>
        <w:t>Commission file number 333-126019-09</w:t>
      </w:r>
    </w:p>
    <w:p>
      <w:pPr>
        <w:spacing w:after="0" w:line="136"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MAGNACHIP SEMICONDUCTOR LLC</w:t>
      </w:r>
    </w:p>
    <w:p>
      <w:pPr>
        <w:spacing w:after="0" w:line="5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192" w:lineRule="exact"/>
        <w:rPr>
          <w:sz w:val="24"/>
          <w:szCs w:val="24"/>
          <w:color w:val="auto"/>
        </w:rPr>
      </w:pPr>
    </w:p>
    <w:tbl>
      <w:tblPr>
        <w:tblLayout w:type="fixed"/>
        <w:tblInd w:w="1220" w:type="dxa"/>
        <w:tblCellMar>
          <w:top w:w="0" w:type="dxa"/>
          <w:left w:w="0" w:type="dxa"/>
          <w:bottom w:w="0" w:type="dxa"/>
          <w:right w:w="0" w:type="dxa"/>
        </w:tblCellMar>
      </w:tblPr>
      <w:tr>
        <w:trPr>
          <w:trHeight w:val="218"/>
        </w:trPr>
        <w:tc>
          <w:tcPr>
            <w:tcW w:w="4860" w:type="dxa"/>
            <w:vAlign w:val="bottom"/>
          </w:tcPr>
          <w:p>
            <w:pPr>
              <w:jc w:val="center"/>
              <w:ind w:right="1481"/>
              <w:spacing w:after="0"/>
              <w:rPr>
                <w:sz w:val="20"/>
                <w:szCs w:val="20"/>
                <w:color w:val="auto"/>
              </w:rPr>
            </w:pPr>
            <w:r>
              <w:rPr>
                <w:rFonts w:ascii="Arial" w:cs="Arial" w:eastAsia="Arial" w:hAnsi="Arial"/>
                <w:sz w:val="18"/>
                <w:szCs w:val="18"/>
                <w:b w:val="1"/>
                <w:bCs w:val="1"/>
                <w:color w:val="auto"/>
                <w:w w:val="88"/>
              </w:rPr>
              <w:t>Delaware</w:t>
            </w:r>
          </w:p>
        </w:tc>
        <w:tc>
          <w:tcPr>
            <w:tcW w:w="3640" w:type="dxa"/>
            <w:vAlign w:val="bottom"/>
          </w:tcPr>
          <w:p>
            <w:pPr>
              <w:jc w:val="center"/>
              <w:ind w:left="1482"/>
              <w:spacing w:after="0"/>
              <w:rPr>
                <w:sz w:val="20"/>
                <w:szCs w:val="20"/>
                <w:color w:val="auto"/>
              </w:rPr>
            </w:pPr>
            <w:r>
              <w:rPr>
                <w:rFonts w:ascii="Arial" w:cs="Arial" w:eastAsia="Arial" w:hAnsi="Arial"/>
                <w:sz w:val="18"/>
                <w:szCs w:val="18"/>
                <w:b w:val="1"/>
                <w:bCs w:val="1"/>
                <w:color w:val="auto"/>
                <w:w w:val="87"/>
              </w:rPr>
              <w:t>83-0406195</w:t>
            </w:r>
          </w:p>
        </w:tc>
      </w:tr>
      <w:tr>
        <w:trPr>
          <w:trHeight w:val="149"/>
        </w:trPr>
        <w:tc>
          <w:tcPr>
            <w:tcW w:w="4860" w:type="dxa"/>
            <w:vAlign w:val="bottom"/>
          </w:tcPr>
          <w:p>
            <w:pPr>
              <w:jc w:val="center"/>
              <w:ind w:right="1501"/>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640" w:type="dxa"/>
            <w:vAlign w:val="bottom"/>
          </w:tcPr>
          <w:p>
            <w:pPr>
              <w:jc w:val="center"/>
              <w:ind w:left="1502"/>
              <w:spacing w:after="0" w:line="149" w:lineRule="exact"/>
              <w:rPr>
                <w:sz w:val="20"/>
                <w:szCs w:val="20"/>
                <w:color w:val="auto"/>
              </w:rPr>
            </w:pPr>
            <w:r>
              <w:rPr>
                <w:rFonts w:ascii="Arial" w:cs="Arial" w:eastAsia="Arial" w:hAnsi="Arial"/>
                <w:sz w:val="14"/>
                <w:szCs w:val="14"/>
                <w:b w:val="1"/>
                <w:bCs w:val="1"/>
                <w:color w:val="auto"/>
                <w:w w:val="89"/>
              </w:rPr>
              <w:t>(I.R.S. Employer Identification No.)</w:t>
            </w:r>
          </w:p>
        </w:tc>
      </w:tr>
      <w:tr>
        <w:trPr>
          <w:trHeight w:val="174"/>
        </w:trPr>
        <w:tc>
          <w:tcPr>
            <w:tcW w:w="4860" w:type="dxa"/>
            <w:vAlign w:val="bottom"/>
          </w:tcPr>
          <w:p>
            <w:pPr>
              <w:jc w:val="center"/>
              <w:ind w:right="1501"/>
              <w:spacing w:after="0"/>
              <w:rPr>
                <w:sz w:val="20"/>
                <w:szCs w:val="20"/>
                <w:color w:val="auto"/>
              </w:rPr>
            </w:pPr>
            <w:r>
              <w:rPr>
                <w:rFonts w:ascii="Arial" w:cs="Arial" w:eastAsia="Arial" w:hAnsi="Arial"/>
                <w:sz w:val="14"/>
                <w:szCs w:val="14"/>
                <w:b w:val="1"/>
                <w:bCs w:val="1"/>
                <w:color w:val="auto"/>
                <w:w w:val="88"/>
              </w:rPr>
              <w:t>incorporation or organization)</w:t>
            </w:r>
          </w:p>
        </w:tc>
        <w:tc>
          <w:tcPr>
            <w:tcW w:w="3640" w:type="dxa"/>
            <w:vAlign w:val="bottom"/>
          </w:tcPr>
          <w:p>
            <w:pPr>
              <w:spacing w:after="0"/>
              <w:rPr>
                <w:sz w:val="15"/>
                <w:szCs w:val="15"/>
                <w:color w:val="auto"/>
              </w:rPr>
            </w:pPr>
          </w:p>
        </w:tc>
      </w:tr>
      <w:tr>
        <w:trPr>
          <w:trHeight w:val="418"/>
        </w:trPr>
        <w:tc>
          <w:tcPr>
            <w:tcW w:w="4860" w:type="dxa"/>
            <w:vAlign w:val="bottom"/>
          </w:tcPr>
          <w:p>
            <w:pPr>
              <w:jc w:val="center"/>
              <w:ind w:right="1501"/>
              <w:spacing w:after="0"/>
              <w:rPr>
                <w:sz w:val="20"/>
                <w:szCs w:val="20"/>
                <w:color w:val="auto"/>
              </w:rPr>
            </w:pPr>
            <w:r>
              <w:rPr>
                <w:rFonts w:ascii="Arial" w:cs="Arial" w:eastAsia="Arial" w:hAnsi="Arial"/>
                <w:sz w:val="18"/>
                <w:szCs w:val="18"/>
                <w:b w:val="1"/>
                <w:bCs w:val="1"/>
                <w:color w:val="auto"/>
                <w:w w:val="88"/>
              </w:rPr>
              <w:t>c/o MagnaChip Semiconductor S.A.</w:t>
            </w:r>
          </w:p>
        </w:tc>
        <w:tc>
          <w:tcPr>
            <w:tcW w:w="3640" w:type="dxa"/>
            <w:vAlign w:val="bottom"/>
          </w:tcPr>
          <w:p>
            <w:pPr>
              <w:spacing w:after="0"/>
              <w:rPr>
                <w:sz w:val="24"/>
                <w:szCs w:val="24"/>
                <w:color w:val="auto"/>
              </w:rPr>
            </w:pPr>
          </w:p>
        </w:tc>
      </w:tr>
      <w:tr>
        <w:trPr>
          <w:trHeight w:val="216"/>
        </w:trPr>
        <w:tc>
          <w:tcPr>
            <w:tcW w:w="4860" w:type="dxa"/>
            <w:vAlign w:val="bottom"/>
          </w:tcPr>
          <w:p>
            <w:pPr>
              <w:jc w:val="center"/>
              <w:ind w:right="1481"/>
              <w:spacing w:after="0"/>
              <w:rPr>
                <w:sz w:val="20"/>
                <w:szCs w:val="20"/>
                <w:color w:val="auto"/>
              </w:rPr>
            </w:pPr>
            <w:r>
              <w:rPr>
                <w:rFonts w:ascii="Arial" w:cs="Arial" w:eastAsia="Arial" w:hAnsi="Arial"/>
                <w:sz w:val="18"/>
                <w:szCs w:val="18"/>
                <w:b w:val="1"/>
                <w:bCs w:val="1"/>
                <w:color w:val="auto"/>
                <w:w w:val="90"/>
              </w:rPr>
              <w:t>74, rue de Merl, B.P. 709, L-2017</w:t>
            </w:r>
          </w:p>
        </w:tc>
        <w:tc>
          <w:tcPr>
            <w:tcW w:w="3640" w:type="dxa"/>
            <w:vAlign w:val="bottom"/>
          </w:tcPr>
          <w:p>
            <w:pPr>
              <w:spacing w:after="0"/>
              <w:rPr>
                <w:sz w:val="18"/>
                <w:szCs w:val="18"/>
                <w:color w:val="auto"/>
              </w:rPr>
            </w:pPr>
          </w:p>
        </w:tc>
      </w:tr>
      <w:tr>
        <w:trPr>
          <w:trHeight w:val="231"/>
        </w:trPr>
        <w:tc>
          <w:tcPr>
            <w:tcW w:w="4860" w:type="dxa"/>
            <w:vAlign w:val="bottom"/>
          </w:tcPr>
          <w:p>
            <w:pPr>
              <w:jc w:val="center"/>
              <w:ind w:right="1481"/>
              <w:spacing w:after="0"/>
              <w:rPr>
                <w:sz w:val="20"/>
                <w:szCs w:val="20"/>
                <w:color w:val="auto"/>
              </w:rPr>
            </w:pPr>
            <w:r>
              <w:rPr>
                <w:rFonts w:ascii="Arial" w:cs="Arial" w:eastAsia="Arial" w:hAnsi="Arial"/>
                <w:sz w:val="18"/>
                <w:szCs w:val="18"/>
                <w:b w:val="1"/>
                <w:bCs w:val="1"/>
                <w:color w:val="auto"/>
                <w:w w:val="89"/>
              </w:rPr>
              <w:t>Luxembourg, Grand Duchy of Luxembourg</w:t>
            </w:r>
          </w:p>
        </w:tc>
        <w:tc>
          <w:tcPr>
            <w:tcW w:w="3640" w:type="dxa"/>
            <w:vAlign w:val="bottom"/>
          </w:tcPr>
          <w:p>
            <w:pPr>
              <w:jc w:val="center"/>
              <w:ind w:left="1482"/>
              <w:spacing w:after="0"/>
              <w:rPr>
                <w:sz w:val="20"/>
                <w:szCs w:val="20"/>
                <w:color w:val="auto"/>
              </w:rPr>
            </w:pPr>
            <w:r>
              <w:rPr>
                <w:rFonts w:ascii="Arial" w:cs="Arial" w:eastAsia="Arial" w:hAnsi="Arial"/>
                <w:sz w:val="18"/>
                <w:szCs w:val="18"/>
                <w:b w:val="1"/>
                <w:bCs w:val="1"/>
                <w:color w:val="auto"/>
                <w:w w:val="88"/>
              </w:rPr>
              <w:t>Not Applicable</w:t>
            </w:r>
          </w:p>
        </w:tc>
      </w:tr>
      <w:tr>
        <w:trPr>
          <w:trHeight w:val="174"/>
        </w:trPr>
        <w:tc>
          <w:tcPr>
            <w:tcW w:w="4860" w:type="dxa"/>
            <w:vAlign w:val="bottom"/>
          </w:tcPr>
          <w:p>
            <w:pPr>
              <w:jc w:val="center"/>
              <w:ind w:right="1501"/>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640" w:type="dxa"/>
            <w:vAlign w:val="bottom"/>
          </w:tcPr>
          <w:p>
            <w:pPr>
              <w:jc w:val="center"/>
              <w:ind w:left="1502"/>
              <w:spacing w:after="0"/>
              <w:rPr>
                <w:sz w:val="20"/>
                <w:szCs w:val="20"/>
                <w:color w:val="auto"/>
              </w:rPr>
            </w:pPr>
            <w:r>
              <w:rPr>
                <w:rFonts w:ascii="Arial" w:cs="Arial" w:eastAsia="Arial" w:hAnsi="Arial"/>
                <w:sz w:val="14"/>
                <w:szCs w:val="14"/>
                <w:b w:val="1"/>
                <w:bCs w:val="1"/>
                <w:color w:val="auto"/>
                <w:w w:val="89"/>
              </w:rPr>
              <w:t>(Zip Code)</w:t>
            </w:r>
          </w:p>
        </w:tc>
      </w:tr>
    </w:tbl>
    <w:p>
      <w:pPr>
        <w:spacing w:after="0" w:line="13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Registrant’s telephone number, including area code: (352) 45-62-62</w:t>
      </w:r>
    </w:p>
    <w:p>
      <w:pPr>
        <w:spacing w:after="0" w:line="177" w:lineRule="exact"/>
        <w:rPr>
          <w:sz w:val="24"/>
          <w:szCs w:val="24"/>
          <w:color w:val="auto"/>
        </w:rPr>
      </w:pPr>
    </w:p>
    <w:p>
      <w:pPr>
        <w:ind w:firstLine="456"/>
        <w:spacing w:after="0" w:line="22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8" w:lineRule="exact"/>
        <w:rPr>
          <w:sz w:val="24"/>
          <w:szCs w:val="24"/>
          <w:color w:val="auto"/>
        </w:rPr>
      </w:pPr>
    </w:p>
    <w:p>
      <w:pPr>
        <w:ind w:firstLine="456"/>
        <w:spacing w:after="0" w:line="268"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 accelerated filer. See the definition of “accelerated filer and large accelerated filer: in Rule 12b-2 of the Exchange Act.</w:t>
      </w:r>
    </w:p>
    <w:p>
      <w:pPr>
        <w:spacing w:after="0" w:line="99" w:lineRule="exact"/>
        <w:rPr>
          <w:sz w:val="24"/>
          <w:szCs w:val="24"/>
          <w:color w:val="auto"/>
        </w:rPr>
      </w:pPr>
    </w:p>
    <w:p>
      <w:pPr>
        <w:ind w:left="2660"/>
        <w:spacing w:after="0" w:line="207" w:lineRule="exact"/>
        <w:tabs>
          <w:tab w:leader="none" w:pos="5020" w:val="left"/>
          <w:tab w:leader="none" w:pos="702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Non-accelerated filer </w:t>
      </w:r>
      <w:r>
        <w:rPr>
          <w:rFonts w:ascii="MS PGothic" w:cs="MS PGothic" w:eastAsia="MS PGothic" w:hAnsi="MS PGothic"/>
          <w:sz w:val="16"/>
          <w:szCs w:val="16"/>
          <w:color w:val="auto"/>
        </w:rPr>
        <w:t>☒</w:t>
      </w:r>
    </w:p>
    <w:p>
      <w:pPr>
        <w:spacing w:after="0" w:line="171" w:lineRule="exact"/>
        <w:rPr>
          <w:sz w:val="24"/>
          <w:szCs w:val="24"/>
          <w:color w:val="auto"/>
        </w:rPr>
      </w:pPr>
    </w:p>
    <w:p>
      <w:pPr>
        <w:ind w:left="460"/>
        <w:spacing w:after="0" w:line="184" w:lineRule="exact"/>
        <w:tabs>
          <w:tab w:leader="none" w:pos="9140" w:val="left"/>
        </w:tabs>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227" w:lineRule="exact"/>
        <w:rPr>
          <w:sz w:val="24"/>
          <w:szCs w:val="24"/>
          <w:color w:val="auto"/>
        </w:rPr>
      </w:pPr>
    </w:p>
    <w:p>
      <w:pPr>
        <w:ind w:left="2220"/>
        <w:spacing w:after="0"/>
        <w:rPr>
          <w:sz w:val="20"/>
          <w:szCs w:val="20"/>
          <w:color w:val="auto"/>
        </w:rPr>
      </w:pPr>
      <w:r>
        <w:rPr>
          <w:rFonts w:ascii="Arial" w:cs="Arial" w:eastAsia="Arial" w:hAnsi="Arial"/>
          <w:sz w:val="18"/>
          <w:szCs w:val="18"/>
          <w:color w:val="auto"/>
        </w:rPr>
        <w:t>As of May 9, 2006, the registrant had 53,130,132.172 of the registrant’s common units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309245</wp:posOffset>
            </wp:positionV>
            <wp:extent cx="725043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180"/>
          </w:cols>
          <w:pgMar w:left="240" w:top="230" w:right="47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MagnaChip Semiconductor LLC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TABLE OF CONTENTS</w:t>
      </w: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900" w:type="dxa"/>
            <w:vAlign w:val="bottom"/>
            <w:gridSpan w:val="12"/>
            <w:vMerge w:val="restart"/>
          </w:tcPr>
          <w:p>
            <w:pPr>
              <w:spacing w:after="0"/>
              <w:rPr>
                <w:sz w:val="20"/>
                <w:szCs w:val="20"/>
                <w:color w:val="auto"/>
              </w:rPr>
            </w:pPr>
            <w:r>
              <w:rPr>
                <w:rFonts w:ascii="Arial" w:cs="Arial" w:eastAsia="Arial" w:hAnsi="Arial"/>
                <w:sz w:val="18"/>
                <w:szCs w:val="18"/>
                <w:color w:val="auto"/>
              </w:rPr>
              <w:t>PART I FINANCIAL INFORMATION</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Page No.</w:t>
            </w:r>
          </w:p>
        </w:tc>
        <w:tc>
          <w:tcPr>
            <w:tcW w:w="0" w:type="dxa"/>
            <w:vAlign w:val="bottom"/>
          </w:tcPr>
          <w:p>
            <w:pPr>
              <w:spacing w:after="0"/>
              <w:rPr>
                <w:sz w:val="1"/>
                <w:szCs w:val="1"/>
                <w:color w:val="auto"/>
              </w:rPr>
            </w:pPr>
          </w:p>
        </w:tc>
      </w:tr>
      <w:tr>
        <w:trPr>
          <w:trHeight w:val="208"/>
        </w:trPr>
        <w:tc>
          <w:tcPr>
            <w:tcW w:w="10900" w:type="dxa"/>
            <w:vAlign w:val="bottom"/>
            <w:gridSpan w:val="12"/>
            <w:vMerge w:val="continue"/>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6"/>
        </w:trPr>
        <w:tc>
          <w:tcPr>
            <w:tcW w:w="10900" w:type="dxa"/>
            <w:vAlign w:val="bottom"/>
            <w:gridSpan w:val="12"/>
          </w:tcPr>
          <w:p>
            <w:pPr>
              <w:ind w:left="440"/>
              <w:spacing w:after="0"/>
              <w:rPr>
                <w:rFonts w:ascii="Arial" w:cs="Arial" w:eastAsia="Arial" w:hAnsi="Arial"/>
                <w:sz w:val="18"/>
                <w:szCs w:val="18"/>
                <w:color w:val="0000EE"/>
                <w:w w:val="88"/>
              </w:rPr>
            </w:pPr>
            <w:r>
              <w:rPr>
                <w:rFonts w:ascii="Arial" w:cs="Arial" w:eastAsia="Arial" w:hAnsi="Arial"/>
                <w:sz w:val="18"/>
                <w:szCs w:val="18"/>
                <w:color w:val="auto"/>
                <w:w w:val="88"/>
              </w:rPr>
              <w:t>Item 1.</w:t>
            </w:r>
            <w:hyperlink w:anchor="page3">
              <w:r>
                <w:rPr>
                  <w:rFonts w:ascii="Arial" w:cs="Arial" w:eastAsia="Arial" w:hAnsi="Arial"/>
                  <w:sz w:val="18"/>
                  <w:szCs w:val="18"/>
                  <w:color w:val="0000EE"/>
                  <w:w w:val="88"/>
                </w:rPr>
                <w:t>Financial Statements (Unaudited)</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40" w:type="dxa"/>
            <w:vAlign w:val="bottom"/>
            <w:gridSpan w:val="10"/>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Condensed Consolidated Statements of Operations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6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85"/>
              </w:rPr>
            </w:pPr>
            <w:hyperlink w:anchor="page4">
              <w:r>
                <w:rPr>
                  <w:rFonts w:ascii="Arial" w:cs="Arial" w:eastAsia="Arial" w:hAnsi="Arial"/>
                  <w:sz w:val="18"/>
                  <w:szCs w:val="18"/>
                  <w:color w:val="0000EE"/>
                  <w:w w:val="85"/>
                </w:rPr>
                <w:t>Condensed Consolidated Balance Sheets</w:t>
              </w:r>
            </w:hyperlink>
          </w:p>
        </w:tc>
        <w:tc>
          <w:tcPr>
            <w:tcW w:w="700" w:type="dxa"/>
            <w:vAlign w:val="bottom"/>
            <w:tcBorders>
              <w:top w:val="single" w:sz="8" w:color="0000EE"/>
            </w:tcBorders>
          </w:tcPr>
          <w:p>
            <w:pPr>
              <w:spacing w:after="0"/>
              <w:rPr>
                <w:sz w:val="24"/>
                <w:szCs w:val="24"/>
                <w:color w:val="auto"/>
              </w:rPr>
            </w:pPr>
          </w:p>
        </w:tc>
        <w:tc>
          <w:tcPr>
            <w:tcW w:w="6080" w:type="dxa"/>
            <w:vAlign w:val="bottom"/>
            <w:gridSpan w:val="5"/>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20" w:type="dxa"/>
            <w:vAlign w:val="bottom"/>
            <w:tcBorders>
              <w:bottom w:val="single" w:sz="8" w:color="0000EE"/>
            </w:tcBorders>
            <w:gridSpan w:val="6"/>
          </w:tcPr>
          <w:p>
            <w:pPr>
              <w:spacing w:after="0"/>
              <w:rPr>
                <w:rFonts w:ascii="Arial" w:cs="Arial" w:eastAsia="Arial" w:hAnsi="Arial"/>
                <w:sz w:val="18"/>
                <w:szCs w:val="18"/>
                <w:color w:val="0000EE"/>
                <w:w w:val="86"/>
              </w:rPr>
            </w:pPr>
            <w:hyperlink w:anchor="page5">
              <w:r>
                <w:rPr>
                  <w:rFonts w:ascii="Arial" w:cs="Arial" w:eastAsia="Arial" w:hAnsi="Arial"/>
                  <w:sz w:val="18"/>
                  <w:szCs w:val="18"/>
                  <w:color w:val="0000EE"/>
                  <w:w w:val="86"/>
                </w:rPr>
                <w:t>Condensed Consolidated Statements of Cash Flows</w:t>
              </w:r>
            </w:hyperlink>
          </w:p>
        </w:tc>
        <w:tc>
          <w:tcPr>
            <w:tcW w:w="6020" w:type="dxa"/>
            <w:vAlign w:val="bottom"/>
            <w:gridSpan w:val="4"/>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304"/>
        </w:trPr>
        <w:tc>
          <w:tcPr>
            <w:tcW w:w="10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40" w:type="dxa"/>
            <w:vAlign w:val="bottom"/>
            <w:gridSpan w:val="10"/>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Notes to Condensed Consolidated Financial Statements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140" w:type="dxa"/>
            <w:vAlign w:val="bottom"/>
            <w:shd w:val="clear" w:color="auto" w:fill="0000EE"/>
          </w:tcPr>
          <w:p>
            <w:pPr>
              <w:spacing w:after="0" w:line="20" w:lineRule="exact"/>
              <w:rPr>
                <w:sz w:val="1"/>
                <w:szCs w:val="1"/>
                <w:color w:val="auto"/>
              </w:rPr>
            </w:pPr>
          </w:p>
        </w:tc>
        <w:tc>
          <w:tcPr>
            <w:tcW w:w="2160" w:type="dxa"/>
            <w:vAlign w:val="bottom"/>
            <w:gridSpan w:val="5"/>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4"/>
        </w:trPr>
        <w:tc>
          <w:tcPr>
            <w:tcW w:w="1260" w:type="dxa"/>
            <w:vAlign w:val="bottom"/>
            <w:gridSpan w:val="2"/>
          </w:tcPr>
          <w:p>
            <w:pPr>
              <w:ind w:left="440"/>
              <w:spacing w:after="0"/>
              <w:rPr>
                <w:sz w:val="20"/>
                <w:szCs w:val="20"/>
                <w:color w:val="auto"/>
              </w:rPr>
            </w:pPr>
            <w:r>
              <w:rPr>
                <w:rFonts w:ascii="Arial" w:cs="Arial" w:eastAsia="Arial" w:hAnsi="Arial"/>
                <w:sz w:val="18"/>
                <w:szCs w:val="18"/>
                <w:color w:val="auto"/>
              </w:rPr>
              <w:t>Item 2.</w:t>
            </w:r>
          </w:p>
        </w:tc>
        <w:tc>
          <w:tcPr>
            <w:tcW w:w="6300" w:type="dxa"/>
            <w:vAlign w:val="bottom"/>
            <w:tcBorders>
              <w:bottom w:val="single" w:sz="8" w:color="0000EE"/>
            </w:tcBorders>
            <w:gridSpan w:val="9"/>
          </w:tcPr>
          <w:p>
            <w:pPr>
              <w:spacing w:after="0"/>
              <w:rPr>
                <w:rFonts w:ascii="Arial" w:cs="Arial" w:eastAsia="Arial" w:hAnsi="Arial"/>
                <w:sz w:val="18"/>
                <w:szCs w:val="18"/>
                <w:color w:val="0000EE"/>
                <w:w w:val="88"/>
              </w:rPr>
            </w:pPr>
            <w:hyperlink w:anchor="page25">
              <w:r>
                <w:rPr>
                  <w:rFonts w:ascii="Arial" w:cs="Arial" w:eastAsia="Arial" w:hAnsi="Arial"/>
                  <w:sz w:val="18"/>
                  <w:szCs w:val="18"/>
                  <w:color w:val="0000EE"/>
                  <w:w w:val="88"/>
                </w:rPr>
                <w:t>Management’s Discussion and Analysis of Financial Condition and Results of Operations</w:t>
              </w:r>
            </w:hyperlink>
          </w:p>
        </w:tc>
        <w:tc>
          <w:tcPr>
            <w:tcW w:w="334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304"/>
        </w:trPr>
        <w:tc>
          <w:tcPr>
            <w:tcW w:w="1260" w:type="dxa"/>
            <w:vAlign w:val="bottom"/>
            <w:gridSpan w:val="2"/>
          </w:tcPr>
          <w:p>
            <w:pPr>
              <w:ind w:left="440"/>
              <w:spacing w:after="0"/>
              <w:rPr>
                <w:sz w:val="20"/>
                <w:szCs w:val="20"/>
                <w:color w:val="auto"/>
              </w:rPr>
            </w:pPr>
            <w:r>
              <w:rPr>
                <w:rFonts w:ascii="Arial" w:cs="Arial" w:eastAsia="Arial" w:hAnsi="Arial"/>
                <w:sz w:val="18"/>
                <w:szCs w:val="18"/>
                <w:color w:val="auto"/>
              </w:rPr>
              <w:t>Item 3.</w:t>
            </w:r>
          </w:p>
        </w:tc>
        <w:tc>
          <w:tcPr>
            <w:tcW w:w="9640" w:type="dxa"/>
            <w:vAlign w:val="bottom"/>
            <w:gridSpan w:val="10"/>
          </w:tcPr>
          <w:p>
            <w:pPr>
              <w:spacing w:after="0"/>
              <w:rPr>
                <w:rFonts w:ascii="Arial" w:cs="Arial" w:eastAsia="Arial" w:hAnsi="Arial"/>
                <w:sz w:val="18"/>
                <w:szCs w:val="18"/>
                <w:color w:val="0000EE"/>
              </w:rPr>
            </w:pPr>
            <w:hyperlink w:anchor="page32">
              <w:r>
                <w:rPr>
                  <w:rFonts w:ascii="Arial" w:cs="Arial" w:eastAsia="Arial" w:hAnsi="Arial"/>
                  <w:sz w:val="18"/>
                  <w:szCs w:val="18"/>
                  <w:color w:val="0000EE"/>
                </w:rPr>
                <w:t>Quantitative and Qualitative Disclosures About Market Risk</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04"/>
        </w:trPr>
        <w:tc>
          <w:tcPr>
            <w:tcW w:w="1260" w:type="dxa"/>
            <w:vAlign w:val="bottom"/>
            <w:gridSpan w:val="2"/>
          </w:tcPr>
          <w:p>
            <w:pPr>
              <w:ind w:left="440"/>
              <w:spacing w:after="0"/>
              <w:rPr>
                <w:sz w:val="20"/>
                <w:szCs w:val="20"/>
                <w:color w:val="auto"/>
              </w:rPr>
            </w:pPr>
            <w:r>
              <w:rPr>
                <w:rFonts w:ascii="Arial" w:cs="Arial" w:eastAsia="Arial" w:hAnsi="Arial"/>
                <w:sz w:val="18"/>
                <w:szCs w:val="18"/>
                <w:color w:val="auto"/>
              </w:rPr>
              <w:t>Item 4.</w:t>
            </w:r>
          </w:p>
        </w:tc>
        <w:tc>
          <w:tcPr>
            <w:tcW w:w="1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32">
              <w:r>
                <w:rPr>
                  <w:rFonts w:ascii="Arial" w:cs="Arial" w:eastAsia="Arial" w:hAnsi="Arial"/>
                  <w:sz w:val="18"/>
                  <w:szCs w:val="18"/>
                  <w:color w:val="0000EE"/>
                  <w:w w:val="85"/>
                </w:rPr>
                <w:t>Controls and Procedures</w:t>
              </w:r>
            </w:hyperlink>
          </w:p>
        </w:tc>
        <w:tc>
          <w:tcPr>
            <w:tcW w:w="2520" w:type="dxa"/>
            <w:vAlign w:val="bottom"/>
            <w:tcBorders>
              <w:top w:val="single" w:sz="8" w:color="0000EE"/>
            </w:tcBorders>
            <w:gridSpan w:val="6"/>
          </w:tcPr>
          <w:p>
            <w:pPr>
              <w:spacing w:after="0"/>
              <w:rPr>
                <w:sz w:val="24"/>
                <w:szCs w:val="24"/>
                <w:color w:val="auto"/>
              </w:rPr>
            </w:pPr>
          </w:p>
        </w:tc>
        <w:tc>
          <w:tcPr>
            <w:tcW w:w="5400" w:type="dxa"/>
            <w:vAlign w:val="bottom"/>
            <w:gridSpan w:val="2"/>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343"/>
        </w:trPr>
        <w:tc>
          <w:tcPr>
            <w:tcW w:w="10900" w:type="dxa"/>
            <w:vAlign w:val="bottom"/>
            <w:gridSpan w:val="12"/>
          </w:tcPr>
          <w:p>
            <w:pPr>
              <w:spacing w:after="0"/>
              <w:rPr>
                <w:sz w:val="20"/>
                <w:szCs w:val="20"/>
                <w:color w:val="auto"/>
              </w:rPr>
            </w:pPr>
            <w:r>
              <w:rPr>
                <w:rFonts w:ascii="Arial" w:cs="Arial" w:eastAsia="Arial" w:hAnsi="Arial"/>
                <w:sz w:val="18"/>
                <w:szCs w:val="18"/>
                <w:color w:val="auto"/>
              </w:rPr>
              <w:t>PART II OTHER INFORMATION</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260" w:type="dxa"/>
            <w:vAlign w:val="bottom"/>
            <w:gridSpan w:val="2"/>
          </w:tcPr>
          <w:p>
            <w:pPr>
              <w:ind w:left="440"/>
              <w:spacing w:after="0"/>
              <w:rPr>
                <w:sz w:val="20"/>
                <w:szCs w:val="20"/>
                <w:color w:val="auto"/>
              </w:rPr>
            </w:pPr>
            <w:r>
              <w:rPr>
                <w:rFonts w:ascii="Arial" w:cs="Arial" w:eastAsia="Arial" w:hAnsi="Arial"/>
                <w:sz w:val="18"/>
                <w:szCs w:val="18"/>
                <w:color w:val="auto"/>
              </w:rPr>
              <w:t>Item 6.</w:t>
            </w:r>
          </w:p>
        </w:tc>
        <w:tc>
          <w:tcPr>
            <w:tcW w:w="580" w:type="dxa"/>
            <w:vAlign w:val="bottom"/>
            <w:tcBorders>
              <w:bottom w:val="single" w:sz="8" w:color="0000EE"/>
            </w:tcBorders>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Exhibits</w:t>
              </w:r>
            </w:hyperlink>
          </w:p>
        </w:tc>
        <w:tc>
          <w:tcPr>
            <w:tcW w:w="9060" w:type="dxa"/>
            <w:vAlign w:val="bottom"/>
            <w:gridSpan w:val="9"/>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304"/>
        </w:trPr>
        <w:tc>
          <w:tcPr>
            <w:tcW w:w="10900" w:type="dxa"/>
            <w:vAlign w:val="bottom"/>
            <w:gridSpan w:val="12"/>
          </w:tcPr>
          <w:p>
            <w:pPr>
              <w:spacing w:after="0"/>
              <w:rPr>
                <w:rFonts w:ascii="Arial" w:cs="Arial" w:eastAsia="Arial" w:hAnsi="Arial"/>
                <w:sz w:val="18"/>
                <w:szCs w:val="18"/>
                <w:color w:val="0000EE"/>
              </w:rPr>
            </w:pPr>
            <w:hyperlink w:anchor="page39">
              <w:r>
                <w:rPr>
                  <w:rFonts w:ascii="Arial" w:cs="Arial" w:eastAsia="Arial" w:hAnsi="Arial"/>
                  <w:sz w:val="18"/>
                  <w:szCs w:val="18"/>
                  <w:color w:val="0000EE"/>
                </w:rPr>
                <w:t>SIGNATURES</w:t>
              </w:r>
            </w:hyperlink>
          </w:p>
        </w:tc>
        <w:tc>
          <w:tcPr>
            <w:tcW w:w="520" w:type="dxa"/>
            <w:vAlign w:val="bottom"/>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383"/>
        </w:trPr>
        <w:tc>
          <w:tcPr>
            <w:tcW w:w="108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400" w:type="dxa"/>
            <w:vAlign w:val="bottom"/>
            <w:gridSpan w:val="2"/>
          </w:tcPr>
          <w:p>
            <w:pPr>
              <w:ind w:left="180"/>
              <w:spacing w:after="0"/>
              <w:rPr>
                <w:sz w:val="20"/>
                <w:szCs w:val="20"/>
                <w:color w:val="auto"/>
              </w:rPr>
            </w:pPr>
            <w:r>
              <w:rPr>
                <w:rFonts w:ascii="Arial" w:cs="Arial" w:eastAsia="Arial" w:hAnsi="Arial"/>
                <w:sz w:val="18"/>
                <w:szCs w:val="18"/>
                <w:color w:val="auto"/>
              </w:rPr>
              <w:t>i</w:t>
            </w: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5800" w:type="dxa"/>
            <w:vAlign w:val="bottom"/>
            <w:gridSpan w:val="2"/>
          </w:tcPr>
          <w:p>
            <w:pPr>
              <w:jc w:val="center"/>
              <w:ind w:right="1032"/>
              <w:spacing w:after="0"/>
              <w:rPr>
                <w:sz w:val="20"/>
                <w:szCs w:val="20"/>
                <w:color w:val="auto"/>
              </w:rPr>
            </w:pPr>
            <w:r>
              <w:rPr>
                <w:rFonts w:ascii="Arial" w:cs="Arial" w:eastAsia="Arial" w:hAnsi="Arial"/>
                <w:sz w:val="18"/>
                <w:szCs w:val="18"/>
                <w:b w:val="1"/>
                <w:bCs w:val="1"/>
                <w:color w:val="auto"/>
                <w:w w:val="99"/>
              </w:rPr>
              <w:t>PART I. FINANCIAL INFORMATION</w:t>
            </w: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9"/>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320" w:type="dxa"/>
            <w:vAlign w:val="bottom"/>
          </w:tcPr>
          <w:p>
            <w:pPr>
              <w:spacing w:after="0"/>
              <w:rPr>
                <w:sz w:val="20"/>
                <w:szCs w:val="20"/>
                <w:color w:val="auto"/>
              </w:rPr>
            </w:pPr>
            <w:r>
              <w:rPr>
                <w:rFonts w:ascii="Arial" w:cs="Arial" w:eastAsia="Arial" w:hAnsi="Arial"/>
                <w:sz w:val="18"/>
                <w:szCs w:val="18"/>
                <w:b w:val="1"/>
                <w:bCs w:val="1"/>
                <w:color w:val="auto"/>
              </w:rPr>
              <w:t>Financial Statements</w:t>
            </w:r>
          </w:p>
        </w:tc>
        <w:tc>
          <w:tcPr>
            <w:tcW w:w="5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800" w:type="dxa"/>
            <w:vAlign w:val="bottom"/>
            <w:gridSpan w:val="2"/>
          </w:tcPr>
          <w:p>
            <w:pPr>
              <w:jc w:val="center"/>
              <w:ind w:right="1012"/>
              <w:spacing w:after="0"/>
              <w:rPr>
                <w:sz w:val="20"/>
                <w:szCs w:val="20"/>
                <w:color w:val="auto"/>
              </w:rPr>
            </w:pPr>
            <w:r>
              <w:rPr>
                <w:rFonts w:ascii="Arial" w:cs="Arial" w:eastAsia="Arial" w:hAnsi="Arial"/>
                <w:sz w:val="18"/>
                <w:szCs w:val="18"/>
                <w:b w:val="1"/>
                <w:bCs w:val="1"/>
                <w:color w:val="auto"/>
                <w:w w:val="89"/>
              </w:rPr>
              <w:t>MagnaChip Semiconductor LLC and Subsidiaries</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800" w:type="dxa"/>
            <w:vAlign w:val="bottom"/>
            <w:gridSpan w:val="2"/>
          </w:tcPr>
          <w:p>
            <w:pPr>
              <w:jc w:val="center"/>
              <w:ind w:right="1012"/>
              <w:spacing w:after="0"/>
              <w:rPr>
                <w:sz w:val="20"/>
                <w:szCs w:val="20"/>
                <w:color w:val="auto"/>
              </w:rPr>
            </w:pPr>
            <w:r>
              <w:rPr>
                <w:rFonts w:ascii="Arial" w:cs="Arial" w:eastAsia="Arial" w:hAnsi="Arial"/>
                <w:sz w:val="18"/>
                <w:szCs w:val="18"/>
                <w:b w:val="1"/>
                <w:bCs w:val="1"/>
                <w:color w:val="auto"/>
                <w:w w:val="86"/>
              </w:rPr>
              <w:t>Condensed Consolidated Statements of Operations</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800" w:type="dxa"/>
            <w:vAlign w:val="bottom"/>
            <w:gridSpan w:val="2"/>
          </w:tcPr>
          <w:p>
            <w:pPr>
              <w:jc w:val="center"/>
              <w:ind w:right="1032"/>
              <w:spacing w:after="0"/>
              <w:rPr>
                <w:sz w:val="20"/>
                <w:szCs w:val="20"/>
                <w:color w:val="auto"/>
              </w:rPr>
            </w:pPr>
            <w:r>
              <w:rPr>
                <w:rFonts w:ascii="Arial" w:cs="Arial" w:eastAsia="Arial" w:hAnsi="Arial"/>
                <w:sz w:val="18"/>
                <w:szCs w:val="18"/>
                <w:b w:val="1"/>
                <w:bCs w:val="1"/>
                <w:color w:val="auto"/>
                <w:w w:val="87"/>
              </w:rPr>
              <w:t>(Unaudited; in thousands of US dollars, except unit data)</w:t>
            </w: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5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5720" w:type="dxa"/>
            <w:vAlign w:val="bottom"/>
          </w:tcPr>
          <w:p>
            <w:pPr>
              <w:spacing w:after="0"/>
              <w:rPr>
                <w:sz w:val="12"/>
                <w:szCs w:val="12"/>
                <w:color w:val="auto"/>
              </w:rPr>
            </w:pPr>
          </w:p>
        </w:tc>
        <w:tc>
          <w:tcPr>
            <w:tcW w:w="880" w:type="dxa"/>
            <w:vAlign w:val="bottom"/>
            <w:tcBorders>
              <w:top w:val="single" w:sz="8" w:color="auto"/>
              <w:bottom w:val="single" w:sz="8" w:color="auto"/>
            </w:tcBorders>
            <w:gridSpan w:val="2"/>
          </w:tcPr>
          <w:p>
            <w:pPr>
              <w:ind w:left="60"/>
              <w:spacing w:after="0" w:line="142" w:lineRule="exact"/>
              <w:rPr>
                <w:sz w:val="20"/>
                <w:szCs w:val="20"/>
                <w:color w:val="auto"/>
              </w:rPr>
            </w:pPr>
            <w:r>
              <w:rPr>
                <w:rFonts w:ascii="Arial" w:cs="Arial" w:eastAsia="Arial" w:hAnsi="Arial"/>
                <w:sz w:val="14"/>
                <w:szCs w:val="14"/>
                <w:b w:val="1"/>
                <w:bCs w:val="1"/>
                <w:color w:val="auto"/>
                <w:w w:val="96"/>
              </w:rPr>
              <w:t>April 2, 2006</w:t>
            </w:r>
          </w:p>
        </w:tc>
        <w:tc>
          <w:tcPr>
            <w:tcW w:w="2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April 3,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2320" w:type="dxa"/>
            <w:vAlign w:val="bottom"/>
            <w:shd w:val="clear" w:color="auto" w:fill="CCEEFF"/>
          </w:tcPr>
          <w:p>
            <w:pPr>
              <w:spacing w:after="0"/>
              <w:rPr>
                <w:sz w:val="18"/>
                <w:szCs w:val="18"/>
                <w:color w:val="auto"/>
              </w:rPr>
            </w:pPr>
          </w:p>
        </w:tc>
        <w:tc>
          <w:tcPr>
            <w:tcW w:w="5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213,143</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0" w:type="dxa"/>
            <w:vAlign w:val="bottom"/>
          </w:tcPr>
          <w:p>
            <w:pPr>
              <w:spacing w:after="0"/>
              <w:rPr>
                <w:sz w:val="20"/>
                <w:szCs w:val="20"/>
                <w:color w:val="auto"/>
              </w:rPr>
            </w:pPr>
            <w:r>
              <w:rPr>
                <w:rFonts w:ascii="Arial" w:cs="Arial" w:eastAsia="Arial" w:hAnsi="Arial"/>
                <w:sz w:val="18"/>
                <w:szCs w:val="18"/>
                <w:color w:val="auto"/>
                <w:w w:val="96"/>
              </w:rPr>
              <w:t>Cost of sales</w:t>
            </w:r>
          </w:p>
        </w:tc>
        <w:tc>
          <w:tcPr>
            <w:tcW w:w="2320" w:type="dxa"/>
            <w:vAlign w:val="bottom"/>
          </w:tcPr>
          <w:p>
            <w:pPr>
              <w:spacing w:after="0"/>
              <w:rPr>
                <w:sz w:val="18"/>
                <w:szCs w:val="18"/>
                <w:color w:val="auto"/>
              </w:rPr>
            </w:pP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172,815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187,438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320" w:type="dxa"/>
            <w:vAlign w:val="bottom"/>
            <w:shd w:val="clear" w:color="auto" w:fill="CCEEFF"/>
          </w:tcPr>
          <w:p>
            <w:pPr>
              <w:spacing w:after="0"/>
              <w:rPr>
                <w:sz w:val="18"/>
                <w:szCs w:val="18"/>
                <w:color w:val="auto"/>
              </w:rPr>
            </w:pPr>
          </w:p>
        </w:tc>
        <w:tc>
          <w:tcPr>
            <w:tcW w:w="5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40,328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w w:val="93"/>
              </w:rPr>
              <w:t>Selling, general and administrative expenses</w:t>
            </w:r>
          </w:p>
        </w:tc>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3360" w:type="dxa"/>
            <w:vAlign w:val="bottom"/>
            <w:gridSpan w:val="3"/>
            <w:vMerge w:val="continue"/>
          </w:tcPr>
          <w:p>
            <w:pPr>
              <w:spacing w:after="0"/>
              <w:rPr>
                <w:sz w:val="19"/>
                <w:szCs w:val="19"/>
                <w:color w:val="auto"/>
              </w:rPr>
            </w:pPr>
          </w:p>
        </w:tc>
        <w:tc>
          <w:tcPr>
            <w:tcW w:w="5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rPr>
              <w:t>21,531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28,479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5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29,918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spacing w:after="0"/>
              <w:rPr>
                <w:sz w:val="20"/>
                <w:szCs w:val="20"/>
                <w:color w:val="auto"/>
              </w:rPr>
            </w:pPr>
            <w:r>
              <w:rPr>
                <w:rFonts w:ascii="Arial" w:cs="Arial" w:eastAsia="Arial" w:hAnsi="Arial"/>
                <w:sz w:val="18"/>
                <w:szCs w:val="18"/>
                <w:color w:val="auto"/>
                <w:w w:val="87"/>
              </w:rPr>
              <w:t>Operating loss</w:t>
            </w:r>
          </w:p>
        </w:tc>
        <w:tc>
          <w:tcPr>
            <w:tcW w:w="2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1040" w:type="dxa"/>
            <w:vAlign w:val="bottom"/>
            <w:gridSpan w:val="2"/>
            <w:vMerge w:val="continue"/>
          </w:tcPr>
          <w:p>
            <w:pPr>
              <w:spacing w:after="0"/>
              <w:rPr>
                <w:sz w:val="20"/>
                <w:szCs w:val="20"/>
                <w:color w:val="auto"/>
              </w:rPr>
            </w:pPr>
          </w:p>
        </w:tc>
        <w:tc>
          <w:tcPr>
            <w:tcW w:w="2320" w:type="dxa"/>
            <w:vAlign w:val="bottom"/>
          </w:tcPr>
          <w:p>
            <w:pPr>
              <w:spacing w:after="0"/>
              <w:rPr>
                <w:sz w:val="20"/>
                <w:szCs w:val="20"/>
                <w:color w:val="auto"/>
              </w:rPr>
            </w:pPr>
          </w:p>
        </w:tc>
        <w:tc>
          <w:tcPr>
            <w:tcW w:w="5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(11,121)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(28,626)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57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420"/>
              <w:spacing w:after="0"/>
              <w:rPr>
                <w:sz w:val="20"/>
                <w:szCs w:val="20"/>
                <w:color w:val="auto"/>
              </w:rPr>
            </w:pPr>
            <w:r>
              <w:rPr>
                <w:rFonts w:ascii="Arial" w:cs="Arial" w:eastAsia="Arial" w:hAnsi="Arial"/>
                <w:sz w:val="18"/>
                <w:szCs w:val="18"/>
                <w:color w:val="auto"/>
              </w:rPr>
              <w:t>Interest expense, net</w:t>
            </w:r>
          </w:p>
        </w:tc>
        <w:tc>
          <w:tcPr>
            <w:tcW w:w="5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(14,733)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(13,901)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shd w:val="clear" w:color="auto" w:fill="CCEEFF"/>
          </w:tcPr>
          <w:p>
            <w:pPr>
              <w:ind w:left="420"/>
              <w:spacing w:after="0"/>
              <w:rPr>
                <w:sz w:val="20"/>
                <w:szCs w:val="20"/>
                <w:color w:val="auto"/>
              </w:rPr>
            </w:pPr>
            <w:r>
              <w:rPr>
                <w:rFonts w:ascii="Arial" w:cs="Arial" w:eastAsia="Arial" w:hAnsi="Arial"/>
                <w:sz w:val="18"/>
                <w:szCs w:val="18"/>
                <w:color w:val="auto"/>
              </w:rPr>
              <w:t>Foreign currency gain, net</w:t>
            </w:r>
          </w:p>
        </w:tc>
        <w:tc>
          <w:tcPr>
            <w:tcW w:w="5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24,237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Loss before income taxes</w:t>
            </w:r>
          </w:p>
        </w:tc>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60" w:type="dxa"/>
            <w:vAlign w:val="bottom"/>
            <w:gridSpan w:val="3"/>
            <w:vMerge w:val="continue"/>
          </w:tcPr>
          <w:p>
            <w:pPr>
              <w:spacing w:after="0"/>
              <w:rPr>
                <w:sz w:val="19"/>
                <w:szCs w:val="19"/>
                <w:color w:val="auto"/>
              </w:rPr>
            </w:pPr>
          </w:p>
        </w:tc>
        <w:tc>
          <w:tcPr>
            <w:tcW w:w="5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(1,617)</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(28,926)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102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7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5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40" w:type="dxa"/>
            <w:vAlign w:val="bottom"/>
            <w:gridSpan w:val="2"/>
            <w:vMerge w:val="restart"/>
          </w:tcPr>
          <w:p>
            <w:pPr>
              <w:spacing w:after="0"/>
              <w:rPr>
                <w:sz w:val="20"/>
                <w:szCs w:val="20"/>
                <w:color w:val="auto"/>
              </w:rPr>
            </w:pPr>
            <w:r>
              <w:rPr>
                <w:rFonts w:ascii="Arial" w:cs="Arial" w:eastAsia="Arial" w:hAnsi="Arial"/>
                <w:sz w:val="18"/>
                <w:szCs w:val="18"/>
                <w:color w:val="auto"/>
              </w:rPr>
              <w:t>Net loss</w:t>
            </w:r>
          </w:p>
        </w:tc>
        <w:tc>
          <w:tcPr>
            <w:tcW w:w="2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40" w:type="dxa"/>
            <w:vAlign w:val="bottom"/>
            <w:gridSpan w:val="2"/>
            <w:vMerge w:val="continue"/>
          </w:tcPr>
          <w:p>
            <w:pPr>
              <w:spacing w:after="0"/>
              <w:rPr>
                <w:sz w:val="19"/>
                <w:szCs w:val="19"/>
                <w:color w:val="auto"/>
              </w:rPr>
            </w:pPr>
          </w:p>
        </w:tc>
        <w:tc>
          <w:tcPr>
            <w:tcW w:w="2320" w:type="dxa"/>
            <w:vAlign w:val="bottom"/>
          </w:tcPr>
          <w:p>
            <w:pPr>
              <w:spacing w:after="0"/>
              <w:rPr>
                <w:sz w:val="19"/>
                <w:szCs w:val="19"/>
                <w:color w:val="auto"/>
              </w:rPr>
            </w:pP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(3,891)</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5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2,633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3"/>
            <w:vMerge w:val="restart"/>
          </w:tcPr>
          <w:p>
            <w:pPr>
              <w:spacing w:after="0"/>
              <w:rPr>
                <w:sz w:val="20"/>
                <w:szCs w:val="20"/>
                <w:color w:val="auto"/>
              </w:rPr>
            </w:pPr>
            <w:r>
              <w:rPr>
                <w:rFonts w:ascii="Arial" w:cs="Arial" w:eastAsia="Arial" w:hAnsi="Arial"/>
                <w:sz w:val="18"/>
                <w:szCs w:val="18"/>
                <w:color w:val="auto"/>
              </w:rPr>
              <w:t>Net loss attributable to common units</w:t>
            </w:r>
          </w:p>
        </w:tc>
        <w:tc>
          <w:tcPr>
            <w:tcW w:w="5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3360" w:type="dxa"/>
            <w:vAlign w:val="bottom"/>
            <w:gridSpan w:val="3"/>
            <w:vMerge w:val="continue"/>
          </w:tcPr>
          <w:p>
            <w:pPr>
              <w:spacing w:after="0"/>
              <w:rPr>
                <w:sz w:val="19"/>
                <w:szCs w:val="19"/>
                <w:color w:val="auto"/>
              </w:rPr>
            </w:pP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(6,524)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 per common units</w:t>
            </w:r>
          </w:p>
        </w:tc>
        <w:tc>
          <w:tcPr>
            <w:tcW w:w="5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gridSpan w:val="2"/>
          </w:tcPr>
          <w:p>
            <w:pPr>
              <w:ind w:left="420"/>
              <w:spacing w:after="0"/>
              <w:rPr>
                <w:sz w:val="20"/>
                <w:szCs w:val="20"/>
                <w:color w:val="auto"/>
              </w:rPr>
            </w:pPr>
            <w:r>
              <w:rPr>
                <w:rFonts w:ascii="Arial" w:cs="Arial" w:eastAsia="Arial" w:hAnsi="Arial"/>
                <w:sz w:val="18"/>
                <w:szCs w:val="18"/>
                <w:color w:val="auto"/>
              </w:rPr>
              <w:t>- Basic and diluted</w:t>
            </w:r>
          </w:p>
        </w:tc>
        <w:tc>
          <w:tcPr>
            <w:tcW w:w="58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Weighted average number of units</w:t>
            </w:r>
          </w:p>
        </w:tc>
        <w:tc>
          <w:tcPr>
            <w:tcW w:w="5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340" w:type="dxa"/>
            <w:vAlign w:val="bottom"/>
            <w:gridSpan w:val="2"/>
          </w:tcPr>
          <w:p>
            <w:pPr>
              <w:ind w:left="420"/>
              <w:spacing w:after="0"/>
              <w:rPr>
                <w:sz w:val="20"/>
                <w:szCs w:val="20"/>
                <w:color w:val="auto"/>
              </w:rPr>
            </w:pPr>
            <w:r>
              <w:rPr>
                <w:rFonts w:ascii="Arial" w:cs="Arial" w:eastAsia="Arial" w:hAnsi="Arial"/>
                <w:sz w:val="18"/>
                <w:szCs w:val="18"/>
                <w:color w:val="auto"/>
              </w:rPr>
              <w:t>- Basic and diluted</w:t>
            </w:r>
          </w:p>
        </w:tc>
        <w:tc>
          <w:tcPr>
            <w:tcW w:w="5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280"/>
              <w:spacing w:after="0"/>
              <w:rPr>
                <w:sz w:val="20"/>
                <w:szCs w:val="20"/>
                <w:color w:val="auto"/>
              </w:rPr>
            </w:pPr>
            <w:r>
              <w:rPr>
                <w:rFonts w:ascii="Arial" w:cs="Arial" w:eastAsia="Arial" w:hAnsi="Arial"/>
                <w:sz w:val="18"/>
                <w:szCs w:val="18"/>
                <w:color w:val="auto"/>
                <w:w w:val="86"/>
              </w:rPr>
              <w:t>53,104,521</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86"/>
              </w:rPr>
              <w:t>52,533,003</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 except unit data)</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300" w:type="dxa"/>
            <w:vAlign w:val="bottom"/>
            <w:gridSpan w:val="3"/>
          </w:tcPr>
          <w:p>
            <w:pPr>
              <w:jc w:val="right"/>
              <w:ind w:right="520"/>
              <w:spacing w:after="0"/>
              <w:rPr>
                <w:sz w:val="20"/>
                <w:szCs w:val="20"/>
                <w:color w:val="auto"/>
              </w:rPr>
            </w:pPr>
            <w:r>
              <w:rPr>
                <w:rFonts w:ascii="Arial" w:cs="Arial" w:eastAsia="Arial" w:hAnsi="Arial"/>
                <w:sz w:val="14"/>
                <w:szCs w:val="14"/>
                <w:b w:val="1"/>
                <w:bCs w:val="1"/>
                <w:color w:val="auto"/>
                <w:w w:val="92"/>
              </w:rPr>
              <w:t>April 2, 2006</w:t>
            </w:r>
          </w:p>
        </w:tc>
        <w:tc>
          <w:tcPr>
            <w:tcW w:w="1160" w:type="dxa"/>
            <w:vAlign w:val="bottom"/>
            <w:gridSpan w:val="3"/>
          </w:tcPr>
          <w:p>
            <w:pPr>
              <w:spacing w:after="0"/>
              <w:rPr>
                <w:sz w:val="20"/>
                <w:szCs w:val="20"/>
                <w:color w:val="auto"/>
              </w:rPr>
            </w:pPr>
            <w:r>
              <w:rPr>
                <w:rFonts w:ascii="Arial" w:cs="Arial" w:eastAsia="Arial" w:hAnsi="Arial"/>
                <w:sz w:val="14"/>
                <w:szCs w:val="14"/>
                <w:b w:val="1"/>
                <w:bCs w:val="1"/>
                <w:color w:val="auto"/>
                <w:w w:val="90"/>
              </w:rPr>
              <w:t>December 31, 2005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88,592</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1,093</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2,837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81,623</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88,677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13,333</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10,148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292,276</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309,790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8660" w:type="dxa"/>
            <w:vAlign w:val="bottom"/>
            <w:gridSpan w:val="2"/>
          </w:tcPr>
          <w:p>
            <w:pPr>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475,058</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485,077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186,153</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3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56,104</w:t>
            </w: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54,391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1,009,591</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6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866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64,770</w:t>
            </w:r>
          </w:p>
        </w:tc>
        <w:tc>
          <w:tcPr>
            <w:tcW w:w="500" w:type="dxa"/>
            <w:vAlign w:val="bottom"/>
          </w:tcPr>
          <w:p>
            <w:pPr>
              <w:spacing w:after="0"/>
              <w:rPr>
                <w:sz w:val="18"/>
                <w:szCs w:val="18"/>
                <w:color w:val="auto"/>
              </w:rPr>
            </w:pP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93,911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27,924</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35,473</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28,968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Total current liabilities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134,349</w:t>
            </w: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168,349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57,416</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55,124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Total liabilities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947,440</w:t>
            </w: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980,669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w w:val="98"/>
              </w:rPr>
              <w:t>Series A redeemable convertible preferred units; 60,000 units authorized, 50,091 units issued and 0 units</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outstanding at April 2, 2006 and December 31, 2005</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gridSpan w:val="2"/>
          </w:tcPr>
          <w:p>
            <w:pPr>
              <w:jc w:val="right"/>
              <w:ind w:right="5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640" w:type="dxa"/>
            <w:vAlign w:val="bottom"/>
            <w:shd w:val="clear" w:color="auto" w:fill="CCEEFF"/>
          </w:tcPr>
          <w:p>
            <w:pPr>
              <w:ind w:left="420"/>
              <w:spacing w:after="0"/>
              <w:rPr>
                <w:sz w:val="20"/>
                <w:szCs w:val="20"/>
                <w:color w:val="auto"/>
              </w:rPr>
            </w:pPr>
            <w:r>
              <w:rPr>
                <w:rFonts w:ascii="Arial" w:cs="Arial" w:eastAsia="Arial" w:hAnsi="Arial"/>
                <w:sz w:val="18"/>
                <w:szCs w:val="18"/>
                <w:color w:val="auto"/>
                <w:w w:val="90"/>
              </w:rPr>
              <w:t>Series B redeemable convertible preferred units; 550,000 units authorized, 450,692 units issued and 93,997 units</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6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outstanding at April 2, 2006 and December 31, 2005</w:t>
            </w:r>
          </w:p>
        </w:tc>
        <w:tc>
          <w:tcPr>
            <w:tcW w:w="3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109,095</w:t>
            </w:r>
          </w:p>
        </w:tc>
        <w:tc>
          <w:tcPr>
            <w:tcW w:w="5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3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109,095</w:t>
            </w: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640" w:type="dxa"/>
            <w:vAlign w:val="bottom"/>
          </w:tcPr>
          <w:p>
            <w:pPr>
              <w:ind w:left="420"/>
              <w:spacing w:after="0"/>
              <w:rPr>
                <w:sz w:val="20"/>
                <w:szCs w:val="20"/>
                <w:color w:val="auto"/>
              </w:rPr>
            </w:pPr>
            <w:r>
              <w:rPr>
                <w:rFonts w:ascii="Arial" w:cs="Arial" w:eastAsia="Arial" w:hAnsi="Arial"/>
                <w:sz w:val="18"/>
                <w:szCs w:val="18"/>
                <w:color w:val="auto"/>
                <w:w w:val="93"/>
              </w:rPr>
              <w:t>Common units; 65,000,000 units authorized; 53,130,445 units and 53,091,570 units issued and outstanding at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640" w:type="dxa"/>
            <w:vAlign w:val="bottom"/>
          </w:tcPr>
          <w:p>
            <w:pPr>
              <w:ind w:left="640"/>
              <w:spacing w:after="0"/>
              <w:rPr>
                <w:sz w:val="20"/>
                <w:szCs w:val="20"/>
                <w:color w:val="auto"/>
              </w:rPr>
            </w:pPr>
            <w:r>
              <w:rPr>
                <w:rFonts w:ascii="Arial" w:cs="Arial" w:eastAsia="Arial" w:hAnsi="Arial"/>
                <w:sz w:val="18"/>
                <w:szCs w:val="18"/>
                <w:color w:val="auto"/>
              </w:rPr>
              <w:t>April 2, 2006 and December 31, 2005, respectively</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53,130</w:t>
            </w:r>
          </w:p>
        </w:tc>
        <w:tc>
          <w:tcPr>
            <w:tcW w:w="5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53,092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(136,616)</w:t>
            </w:r>
          </w:p>
        </w:tc>
        <w:tc>
          <w:tcPr>
            <w:tcW w:w="240" w:type="dxa"/>
            <w:vAlign w:val="bottom"/>
          </w:tcPr>
          <w:p>
            <w:pPr>
              <w:spacing w:after="0"/>
              <w:rPr>
                <w:sz w:val="18"/>
                <w:szCs w:val="18"/>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(130,092)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3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34,263</w:t>
            </w:r>
          </w:p>
        </w:tc>
        <w:tc>
          <w:tcPr>
            <w:tcW w:w="5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640" w:type="dxa"/>
            <w:vAlign w:val="bottom"/>
          </w:tcPr>
          <w:p>
            <w:pPr>
              <w:ind w:left="860"/>
              <w:spacing w:after="0"/>
              <w:rPr>
                <w:sz w:val="20"/>
                <w:szCs w:val="20"/>
                <w:color w:val="auto"/>
              </w:rPr>
            </w:pPr>
            <w:r>
              <w:rPr>
                <w:rFonts w:ascii="Arial" w:cs="Arial" w:eastAsia="Arial" w:hAnsi="Arial"/>
                <w:sz w:val="18"/>
                <w:szCs w:val="18"/>
                <w:color w:val="auto"/>
              </w:rPr>
              <w:t>Total unitholders’ equity</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8"/>
                <w:szCs w:val="18"/>
                <w:color w:val="auto"/>
              </w:rPr>
              <w:t>(46,944)</w:t>
            </w:r>
          </w:p>
        </w:tc>
        <w:tc>
          <w:tcPr>
            <w:tcW w:w="24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Total liabilities, redeemable convertible preferred units and unitholders’ equity</w:t>
            </w:r>
          </w:p>
        </w:tc>
        <w:tc>
          <w:tcPr>
            <w:tcW w:w="30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4"/>
              </w:rPr>
              <w:t>1,009,591</w:t>
            </w:r>
          </w:p>
        </w:tc>
        <w:tc>
          <w:tcPr>
            <w:tcW w:w="50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1,040,647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in thousands of US dollars)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12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2, 2006</w:t>
            </w: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April 3,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(3,891)</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(31,278)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50,304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55,306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870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on foreign currency translation, net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(25,758)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Unit-based compensation</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74</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20,912</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10,310</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14,915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(1,186)</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(33,295)</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(10,801)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(67,366)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5,503</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(1,945)</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(4,764)</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(2,858)</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2,036</w:t>
            </w: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Net cash provided by operating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8,502</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Purchase of plant, property and equipment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w w:val="95"/>
              </w:rPr>
              <w:t>(13,541)</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Purchase of intangible assets</w:t>
            </w:r>
          </w:p>
        </w:tc>
        <w:tc>
          <w:tcPr>
            <w:tcW w:w="160" w:type="dxa"/>
            <w:vAlign w:val="bottom"/>
          </w:tcPr>
          <w:p>
            <w:pPr>
              <w:spacing w:after="0"/>
              <w:rPr>
                <w:sz w:val="18"/>
                <w:szCs w:val="18"/>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(698)</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business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Proceeds from disposal of plant, property and equipment</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2,127</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Proceeds from disposal of intangible assets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Decrease in restricted cash</w:t>
            </w: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1,849</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(537)</w:t>
            </w: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vMerge w:val="restart"/>
          </w:tcPr>
          <w:p>
            <w:pPr>
              <w:ind w:left="86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932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gridSpan w:val="2"/>
          </w:tcPr>
          <w:p>
            <w:pPr>
              <w:jc w:val="right"/>
              <w:ind w:right="440"/>
              <w:spacing w:after="0"/>
              <w:rPr>
                <w:sz w:val="20"/>
                <w:szCs w:val="20"/>
                <w:color w:val="auto"/>
              </w:rPr>
            </w:pPr>
            <w:r>
              <w:rPr>
                <w:rFonts w:ascii="Arial" w:cs="Arial" w:eastAsia="Arial" w:hAnsi="Arial"/>
                <w:sz w:val="18"/>
                <w:szCs w:val="18"/>
                <w:color w:val="auto"/>
              </w:rPr>
              <w:t>(8,045)</w:t>
            </w:r>
          </w:p>
        </w:tc>
        <w:tc>
          <w:tcPr>
            <w:tcW w:w="140" w:type="dxa"/>
            <w:vAlign w:val="bottom"/>
          </w:tcPr>
          <w:p>
            <w:pPr>
              <w:spacing w:after="0"/>
              <w:rPr>
                <w:sz w:val="20"/>
                <w:szCs w:val="20"/>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Repayment of short-term borrowings</w:t>
            </w:r>
          </w:p>
        </w:tc>
        <w:tc>
          <w:tcPr>
            <w:tcW w:w="160" w:type="dxa"/>
            <w:vAlign w:val="bottom"/>
          </w:tcPr>
          <w:p>
            <w:pPr>
              <w:spacing w:after="0"/>
              <w:rPr>
                <w:sz w:val="18"/>
                <w:szCs w:val="18"/>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(13,556)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Exercise of unit options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6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9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cash provided by (used in) financing activities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(13,919)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ind w:left="1280"/>
              <w:spacing w:after="0"/>
              <w:rPr>
                <w:sz w:val="20"/>
                <w:szCs w:val="20"/>
                <w:color w:val="auto"/>
              </w:rPr>
            </w:pPr>
            <w:r>
              <w:rPr>
                <w:rFonts w:ascii="Arial" w:cs="Arial" w:eastAsia="Arial" w:hAnsi="Arial"/>
                <w:sz w:val="18"/>
                <w:szCs w:val="18"/>
                <w:color w:val="auto"/>
              </w:rPr>
              <w:t>Effect of exchange rates on cash and cash equivalents</w:t>
            </w:r>
          </w:p>
        </w:tc>
        <w:tc>
          <w:tcPr>
            <w:tcW w:w="16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1,487</w:t>
            </w:r>
          </w:p>
        </w:tc>
        <w:tc>
          <w:tcPr>
            <w:tcW w:w="5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ind w:left="128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(24,264)</w:t>
            </w:r>
          </w:p>
        </w:tc>
        <w:tc>
          <w:tcPr>
            <w:tcW w:w="0" w:type="dxa"/>
            <w:vAlign w:val="bottom"/>
          </w:tcPr>
          <w:p>
            <w:pPr>
              <w:spacing w:after="0"/>
              <w:rPr>
                <w:sz w:val="1"/>
                <w:szCs w:val="1"/>
                <w:color w:val="auto"/>
              </w:rPr>
            </w:pPr>
          </w:p>
        </w:tc>
      </w:tr>
      <w:tr>
        <w:trPr>
          <w:trHeight w:val="221"/>
        </w:trPr>
        <w:tc>
          <w:tcPr>
            <w:tcW w:w="93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58,396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Net increase in cash and cash equivalents from changes of consolidated subsidiaries</w:t>
            </w:r>
          </w:p>
        </w:tc>
        <w:tc>
          <w:tcPr>
            <w:tcW w:w="160" w:type="dxa"/>
            <w:vAlign w:val="bottom"/>
          </w:tcPr>
          <w:p>
            <w:pPr>
              <w:spacing w:after="0"/>
              <w:rPr>
                <w:sz w:val="19"/>
                <w:szCs w:val="19"/>
                <w:color w:val="auto"/>
              </w:rPr>
            </w:pPr>
          </w:p>
        </w:tc>
        <w:tc>
          <w:tcPr>
            <w:tcW w:w="1100" w:type="dxa"/>
            <w:vAlign w:val="bottom"/>
            <w:gridSpan w:val="2"/>
          </w:tcPr>
          <w:p>
            <w:pPr>
              <w:jc w:val="right"/>
              <w:ind w:right="6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1,558</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End of the period</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88,592</w:t>
            </w:r>
          </w:p>
        </w:tc>
        <w:tc>
          <w:tcPr>
            <w:tcW w:w="50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35,690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ind w:right="8940" w:firstLine="8"/>
        <w:spacing w:after="0" w:line="391" w:lineRule="auto"/>
        <w:tabs>
          <w:tab w:leader="none" w:pos="176"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Significant Accounting Policies </w:t>
      </w:r>
      <w:r>
        <w:rPr>
          <w:rFonts w:ascii="Arial" w:cs="Arial" w:eastAsia="Arial" w:hAnsi="Arial"/>
          <w:sz w:val="16"/>
          <w:szCs w:val="16"/>
          <w:b w:val="1"/>
          <w:bCs w:val="1"/>
          <w:i w:val="1"/>
          <w:iCs w:val="1"/>
          <w:color w:val="auto"/>
        </w:rPr>
        <w:t>Basis of Presentation</w:t>
      </w:r>
    </w:p>
    <w:p>
      <w:pPr>
        <w:spacing w:after="0" w:line="1"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 xml:space="preserve">The accompanying unaudited interim condensed consolidated financial statements of MagnaChip Semiconductor LLC and its subsidiaries (the “Company”) have been prepared in accordance with Accounting Principle Board (“APB”) Opinion No. 28, </w:t>
      </w:r>
      <w:r>
        <w:rPr>
          <w:rFonts w:ascii="Arial" w:cs="Arial" w:eastAsia="Arial" w:hAnsi="Arial"/>
          <w:sz w:val="16"/>
          <w:szCs w:val="16"/>
          <w:i w:val="1"/>
          <w:iCs w:val="1"/>
          <w:color w:val="auto"/>
        </w:rPr>
        <w:t>Interim Financial Reporting</w:t>
      </w:r>
      <w:r>
        <w:rPr>
          <w:rFonts w:ascii="Arial" w:cs="Arial" w:eastAsia="Arial" w:hAnsi="Arial"/>
          <w:sz w:val="16"/>
          <w:szCs w:val="16"/>
          <w:color w:val="auto"/>
        </w:rPr>
        <w:t xml:space="preserve"> regarding interim financial information and, accordingly, do not include all of the information and note disclosures required by generally accepted accounting principles in the United States of America for complete financial statements. In the opinion of the Company’s management, the unaudited interim condensed consolidated financial statements include all normal recurring adjustments necessary to present fairly the information required to be set forth therein. All inter-company accounts and transactions have been eliminated. These financial statements should be read in conjunction with the audited consolidated financial statements and notes thereto included in the Company’s Annual Report on Form 10-K for the year ended December 31, 2005, which was filed with the SEC on March 31, 2006. The results of operations for the three-month period ended April 2, 2006 are not necessarily indicative of the results to be expected for a full year or for any other periods.</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In February 2006, the FASB issued Statements of Financial Accounting Standards (“SFAS”) No. 155, </w:t>
      </w:r>
      <w:r>
        <w:rPr>
          <w:rFonts w:ascii="Arial" w:cs="Arial" w:eastAsia="Arial" w:hAnsi="Arial"/>
          <w:sz w:val="16"/>
          <w:szCs w:val="16"/>
          <w:i w:val="1"/>
          <w:iCs w:val="1"/>
          <w:color w:val="auto"/>
        </w:rPr>
        <w:t>Accounting for Certain Hybrid Financial Instruments</w:t>
      </w:r>
    </w:p>
    <w:p>
      <w:pPr>
        <w:spacing w:after="0" w:line="38"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i w:val="1"/>
          <w:iCs w:val="1"/>
          <w:color w:val="auto"/>
        </w:rPr>
        <w:t xml:space="preserve">– an amendment of FASB Statements No. 133 and 140. </w:t>
      </w:r>
      <w:r>
        <w:rPr>
          <w:rFonts w:ascii="Arial" w:cs="Arial" w:eastAsia="Arial" w:hAnsi="Arial"/>
          <w:sz w:val="18"/>
          <w:szCs w:val="18"/>
          <w:color w:val="auto"/>
        </w:rPr>
        <w:t>This Statement amends SFAS No. 133 and SFAS No. 140, and improves the financial reporting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hybrid financial instruments by requiring more consistent accounting. Specifically, this Statement allows fair value remeasurement for any hybrid financial instrument that contains an embedded derivative that otherwise would require bifurcation. This Statement is effective for all financial instruments acquired or issued after the beginning of an entity’s first fiscal year that begins after September 15, 2006. The Company does not expect that adoption of this Statement will have a material impact on its financial statements.</w:t>
      </w:r>
    </w:p>
    <w:p>
      <w:pPr>
        <w:spacing w:after="0" w:line="145"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In May 2005, the FASB issued SFAS 154,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xml:space="preserve">—a replacement of APB Opinion No. 20 and FASB Statement No. 3. This Statement supersedes APB Opinion No. 20,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and FASB Statement No. 3, </w:t>
      </w:r>
      <w:r>
        <w:rPr>
          <w:rFonts w:ascii="Arial" w:cs="Arial" w:eastAsia="Arial" w:hAnsi="Arial"/>
          <w:sz w:val="16"/>
          <w:szCs w:val="16"/>
          <w:i w:val="1"/>
          <w:iCs w:val="1"/>
          <w:color w:val="auto"/>
        </w:rPr>
        <w:t>Reporting Accounting Changes in 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and changes the requirements for the accounting and reporting for a change in accounting principle. This statement requires retrospective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to prior periods’ financial statements of changes in accounting principle, unless it is impracticable to determine either the period-specific effects or the cumulative effect of the change. This standard is effective for accounting changes and corrections of errors made in fiscal years beginning after December 15, 2005. The adoption of this standard has no impact on our financial statements.</w:t>
      </w:r>
    </w:p>
    <w:p>
      <w:pPr>
        <w:spacing w:after="0" w:line="120"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In March 2005, the SEC issued SAB 107, which offers guidance on SFAS No. 123(R). SAB 107 was issued to assist preparers by simplifying some of the implementation challenges of SFAS No. 123(R) while enhancing the information that investors receive. SAB 107 creates a framework that is premised on two overarching themes: (a) considerable judgment will be required by preparers to successfully implement FAS No. 123(R), specifically when valuing employee stock options; and (b) reasonable individuals, acting in good faith, may conclude differently on the fair value of employee stock options. Key topics covered by SAB 107 include valuation models, expected volatility and expected term.</w:t>
      </w:r>
    </w:p>
    <w:p>
      <w:pPr>
        <w:spacing w:after="0" w:line="1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 xml:space="preserve">In December 2004, the FASB issued SFAS 123(R), </w:t>
      </w:r>
      <w:r>
        <w:rPr>
          <w:rFonts w:ascii="Arial" w:cs="Arial" w:eastAsia="Arial" w:hAnsi="Arial"/>
          <w:sz w:val="16"/>
          <w:szCs w:val="16"/>
          <w:i w:val="1"/>
          <w:iCs w:val="1"/>
          <w:color w:val="auto"/>
        </w:rPr>
        <w:t>Share-Based Payment (revised 2004)</w:t>
      </w:r>
      <w:r>
        <w:rPr>
          <w:rFonts w:ascii="Arial" w:cs="Arial" w:eastAsia="Arial" w:hAnsi="Arial"/>
          <w:sz w:val="16"/>
          <w:szCs w:val="16"/>
          <w:color w:val="auto"/>
        </w:rPr>
        <w:t>. This revision affects current practice in a number of ways, including the elimination of the alternative to use the intrinsic value method of accounting from Accounting Principles Board (“APB”) Opinion No. 25 that was provided in FASB Statement No.123 as originally issued. Pursuant to this statement, companies are required to record stock option expenses in its financial statements based on a fair value methodology. This statement became effective and impacted the Company on January 1, 2006. The Company has determined there are no material impacts on its financial statements as a result of the adoption of this FASB Statement.</w:t>
      </w:r>
    </w:p>
    <w:p>
      <w:pPr>
        <w:spacing w:after="0" w:line="10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40"/>
          </w:cols>
          <w:pgMar w:left="240" w:top="459" w:right="2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65"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 xml:space="preserve">In November 2004, the FASB issued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xml:space="preserve"> an amendment of ARB No. 43, Chapter 4. This Statement amends the guidance in Accounting Research Bulletin (“ARB”) No. 43, Chapter 4, </w:t>
      </w:r>
      <w:r>
        <w:rPr>
          <w:rFonts w:ascii="Arial" w:cs="Arial" w:eastAsia="Arial" w:hAnsi="Arial"/>
          <w:sz w:val="18"/>
          <w:szCs w:val="18"/>
          <w:i w:val="1"/>
          <w:iCs w:val="1"/>
          <w:color w:val="auto"/>
        </w:rPr>
        <w:t>Inventory Pricing</w:t>
      </w:r>
      <w:r>
        <w:rPr>
          <w:rFonts w:ascii="Arial" w:cs="Arial" w:eastAsia="Arial" w:hAnsi="Arial"/>
          <w:sz w:val="18"/>
          <w:szCs w:val="18"/>
          <w:color w:val="auto"/>
        </w:rPr>
        <w:t>, to clarify the accounting for abnormal amounts of idle facility expense, freight, handling costs, and wasted material (spoilage), and requires that allocation of fixed production overheads to the costs of conversion be based on the normal capacity of the production facilities. The effective date for the Company was January 1, 2005, and there was no material impact on its financial statements resulting from this FASB Statement.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Inventories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as of April 2, 2006 and December 31, 2005 consist of the following:</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 w:type="dxa"/>
            <w:vAlign w:val="bottom"/>
          </w:tcPr>
          <w:p>
            <w:pPr>
              <w:spacing w:after="0"/>
              <w:rPr>
                <w:sz w:val="14"/>
                <w:szCs w:val="14"/>
                <w:color w:val="auto"/>
              </w:rPr>
            </w:pPr>
          </w:p>
        </w:tc>
        <w:tc>
          <w:tcPr>
            <w:tcW w:w="65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9"/>
              </w:rPr>
              <w:t>April 2, 2006</w:t>
            </w:r>
          </w:p>
        </w:tc>
        <w:tc>
          <w:tcPr>
            <w:tcW w:w="820" w:type="dxa"/>
            <w:vAlign w:val="bottom"/>
            <w:gridSpan w:val="2"/>
          </w:tcPr>
          <w:p>
            <w:pPr>
              <w:spacing w:after="0"/>
              <w:rPr>
                <w:sz w:val="14"/>
                <w:szCs w:val="1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2005</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440" w:type="dxa"/>
            <w:vAlign w:val="bottom"/>
            <w:gridSpan w:val="3"/>
            <w:shd w:val="clear" w:color="auto" w:fill="CCEEFF"/>
          </w:tcPr>
          <w:p>
            <w:pPr>
              <w:ind w:left="122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4"/>
              </w:rPr>
              <w:t>30,509</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28,414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Semi-finished goods and work-in-progress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50,702</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60,095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5,878</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Materials in-transit</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rPr>
              <w:t>2,567</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1,966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valuation allowance</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(8,033)</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(7,612)</w:t>
            </w: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ind w:left="460"/>
              <w:spacing w:after="0"/>
              <w:rPr>
                <w:sz w:val="20"/>
                <w:szCs w:val="20"/>
                <w:color w:val="auto"/>
              </w:rPr>
            </w:pPr>
            <w:r>
              <w:rPr>
                <w:rFonts w:ascii="Arial" w:cs="Arial" w:eastAsia="Arial" w:hAnsi="Arial"/>
                <w:sz w:val="18"/>
                <w:szCs w:val="18"/>
                <w:color w:val="auto"/>
              </w:rPr>
              <w:t>Inventories, net</w:t>
            </w:r>
          </w:p>
        </w:tc>
        <w:tc>
          <w:tcPr>
            <w:tcW w:w="1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7000" w:type="dxa"/>
            <w:vAlign w:val="bottom"/>
            <w:gridSpan w:val="2"/>
            <w:vMerge w:val="continue"/>
          </w:tcPr>
          <w:p>
            <w:pPr>
              <w:spacing w:after="0"/>
              <w:rPr>
                <w:sz w:val="19"/>
                <w:szCs w:val="19"/>
                <w:color w:val="auto"/>
              </w:rPr>
            </w:pPr>
          </w:p>
        </w:tc>
        <w:tc>
          <w:tcPr>
            <w:tcW w:w="1440" w:type="dxa"/>
            <w:vAlign w:val="bottom"/>
            <w:gridSpan w:val="3"/>
          </w:tcPr>
          <w:p>
            <w:pPr>
              <w:ind w:left="1220"/>
              <w:spacing w:after="0"/>
              <w:rPr>
                <w:sz w:val="20"/>
                <w:szCs w:val="20"/>
                <w:color w:val="auto"/>
              </w:rPr>
            </w:pPr>
            <w:r>
              <w:rPr>
                <w:rFonts w:ascii="Arial" w:cs="Arial" w:eastAsia="Arial" w:hAnsi="Arial"/>
                <w:sz w:val="18"/>
                <w:szCs w:val="18"/>
                <w:color w:val="auto"/>
              </w:rPr>
              <w:t>$</w:t>
            </w:r>
          </w:p>
        </w:tc>
        <w:tc>
          <w:tcPr>
            <w:tcW w:w="620" w:type="dxa"/>
            <w:vAlign w:val="bottom"/>
            <w:gridSpan w:val="2"/>
          </w:tcPr>
          <w:p>
            <w:pPr>
              <w:jc w:val="right"/>
              <w:ind w:right="80"/>
              <w:spacing w:after="0"/>
              <w:rPr>
                <w:sz w:val="20"/>
                <w:szCs w:val="20"/>
                <w:color w:val="auto"/>
              </w:rPr>
            </w:pPr>
            <w:r>
              <w:rPr>
                <w:rFonts w:ascii="Arial" w:cs="Arial" w:eastAsia="Arial" w:hAnsi="Arial"/>
                <w:sz w:val="18"/>
                <w:szCs w:val="18"/>
                <w:color w:val="auto"/>
                <w:w w:val="94"/>
              </w:rPr>
              <w:t>81,623</w:t>
            </w:r>
          </w:p>
        </w:tc>
        <w:tc>
          <w:tcPr>
            <w:tcW w:w="740" w:type="dxa"/>
            <w:vAlign w:val="bottom"/>
          </w:tcPr>
          <w:p>
            <w:pPr>
              <w:spacing w:after="0"/>
              <w:rPr>
                <w:sz w:val="19"/>
                <w:szCs w:val="19"/>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88,677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0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Intangible Assets</w:t>
            </w:r>
          </w:p>
        </w:tc>
        <w:tc>
          <w:tcPr>
            <w:tcW w:w="1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7000" w:type="dxa"/>
            <w:vAlign w:val="bottom"/>
            <w:gridSpan w:val="2"/>
            <w:vMerge w:val="continue"/>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7000" w:type="dxa"/>
            <w:vAlign w:val="bottom"/>
            <w:gridSpan w:val="2"/>
          </w:tcPr>
          <w:p>
            <w:pPr>
              <w:ind w:left="460"/>
              <w:spacing w:after="0"/>
              <w:rPr>
                <w:sz w:val="20"/>
                <w:szCs w:val="20"/>
                <w:color w:val="auto"/>
              </w:rPr>
            </w:pPr>
            <w:r>
              <w:rPr>
                <w:rFonts w:ascii="Arial" w:cs="Arial" w:eastAsia="Arial" w:hAnsi="Arial"/>
                <w:sz w:val="18"/>
                <w:szCs w:val="18"/>
                <w:color w:val="auto"/>
              </w:rPr>
              <w:t>Intangible assets as of April 2, 2006 and December 31, 2005 are as follows:</w:t>
            </w: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3"/>
        </w:trPr>
        <w:tc>
          <w:tcPr>
            <w:tcW w:w="46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89"/>
              </w:rPr>
              <w:t>April 2, 2006</w:t>
            </w:r>
          </w:p>
        </w:tc>
        <w:tc>
          <w:tcPr>
            <w:tcW w:w="740" w:type="dxa"/>
            <w:vAlign w:val="bottom"/>
          </w:tcPr>
          <w:p>
            <w:pPr>
              <w:spacing w:after="0"/>
              <w:rPr>
                <w:sz w:val="24"/>
                <w:szCs w:val="24"/>
                <w:color w:val="auto"/>
              </w:rPr>
            </w:pPr>
          </w:p>
        </w:tc>
        <w:tc>
          <w:tcPr>
            <w:tcW w:w="110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December 31, 2005</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4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1440" w:type="dxa"/>
            <w:vAlign w:val="bottom"/>
            <w:gridSpan w:val="3"/>
            <w:shd w:val="clear" w:color="auto" w:fill="CCEEFF"/>
          </w:tcPr>
          <w:p>
            <w:pPr>
              <w:ind w:left="130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24,861</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26,991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Customer relationships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92"/>
              </w:rPr>
              <w:t>200,834</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211,946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7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tcPr>
          <w:p>
            <w:pPr>
              <w:spacing w:after="0"/>
              <w:rPr>
                <w:sz w:val="20"/>
                <w:szCs w:val="20"/>
                <w:color w:val="auto"/>
              </w:rPr>
            </w:pPr>
            <w:r>
              <w:rPr>
                <w:rFonts w:ascii="Arial" w:cs="Arial" w:eastAsia="Arial" w:hAnsi="Arial"/>
                <w:sz w:val="18"/>
                <w:szCs w:val="18"/>
                <w:color w:val="auto"/>
              </w:rPr>
              <w:t>Intellectual property assets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10,973</w:t>
            </w:r>
          </w:p>
        </w:tc>
        <w:tc>
          <w:tcPr>
            <w:tcW w:w="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11,310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0" w:type="dxa"/>
            <w:vAlign w:val="bottom"/>
          </w:tcPr>
          <w:p>
            <w:pPr>
              <w:spacing w:after="0"/>
              <w:rPr>
                <w:sz w:val="18"/>
                <w:szCs w:val="18"/>
                <w:color w:val="auto"/>
              </w:rPr>
            </w:pPr>
          </w:p>
        </w:tc>
        <w:tc>
          <w:tcPr>
            <w:tcW w:w="65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1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6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w w:val="98"/>
              </w:rPr>
              <w:t>(65,610)</w:t>
            </w:r>
          </w:p>
        </w:tc>
        <w:tc>
          <w:tcPr>
            <w:tcW w:w="3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(73,953)</w:t>
            </w:r>
          </w:p>
        </w:tc>
        <w:tc>
          <w:tcPr>
            <w:tcW w:w="0" w:type="dxa"/>
            <w:vAlign w:val="bottom"/>
          </w:tcPr>
          <w:p>
            <w:pPr>
              <w:spacing w:after="0"/>
              <w:rPr>
                <w:sz w:val="1"/>
                <w:szCs w:val="1"/>
                <w:color w:val="auto"/>
              </w:rPr>
            </w:pPr>
          </w:p>
        </w:tc>
      </w:tr>
      <w:tr>
        <w:trPr>
          <w:trHeight w:val="222"/>
        </w:trPr>
        <w:tc>
          <w:tcPr>
            <w:tcW w:w="7000" w:type="dxa"/>
            <w:vAlign w:val="bottom"/>
            <w:gridSpan w:val="2"/>
          </w:tcPr>
          <w:p>
            <w:pPr>
              <w:ind w:left="460"/>
              <w:spacing w:after="0"/>
              <w:rPr>
                <w:sz w:val="20"/>
                <w:szCs w:val="20"/>
                <w:color w:val="auto"/>
              </w:rPr>
            </w:pPr>
            <w:r>
              <w:rPr>
                <w:rFonts w:ascii="Arial" w:cs="Arial" w:eastAsia="Arial" w:hAnsi="Arial"/>
                <w:sz w:val="18"/>
                <w:szCs w:val="18"/>
                <w:color w:val="auto"/>
              </w:rPr>
              <w:t>Intangible assets, net</w:t>
            </w:r>
          </w:p>
        </w:tc>
        <w:tc>
          <w:tcPr>
            <w:tcW w:w="1300" w:type="dxa"/>
            <w:vAlign w:val="bottom"/>
            <w:gridSpan w:val="2"/>
          </w:tcPr>
          <w:p>
            <w:pPr>
              <w:spacing w:after="0"/>
              <w:rPr>
                <w:sz w:val="19"/>
                <w:szCs w:val="19"/>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2"/>
              </w:rPr>
              <w:t>186,153</w:t>
            </w:r>
          </w:p>
        </w:tc>
        <w:tc>
          <w:tcPr>
            <w:tcW w:w="740" w:type="dxa"/>
            <w:vAlign w:val="bottom"/>
          </w:tcPr>
          <w:p>
            <w:pPr>
              <w:spacing w:after="0"/>
              <w:rPr>
                <w:sz w:val="19"/>
                <w:szCs w:val="19"/>
                <w:color w:val="auto"/>
              </w:rPr>
            </w:pPr>
          </w:p>
        </w:tc>
        <w:tc>
          <w:tcPr>
            <w:tcW w:w="3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191,389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Goodwill is reviewed at least annually for possible impairment under SFAS No.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Based on our review performed on the last day of the current quarter, no impairment charge was taken.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459" w:right="2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Product Warranties</w:t>
      </w:r>
    </w:p>
    <w:p>
      <w:pPr>
        <w:spacing w:after="0" w:line="9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The Company records warranty liabilities for the estimated costs that may be incurred under its basic limited warranty included in other current liabilities. This warranty covers defective products and is normally applicable for 12 months from the date of purchase and these liabilities are accrued when product revenues are recognized. Factors that affect the Company’s warranty liability include historical and anticipated rates of warranty claims on those repairs and cost per claim to satisfy the Company’s warranty obligation. As these factors are impacted by actual experience and future expectations, the Company periodically assesses the adequacy of its recorded warranty liabilities and adjusts the amounts when necessary.</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accrued warranty liabilities for the three-month periods ended April 2, 2006 and April 3, 2005 are as follows:</w:t>
      </w:r>
    </w:p>
    <w:p>
      <w:pPr>
        <w:spacing w:after="0" w:line="207" w:lineRule="exact"/>
        <w:rPr>
          <w:sz w:val="20"/>
          <w:szCs w:val="20"/>
          <w:color w:val="auto"/>
        </w:rPr>
      </w:pPr>
    </w:p>
    <w:tbl>
      <w:tblPr>
        <w:tblLayout w:type="fixed"/>
        <w:tblInd w:w="4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308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3"/>
          </w:tcPr>
          <w:p>
            <w:pPr>
              <w:ind w:left="320"/>
              <w:spacing w:after="0"/>
              <w:rPr>
                <w:sz w:val="20"/>
                <w:szCs w:val="20"/>
                <w:color w:val="auto"/>
              </w:rPr>
            </w:pPr>
            <w:r>
              <w:rPr>
                <w:rFonts w:ascii="Arial" w:cs="Arial" w:eastAsia="Arial" w:hAnsi="Arial"/>
                <w:sz w:val="14"/>
                <w:szCs w:val="14"/>
                <w:b w:val="1"/>
                <w:bCs w:val="1"/>
                <w:color w:val="auto"/>
                <w:w w:val="88"/>
              </w:rPr>
              <w:t>Three months ended</w:t>
            </w:r>
          </w:p>
        </w:tc>
        <w:tc>
          <w:tcPr>
            <w:tcW w:w="48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080" w:type="dxa"/>
            <w:vAlign w:val="bottom"/>
          </w:tcPr>
          <w:p>
            <w:pPr>
              <w:spacing w:after="0"/>
              <w:rPr>
                <w:sz w:val="12"/>
                <w:szCs w:val="12"/>
                <w:color w:val="auto"/>
              </w:rPr>
            </w:pPr>
          </w:p>
        </w:tc>
        <w:tc>
          <w:tcPr>
            <w:tcW w:w="3080" w:type="dxa"/>
            <w:vAlign w:val="bottom"/>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April 2, 2006</w:t>
            </w:r>
          </w:p>
        </w:tc>
        <w:tc>
          <w:tcPr>
            <w:tcW w:w="740" w:type="dxa"/>
            <w:vAlign w:val="bottom"/>
          </w:tcPr>
          <w:p>
            <w:pPr>
              <w:spacing w:after="0"/>
              <w:rPr>
                <w:sz w:val="12"/>
                <w:szCs w:val="12"/>
                <w:color w:val="auto"/>
              </w:rPr>
            </w:pPr>
          </w:p>
        </w:tc>
        <w:tc>
          <w:tcPr>
            <w:tcW w:w="76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April 3, 2005</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330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1,036</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Addition to warranty reserve</w:t>
            </w:r>
          </w:p>
        </w:tc>
        <w:tc>
          <w:tcPr>
            <w:tcW w:w="3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80" w:type="dxa"/>
            <w:vAlign w:val="bottom"/>
            <w:gridSpan w:val="2"/>
          </w:tcPr>
          <w:p>
            <w:pPr>
              <w:jc w:val="right"/>
              <w:ind w:right="740"/>
              <w:spacing w:after="0"/>
              <w:rPr>
                <w:sz w:val="20"/>
                <w:szCs w:val="20"/>
                <w:color w:val="auto"/>
              </w:rPr>
            </w:pPr>
            <w:r>
              <w:rPr>
                <w:rFonts w:ascii="Arial" w:cs="Arial" w:eastAsia="Arial" w:hAnsi="Arial"/>
                <w:sz w:val="18"/>
                <w:szCs w:val="18"/>
                <w:color w:val="auto"/>
              </w:rPr>
              <w:t>118</w:t>
            </w:r>
          </w:p>
        </w:tc>
        <w:tc>
          <w:tcPr>
            <w:tcW w:w="28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1,140</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Payments made</w:t>
            </w:r>
          </w:p>
        </w:tc>
        <w:tc>
          <w:tcPr>
            <w:tcW w:w="3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(168)</w:t>
            </w:r>
          </w:p>
        </w:tc>
        <w:tc>
          <w:tcPr>
            <w:tcW w:w="28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(161)</w:t>
            </w:r>
          </w:p>
        </w:tc>
      </w:tr>
      <w:tr>
        <w:trPr>
          <w:trHeight w:val="223"/>
        </w:trPr>
        <w:tc>
          <w:tcPr>
            <w:tcW w:w="20" w:type="dxa"/>
            <w:vAlign w:val="bottom"/>
          </w:tcPr>
          <w:p>
            <w:pPr>
              <w:spacing w:after="0"/>
              <w:rPr>
                <w:sz w:val="19"/>
                <w:szCs w:val="19"/>
                <w:color w:val="auto"/>
              </w:rPr>
            </w:pPr>
          </w:p>
        </w:tc>
        <w:tc>
          <w:tcPr>
            <w:tcW w:w="5080" w:type="dxa"/>
            <w:vAlign w:val="bottom"/>
          </w:tcPr>
          <w:p>
            <w:pPr>
              <w:spacing w:after="0"/>
              <w:rPr>
                <w:sz w:val="20"/>
                <w:szCs w:val="20"/>
                <w:color w:val="auto"/>
              </w:rPr>
            </w:pPr>
            <w:r>
              <w:rPr>
                <w:rFonts w:ascii="Arial" w:cs="Arial" w:eastAsia="Arial" w:hAnsi="Arial"/>
                <w:sz w:val="18"/>
                <w:szCs w:val="18"/>
                <w:color w:val="auto"/>
              </w:rPr>
              <w:t>Translation adjustments</w:t>
            </w:r>
          </w:p>
        </w:tc>
        <w:tc>
          <w:tcPr>
            <w:tcW w:w="30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74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3300" w:type="dxa"/>
            <w:vAlign w:val="bottom"/>
            <w:gridSpan w:val="2"/>
            <w:shd w:val="clear" w:color="auto" w:fill="CCEEFF"/>
          </w:tcPr>
          <w:p>
            <w:pPr>
              <w:ind w:left="308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1,027</w:t>
            </w:r>
          </w:p>
        </w:tc>
        <w:tc>
          <w:tcPr>
            <w:tcW w:w="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Long-term Borrowings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issued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$500 million aggregate principal amount of Second Priority Senior Secured Notes consisting of $300 million aggregate principal amount of Floating Rate Second</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Priority Senior Secured Notes and $200 million aggregate principal amount of 6 </w:t>
      </w:r>
      <w:r>
        <w:rPr>
          <w:rFonts w:ascii="Arial" w:cs="Arial" w:eastAsia="Arial" w:hAnsi="Arial"/>
          <w:sz w:val="20"/>
          <w:szCs w:val="20"/>
          <w:color w:val="auto"/>
          <w:vertAlign w:val="superscript"/>
        </w:rPr>
        <w:t>7</w:t>
      </w:r>
      <w:r>
        <w:rPr>
          <w:rFonts w:ascii="Arial" w:cs="Arial" w:eastAsia="Arial" w:hAnsi="Arial"/>
          <w:sz w:val="16"/>
          <w:szCs w:val="16"/>
          <w:color w:val="auto"/>
        </w:rPr>
        <w:t>/</w:t>
      </w:r>
      <w:r>
        <w:rPr>
          <w:rFonts w:ascii="Arial" w:cs="Arial" w:eastAsia="Arial" w:hAnsi="Arial"/>
          <w:sz w:val="12"/>
          <w:szCs w:val="12"/>
          <w:color w:val="auto"/>
        </w:rPr>
        <w:t>8</w:t>
      </w:r>
      <w:r>
        <w:rPr>
          <w:rFonts w:ascii="Arial" w:cs="Arial" w:eastAsia="Arial" w:hAnsi="Arial"/>
          <w:sz w:val="16"/>
          <w:szCs w:val="16"/>
          <w:color w:val="auto"/>
        </w:rPr>
        <w:t>% Second Priority Senior Secured Notes. At the same time, such subsidiaries</w:t>
      </w:r>
    </w:p>
    <w:p>
      <w:pPr>
        <w:spacing w:after="0"/>
        <w:rPr>
          <w:sz w:val="20"/>
          <w:szCs w:val="20"/>
          <w:color w:val="auto"/>
        </w:rPr>
      </w:pPr>
      <w:r>
        <w:rPr>
          <w:rFonts w:ascii="Arial" w:cs="Arial" w:eastAsia="Arial" w:hAnsi="Arial"/>
          <w:sz w:val="18"/>
          <w:szCs w:val="18"/>
          <w:color w:val="auto"/>
        </w:rPr>
        <w:t>issued $250 million aggregate principal amount of 8% Senior Subordinated Notes.</w:t>
      </w:r>
    </w:p>
    <w:p>
      <w:pPr>
        <w:spacing w:after="0" w:line="157"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Concurrently with the issuance of the Second Priority Senior Secured Notes, the Company entered into a new senior credit agreement with a syndicate of banks, financial institutions and other entities providing for a $100 million senior secured revolving credit facility. Interest is charged at current rates when drawn upon.</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Details of long-term borrowings as of April 2, 2006 and December 31, 2005 are presented as below:</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91"/>
              </w:rPr>
              <w:t>Amount of</w:t>
            </w:r>
          </w:p>
        </w:tc>
      </w:tr>
      <w:tr>
        <w:trPr>
          <w:trHeight w:val="161"/>
        </w:trPr>
        <w:tc>
          <w:tcPr>
            <w:tcW w:w="7860" w:type="dxa"/>
            <w:vAlign w:val="bottom"/>
          </w:tcPr>
          <w:p>
            <w:pPr>
              <w:spacing w:after="0"/>
              <w:rPr>
                <w:sz w:val="14"/>
                <w:szCs w:val="14"/>
                <w:color w:val="auto"/>
              </w:rPr>
            </w:pP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5"/>
              </w:rPr>
              <w:t>Maturity</w:t>
            </w:r>
          </w:p>
        </w:tc>
        <w:tc>
          <w:tcPr>
            <w:tcW w:w="220" w:type="dxa"/>
            <w:vAlign w:val="bottom"/>
          </w:tcPr>
          <w:p>
            <w:pPr>
              <w:spacing w:after="0"/>
              <w:rPr>
                <w:sz w:val="14"/>
                <w:szCs w:val="14"/>
                <w:color w:val="auto"/>
              </w:rPr>
            </w:pPr>
          </w:p>
        </w:tc>
        <w:tc>
          <w:tcPr>
            <w:tcW w:w="18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Annual interest rate (%)</w:t>
            </w:r>
          </w:p>
        </w:tc>
        <w:tc>
          <w:tcPr>
            <w:tcW w:w="220" w:type="dxa"/>
            <w:vAlign w:val="bottom"/>
          </w:tcPr>
          <w:p>
            <w:pPr>
              <w:spacing w:after="0"/>
              <w:rPr>
                <w:sz w:val="14"/>
                <w:szCs w:val="14"/>
                <w:color w:val="auto"/>
              </w:rPr>
            </w:pPr>
          </w:p>
        </w:tc>
        <w:tc>
          <w:tcPr>
            <w:tcW w:w="72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principal</w:t>
            </w:r>
          </w:p>
        </w:tc>
        <w:tc>
          <w:tcPr>
            <w:tcW w:w="20" w:type="dxa"/>
            <w:vAlign w:val="bottom"/>
          </w:tcPr>
          <w:p>
            <w:pPr>
              <w:spacing w:after="0"/>
              <w:rPr>
                <w:sz w:val="14"/>
                <w:szCs w:val="14"/>
                <w:color w:val="auto"/>
              </w:rPr>
            </w:pPr>
          </w:p>
        </w:tc>
      </w:tr>
      <w:tr>
        <w:trPr>
          <w:trHeight w:val="210"/>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Floating Rate Second Priority Senior Secured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2011</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5"/>
              </w:rPr>
              <w:t>3 month LIBOR + 3.250</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$ 300,000</w:t>
            </w:r>
          </w:p>
        </w:tc>
        <w:tc>
          <w:tcPr>
            <w:tcW w:w="20" w:type="dxa"/>
            <w:vAlign w:val="bottom"/>
          </w:tcPr>
          <w:p>
            <w:pPr>
              <w:spacing w:after="0"/>
              <w:rPr>
                <w:sz w:val="18"/>
                <w:szCs w:val="18"/>
                <w:color w:val="auto"/>
              </w:rPr>
            </w:pPr>
          </w:p>
        </w:tc>
      </w:tr>
      <w:tr>
        <w:trPr>
          <w:trHeight w:val="216"/>
        </w:trPr>
        <w:tc>
          <w:tcPr>
            <w:tcW w:w="7860" w:type="dxa"/>
            <w:vAlign w:val="bottom"/>
          </w:tcPr>
          <w:p>
            <w:pPr>
              <w:spacing w:after="0" w:line="217" w:lineRule="exact"/>
              <w:rPr>
                <w:sz w:val="20"/>
                <w:szCs w:val="20"/>
                <w:color w:val="auto"/>
              </w:rPr>
            </w:pPr>
            <w:r>
              <w:rPr>
                <w:rFonts w:ascii="Arial" w:cs="Arial" w:eastAsia="Arial" w:hAnsi="Arial"/>
                <w:sz w:val="18"/>
                <w:szCs w:val="18"/>
                <w:color w:val="auto"/>
              </w:rPr>
              <w:t xml:space="preserve">6 </w:t>
            </w:r>
            <w:r>
              <w:rPr>
                <w:rFonts w:ascii="Arial" w:cs="Arial" w:eastAsia="Arial" w:hAnsi="Arial"/>
                <w:sz w:val="22"/>
                <w:szCs w:val="22"/>
                <w:color w:val="auto"/>
                <w:vertAlign w:val="superscript"/>
              </w:rPr>
              <w:t>7</w:t>
            </w:r>
            <w:r>
              <w:rPr>
                <w:rFonts w:ascii="Arial" w:cs="Arial" w:eastAsia="Arial" w:hAnsi="Arial"/>
                <w:sz w:val="18"/>
                <w:szCs w:val="18"/>
                <w:color w:val="auto"/>
              </w:rPr>
              <w:t>/</w:t>
            </w:r>
            <w:r>
              <w:rPr>
                <w:rFonts w:ascii="Arial" w:cs="Arial" w:eastAsia="Arial" w:hAnsi="Arial"/>
                <w:sz w:val="13"/>
                <w:szCs w:val="13"/>
                <w:color w:val="auto"/>
              </w:rPr>
              <w:t>8</w:t>
            </w:r>
            <w:r>
              <w:rPr>
                <w:rFonts w:ascii="Arial" w:cs="Arial" w:eastAsia="Arial" w:hAnsi="Arial"/>
                <w:sz w:val="18"/>
                <w:szCs w:val="18"/>
                <w:color w:val="auto"/>
              </w:rPr>
              <w:t>% Second Priority Senior Secured Notes</w:t>
            </w: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2011</w:t>
            </w:r>
          </w:p>
        </w:tc>
        <w:tc>
          <w:tcPr>
            <w:tcW w:w="2060" w:type="dxa"/>
            <w:vAlign w:val="bottom"/>
            <w:gridSpan w:val="2"/>
          </w:tcPr>
          <w:p>
            <w:pPr>
              <w:jc w:val="right"/>
              <w:ind w:right="220"/>
              <w:spacing w:after="0"/>
              <w:rPr>
                <w:sz w:val="20"/>
                <w:szCs w:val="20"/>
                <w:color w:val="auto"/>
              </w:rPr>
            </w:pPr>
            <w:r>
              <w:rPr>
                <w:rFonts w:ascii="Arial" w:cs="Arial" w:eastAsia="Arial" w:hAnsi="Arial"/>
                <w:sz w:val="18"/>
                <w:szCs w:val="18"/>
                <w:color w:val="auto"/>
              </w:rPr>
              <w:t>6.875</w:t>
            </w:r>
          </w:p>
        </w:tc>
        <w:tc>
          <w:tcPr>
            <w:tcW w:w="720" w:type="dxa"/>
            <w:vAlign w:val="bottom"/>
          </w:tcPr>
          <w:p>
            <w:pPr>
              <w:jc w:val="right"/>
              <w:spacing w:after="0"/>
              <w:rPr>
                <w:sz w:val="20"/>
                <w:szCs w:val="20"/>
                <w:color w:val="auto"/>
              </w:rPr>
            </w:pPr>
            <w:r>
              <w:rPr>
                <w:rFonts w:ascii="Arial" w:cs="Arial" w:eastAsia="Arial" w:hAnsi="Arial"/>
                <w:sz w:val="18"/>
                <w:szCs w:val="18"/>
                <w:color w:val="auto"/>
              </w:rPr>
              <w:t>200,000</w:t>
            </w:r>
          </w:p>
        </w:tc>
        <w:tc>
          <w:tcPr>
            <w:tcW w:w="20" w:type="dxa"/>
            <w:vAlign w:val="bottom"/>
          </w:tcPr>
          <w:p>
            <w:pPr>
              <w:spacing w:after="0"/>
              <w:rPr>
                <w:sz w:val="18"/>
                <w:szCs w:val="18"/>
                <w:color w:val="auto"/>
              </w:rPr>
            </w:pPr>
          </w:p>
        </w:tc>
      </w:tr>
      <w:tr>
        <w:trPr>
          <w:trHeight w:val="216"/>
        </w:trPr>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8% Senior Subordinated Notes</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2014</w:t>
            </w:r>
          </w:p>
        </w:tc>
        <w:tc>
          <w:tcPr>
            <w:tcW w:w="2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8.000</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250,000</w:t>
            </w:r>
          </w:p>
        </w:tc>
        <w:tc>
          <w:tcPr>
            <w:tcW w:w="20" w:type="dxa"/>
            <w:vAlign w:val="bottom"/>
          </w:tcPr>
          <w:p>
            <w:pPr>
              <w:spacing w:after="0"/>
              <w:rPr>
                <w:sz w:val="18"/>
                <w:szCs w:val="18"/>
                <w:color w:val="auto"/>
              </w:rPr>
            </w:pPr>
          </w:p>
        </w:tc>
      </w:tr>
      <w:tr>
        <w:trPr>
          <w:trHeight w:val="222"/>
        </w:trPr>
        <w:tc>
          <w:tcPr>
            <w:tcW w:w="78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w w:val="87"/>
              </w:rPr>
              <w:t>$ 750,000</w:t>
            </w:r>
          </w:p>
        </w:tc>
      </w:tr>
      <w:tr>
        <w:trPr>
          <w:trHeight w:val="20"/>
        </w:trPr>
        <w:tc>
          <w:tcPr>
            <w:tcW w:w="7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6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secured revolving credit facility and Second Priority Senior Secured Notes are collateralized by substantially all of the assets of the Company.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These notes will be paid in full upon maturity.</w:t>
      </w:r>
    </w:p>
    <w:p>
      <w:pPr>
        <w:spacing w:after="0" w:line="165"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w:t>
      </w:r>
    </w:p>
    <w:p>
      <w:pPr>
        <w:spacing w:after="0" w:line="1" w:lineRule="exact"/>
        <w:rPr>
          <w:sz w:val="20"/>
          <w:szCs w:val="20"/>
          <w:color w:val="auto"/>
        </w:rPr>
      </w:pPr>
    </w:p>
    <w:p>
      <w:pPr>
        <w:ind w:left="5680" w:right="1940" w:hanging="5672"/>
        <w:spacing w:after="0" w:line="433" w:lineRule="auto"/>
        <w:tabs>
          <w:tab w:leader="none" w:pos="364" w:val="left"/>
        </w:tabs>
        <w:numPr>
          <w:ilvl w:val="0"/>
          <w:numId w:val="5"/>
        </w:numPr>
        <w:rPr>
          <w:rFonts w:ascii="Arial" w:cs="Arial" w:eastAsia="Arial" w:hAnsi="Arial"/>
          <w:sz w:val="18"/>
          <w:szCs w:val="18"/>
          <w:color w:val="auto"/>
        </w:rPr>
      </w:pPr>
      <w:r>
        <w:rPr>
          <w:rFonts w:ascii="Arial" w:cs="Arial" w:eastAsia="Arial" w:hAnsi="Arial"/>
          <w:sz w:val="18"/>
          <w:szCs w:val="18"/>
          <w:color w:val="auto"/>
        </w:rPr>
        <w:t>sell all or substantially all of its assets or merge with or into other companies. There is no breach of covenants as of April 2, 2006. 7</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65"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Borrowings under the senior secured credit facility are subject to significant conditions, including compliance with financial ratios and the absence of any material adverse change.</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 of April 2, 2006, the Company and all of its subsidiaries except for MagnaChip Semiconductor (Shanghai) Company Limited have jointly and severally guaranteed each series of the Second Priority Senior Secured Notes on a second priority senior secured basis. As of April 2, 2006, the Company and its subsidiaries except for MagnaChip Semiconductor Ltd. (Korea) and MagnaChip Semiconductor (Shanghai) Company Limited have jointly and severally guaranteed the Senior Subordinated Notes on an unsecured, senior subordinated basis. In addition, the Company and each of its current and future direct and indirect subsidiaries (subject to certain exceptions) will be guarantors of Second Priority Senior Secured Notes and Senior Subordinated Notes.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w:t>
      </w:r>
    </w:p>
    <w:p>
      <w:pPr>
        <w:spacing w:after="0" w:line="90"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Effective June 27, 2005, the Company entered into an interest rate swap agreement (the “Swap”) that converted the variable interest rate of three-month London Inter-bank Offering Rate (“LIBOR”) plus 3.25% to a fixed interest rate of 7.34% on the Company’s Floating Rate Second Priority Senior Secured Notes (the “Notes”). This Swap will be in effect until 15 June, 2008.</w:t>
      </w:r>
    </w:p>
    <w:p>
      <w:pPr>
        <w:spacing w:after="0" w:line="140"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The Swap qualifies as a cash flow hedge under SFAS No. 133, </w:t>
      </w:r>
      <w:r>
        <w:rPr>
          <w:rFonts w:ascii="Arial" w:cs="Arial" w:eastAsia="Arial" w:hAnsi="Arial"/>
          <w:sz w:val="16"/>
          <w:szCs w:val="16"/>
          <w:i w:val="1"/>
          <w:iCs w:val="1"/>
          <w:color w:val="auto"/>
        </w:rPr>
        <w:t>Accounting for Derivative Instruments and Hedging Activities</w:t>
      </w:r>
      <w:r>
        <w:rPr>
          <w:rFonts w:ascii="Arial" w:cs="Arial" w:eastAsia="Arial" w:hAnsi="Arial"/>
          <w:sz w:val="16"/>
          <w:szCs w:val="16"/>
          <w:color w:val="auto"/>
        </w:rPr>
        <w:t>, as amended. The Company is utilizing the “hypothetical derivative method” to measure the effectiveness by comparing the changes in value of the actual derivative versus the change in fair value of the “hypothetical derivative.” Under this methodology, the actual swap was effective when compared to the hypothetical hedge.</w:t>
      </w:r>
    </w:p>
    <w:p>
      <w:pPr>
        <w:spacing w:after="0" w:line="10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For the three-month period ended April 2, 2006, the Company recorded changes in the fair value of the Swap amounting to $2,169 thousand, under other comprehensive income in the accompanying condensed consolidated financial statements. In addition, during the same period, the Company recognized interest income of $367 thousand, which represents the differences between fixed and variable rates.</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Severance Benefits</w:t>
      </w:r>
    </w:p>
    <w:p>
      <w:pPr>
        <w:spacing w:after="0" w:line="96"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Almost all of the accrual for severance benefits is for employees in the Company’s Korean subsidiary. Pursuant to the Labor Standard Act of Korea, employees and most executive officers with one or more years of service are entitled upon the termination of their employment to severance benefits based on their length of service and rate of pay. As of April 2, 2006, 95% of all employees of the Company were eligible for severance benefits.</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the carrying value of accrued severance benefits for the three-month periods ended April 2, 2006 and April 3, 2005 are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9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20" w:type="dxa"/>
            <w:vAlign w:val="bottom"/>
          </w:tcPr>
          <w:p>
            <w:pPr>
              <w:spacing w:after="0"/>
              <w:rPr>
                <w:sz w:val="12"/>
                <w:szCs w:val="12"/>
                <w:color w:val="auto"/>
              </w:rPr>
            </w:pPr>
          </w:p>
        </w:tc>
        <w:tc>
          <w:tcPr>
            <w:tcW w:w="9320" w:type="dxa"/>
            <w:vAlign w:val="bottom"/>
          </w:tcPr>
          <w:p>
            <w:pPr>
              <w:spacing w:after="0"/>
              <w:rPr>
                <w:sz w:val="12"/>
                <w:szCs w:val="12"/>
                <w:color w:val="auto"/>
              </w:rPr>
            </w:pPr>
          </w:p>
        </w:tc>
        <w:tc>
          <w:tcPr>
            <w:tcW w:w="12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April 2, 2006</w:t>
            </w: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April 3, 2005</w:t>
            </w:r>
          </w:p>
        </w:tc>
        <w:tc>
          <w:tcPr>
            <w:tcW w:w="60" w:type="dxa"/>
            <w:vAlign w:val="bottom"/>
          </w:tcPr>
          <w:p>
            <w:pPr>
              <w:spacing w:after="0"/>
              <w:rPr>
                <w:sz w:val="12"/>
                <w:szCs w:val="12"/>
                <w:color w:val="auto"/>
              </w:rPr>
            </w:pPr>
          </w:p>
        </w:tc>
      </w:tr>
      <w:tr>
        <w:trPr>
          <w:trHeight w:val="210"/>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56,967</w:t>
            </w: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52,925</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Provisions</w:t>
            </w: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3,037</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3,656</w:t>
            </w:r>
          </w:p>
        </w:tc>
        <w:tc>
          <w:tcPr>
            <w:tcW w:w="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Transferred from acquired company</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9320" w:type="dxa"/>
            <w:vAlign w:val="bottom"/>
          </w:tcPr>
          <w:p>
            <w:pPr>
              <w:spacing w:after="0"/>
              <w:rPr>
                <w:sz w:val="20"/>
                <w:szCs w:val="20"/>
                <w:color w:val="auto"/>
              </w:rPr>
            </w:pPr>
            <w:r>
              <w:rPr>
                <w:rFonts w:ascii="Arial" w:cs="Arial" w:eastAsia="Arial" w:hAnsi="Arial"/>
                <w:sz w:val="18"/>
                <w:szCs w:val="18"/>
                <w:color w:val="auto"/>
              </w:rPr>
              <w:t>Severance payments</w:t>
            </w:r>
          </w:p>
        </w:tc>
        <w:tc>
          <w:tcPr>
            <w:tcW w:w="180" w:type="dxa"/>
            <w:vAlign w:val="bottom"/>
          </w:tcPr>
          <w:p>
            <w:pPr>
              <w:spacing w:after="0"/>
              <w:rPr>
                <w:sz w:val="18"/>
                <w:szCs w:val="18"/>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(2,858)</w:t>
            </w:r>
          </w:p>
        </w:tc>
        <w:tc>
          <w:tcPr>
            <w:tcW w:w="18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(2,756)</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Effect of foreign currency translation and other</w:t>
            </w: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2,103</w:t>
            </w:r>
          </w:p>
        </w:tc>
        <w:tc>
          <w:tcPr>
            <w:tcW w:w="5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1,216</w:t>
            </w:r>
          </w:p>
        </w:tc>
        <w:tc>
          <w:tcPr>
            <w:tcW w:w="60" w:type="dxa"/>
            <w:vAlign w:val="bottom"/>
            <w:shd w:val="clear" w:color="auto" w:fill="CCEEFF"/>
          </w:tcPr>
          <w:p>
            <w:pPr>
              <w:spacing w:after="0"/>
              <w:rPr>
                <w:sz w:val="18"/>
                <w:szCs w:val="18"/>
                <w:color w:val="auto"/>
              </w:rPr>
            </w:pPr>
          </w:p>
        </w:tc>
      </w:tr>
      <w:tr>
        <w:trPr>
          <w:trHeight w:val="230"/>
        </w:trPr>
        <w:tc>
          <w:tcPr>
            <w:tcW w:w="9340" w:type="dxa"/>
            <w:vAlign w:val="bottom"/>
            <w:gridSpan w:val="2"/>
          </w:tcPr>
          <w:p>
            <w:pPr>
              <w:spacing w:after="0"/>
              <w:rPr>
                <w:sz w:val="20"/>
                <w:szCs w:val="20"/>
                <w:color w:val="auto"/>
              </w:rPr>
            </w:pPr>
            <w:r>
              <w:rPr>
                <w:rFonts w:ascii="Arial" w:cs="Arial" w:eastAsia="Arial" w:hAnsi="Arial"/>
                <w:sz w:val="18"/>
                <w:szCs w:val="18"/>
                <w:color w:val="auto"/>
              </w:rPr>
              <w:t>Ending balance</w:t>
            </w: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59,249</w:t>
            </w:r>
          </w:p>
        </w:tc>
        <w:tc>
          <w:tcPr>
            <w:tcW w:w="5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55,237</w:t>
            </w:r>
          </w:p>
        </w:tc>
        <w:tc>
          <w:tcPr>
            <w:tcW w:w="60" w:type="dxa"/>
            <w:vAlign w:val="bottom"/>
          </w:tcPr>
          <w:p>
            <w:pPr>
              <w:spacing w:after="0"/>
              <w:rPr>
                <w:sz w:val="20"/>
                <w:szCs w:val="20"/>
                <w:color w:val="auto"/>
              </w:rPr>
            </w:pP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20"/>
                <w:szCs w:val="20"/>
                <w:color w:val="auto"/>
              </w:rPr>
            </w:pPr>
            <w:r>
              <w:rPr>
                <w:rFonts w:ascii="Arial" w:cs="Arial" w:eastAsia="Arial" w:hAnsi="Arial"/>
                <w:sz w:val="18"/>
                <w:szCs w:val="18"/>
                <w:color w:val="auto"/>
              </w:rPr>
              <w:t>Less: Cumulative contributions to the National Pension Fund</w:t>
            </w:r>
          </w:p>
        </w:tc>
        <w:tc>
          <w:tcPr>
            <w:tcW w:w="1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(890)</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(1,189)</w:t>
            </w:r>
          </w:p>
        </w:tc>
      </w:tr>
      <w:tr>
        <w:trPr>
          <w:trHeight w:val="223"/>
        </w:trPr>
        <w:tc>
          <w:tcPr>
            <w:tcW w:w="20" w:type="dxa"/>
            <w:vAlign w:val="bottom"/>
          </w:tcPr>
          <w:p>
            <w:pPr>
              <w:spacing w:after="0"/>
              <w:rPr>
                <w:sz w:val="19"/>
                <w:szCs w:val="19"/>
                <w:color w:val="auto"/>
              </w:rPr>
            </w:pPr>
          </w:p>
        </w:tc>
        <w:tc>
          <w:tcPr>
            <w:tcW w:w="9320" w:type="dxa"/>
            <w:vAlign w:val="bottom"/>
          </w:tcPr>
          <w:p>
            <w:pPr>
              <w:ind w:left="420"/>
              <w:spacing w:after="0"/>
              <w:rPr>
                <w:sz w:val="20"/>
                <w:szCs w:val="20"/>
                <w:color w:val="auto"/>
              </w:rPr>
            </w:pPr>
            <w:r>
              <w:rPr>
                <w:rFonts w:ascii="Arial" w:cs="Arial" w:eastAsia="Arial" w:hAnsi="Arial"/>
                <w:sz w:val="18"/>
                <w:szCs w:val="18"/>
                <w:color w:val="auto"/>
              </w:rPr>
              <w:t>Group Severance insurance plan</w:t>
            </w:r>
          </w:p>
        </w:tc>
        <w:tc>
          <w:tcPr>
            <w:tcW w:w="180" w:type="dxa"/>
            <w:vAlign w:val="bottom"/>
          </w:tcPr>
          <w:p>
            <w:pPr>
              <w:spacing w:after="0"/>
              <w:rPr>
                <w:sz w:val="19"/>
                <w:szCs w:val="19"/>
                <w:color w:val="auto"/>
              </w:rPr>
            </w:pPr>
          </w:p>
        </w:tc>
        <w:tc>
          <w:tcPr>
            <w:tcW w:w="1080" w:type="dxa"/>
            <w:vAlign w:val="bottom"/>
            <w:gridSpan w:val="2"/>
          </w:tcPr>
          <w:p>
            <w:pPr>
              <w:jc w:val="right"/>
              <w:ind w:right="440"/>
              <w:spacing w:after="0"/>
              <w:rPr>
                <w:sz w:val="20"/>
                <w:szCs w:val="20"/>
                <w:color w:val="auto"/>
              </w:rPr>
            </w:pPr>
            <w:r>
              <w:rPr>
                <w:rFonts w:ascii="Arial" w:cs="Arial" w:eastAsia="Arial" w:hAnsi="Arial"/>
                <w:sz w:val="18"/>
                <w:szCs w:val="18"/>
                <w:color w:val="auto"/>
              </w:rPr>
              <w:t>(943)</w:t>
            </w:r>
          </w:p>
        </w:tc>
        <w:tc>
          <w:tcPr>
            <w:tcW w:w="18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(997)</w:t>
            </w:r>
          </w:p>
        </w:tc>
      </w:tr>
      <w:tr>
        <w:trPr>
          <w:trHeight w:val="216"/>
        </w:trPr>
        <w:tc>
          <w:tcPr>
            <w:tcW w:w="20" w:type="dxa"/>
            <w:vAlign w:val="bottom"/>
          </w:tcPr>
          <w:p>
            <w:pPr>
              <w:spacing w:after="0"/>
              <w:rPr>
                <w:sz w:val="18"/>
                <w:szCs w:val="18"/>
                <w:color w:val="auto"/>
              </w:rPr>
            </w:pPr>
          </w:p>
        </w:tc>
        <w:tc>
          <w:tcPr>
            <w:tcW w:w="932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57,416</w:t>
            </w:r>
          </w:p>
        </w:tc>
        <w:tc>
          <w:tcPr>
            <w:tcW w:w="50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53,051</w:t>
            </w:r>
          </w:p>
        </w:tc>
        <w:tc>
          <w:tcPr>
            <w:tcW w:w="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93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7"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severance benefits are funded approximately 3.09% and 3.95% as of April 2, 2006 and April 3, 2005, respectively, through our national pension fund and group severance insurance deposit plan which will be used exclusively for payment of severance benefits to eligible employees. These amounts have been deducted from the accrued severance benefit balance.</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the Company expects to pay the following future benefits to its employees upon their normal retirement age:</w:t>
      </w:r>
    </w:p>
    <w:p>
      <w:pPr>
        <w:spacing w:after="0" w:line="207"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472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02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3"/>
              </w:rPr>
              <w:t>Severance benefit</w:t>
            </w:r>
          </w:p>
        </w:tc>
      </w:tr>
      <w:tr>
        <w:trPr>
          <w:trHeight w:val="210"/>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2006 – 2008</w:t>
            </w:r>
          </w:p>
        </w:tc>
        <w:tc>
          <w:tcPr>
            <w:tcW w:w="4200" w:type="dxa"/>
            <w:vAlign w:val="bottom"/>
            <w:gridSpan w:val="2"/>
            <w:shd w:val="clear" w:color="auto" w:fill="CCEEFF"/>
          </w:tcPr>
          <w:p>
            <w:pPr>
              <w:ind w:left="38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4720" w:type="dxa"/>
            <w:vAlign w:val="bottom"/>
          </w:tcPr>
          <w:p>
            <w:pPr>
              <w:spacing w:after="0"/>
              <w:rPr>
                <w:sz w:val="20"/>
                <w:szCs w:val="20"/>
                <w:color w:val="auto"/>
              </w:rPr>
            </w:pPr>
            <w:r>
              <w:rPr>
                <w:rFonts w:ascii="Arial" w:cs="Arial" w:eastAsia="Arial" w:hAnsi="Arial"/>
                <w:sz w:val="18"/>
                <w:szCs w:val="18"/>
                <w:color w:val="auto"/>
              </w:rPr>
              <w:t>2009</w:t>
            </w:r>
          </w:p>
        </w:tc>
        <w:tc>
          <w:tcPr>
            <w:tcW w:w="38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2010</w:t>
            </w:r>
          </w:p>
        </w:tc>
        <w:tc>
          <w:tcPr>
            <w:tcW w:w="38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w:t>
            </w:r>
          </w:p>
        </w:tc>
      </w:tr>
      <w:tr>
        <w:trPr>
          <w:trHeight w:val="222"/>
        </w:trPr>
        <w:tc>
          <w:tcPr>
            <w:tcW w:w="4720" w:type="dxa"/>
            <w:vAlign w:val="bottom"/>
          </w:tcPr>
          <w:p>
            <w:pPr>
              <w:spacing w:after="0"/>
              <w:rPr>
                <w:sz w:val="20"/>
                <w:szCs w:val="20"/>
                <w:color w:val="auto"/>
              </w:rPr>
            </w:pPr>
            <w:r>
              <w:rPr>
                <w:rFonts w:ascii="Arial" w:cs="Arial" w:eastAsia="Arial" w:hAnsi="Arial"/>
                <w:sz w:val="18"/>
                <w:szCs w:val="18"/>
                <w:color w:val="auto"/>
              </w:rPr>
              <w:t>2011 – 2015</w:t>
            </w:r>
          </w:p>
        </w:tc>
        <w:tc>
          <w:tcPr>
            <w:tcW w:w="38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1,855</w:t>
            </w:r>
          </w:p>
        </w:tc>
      </w:tr>
    </w:tbl>
    <w:p>
      <w:pPr>
        <w:spacing w:after="0" w:line="147" w:lineRule="exact"/>
        <w:rPr>
          <w:sz w:val="20"/>
          <w:szCs w:val="20"/>
          <w:color w:val="auto"/>
        </w:rPr>
      </w:pPr>
    </w:p>
    <w:p>
      <w:pPr>
        <w:ind w:right="400" w:firstLine="456"/>
        <w:spacing w:after="0" w:line="259" w:lineRule="auto"/>
        <w:rPr>
          <w:sz w:val="20"/>
          <w:szCs w:val="20"/>
          <w:color w:val="auto"/>
        </w:rPr>
      </w:pPr>
      <w:r>
        <w:rPr>
          <w:rFonts w:ascii="Arial" w:cs="Arial" w:eastAsia="Arial" w:hAnsi="Arial"/>
          <w:sz w:val="18"/>
          <w:szCs w:val="18"/>
          <w:color w:val="auto"/>
        </w:rPr>
        <w:t>The above amounts were determined based on the employees’ current salary rates and the number of service years that will be accumulated upon their retirement dates. These amounts do not include amounts that might be paid to employees that will cease working with the Company before their normal retirement ages.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Series B Redeemable Convertible Preferred Units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Changes in series B redeemable convertible preferred units for the three month periods ended April 2, 2006 and April 3, 2005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4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w w:val="85"/>
              </w:rPr>
              <w:t>Three months ended</w:t>
            </w:r>
          </w:p>
        </w:tc>
        <w:tc>
          <w:tcPr>
            <w:tcW w:w="1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1480" w:type="dxa"/>
            <w:vAlign w:val="bottom"/>
            <w:gridSpan w:val="5"/>
          </w:tcPr>
          <w:p>
            <w:pPr>
              <w:jc w:val="right"/>
              <w:ind w:right="420"/>
              <w:spacing w:after="0" w:line="142" w:lineRule="exact"/>
              <w:rPr>
                <w:sz w:val="20"/>
                <w:szCs w:val="20"/>
                <w:color w:val="auto"/>
              </w:rPr>
            </w:pPr>
            <w:r>
              <w:rPr>
                <w:rFonts w:ascii="Arial" w:cs="Arial" w:eastAsia="Arial" w:hAnsi="Arial"/>
                <w:sz w:val="14"/>
                <w:szCs w:val="14"/>
                <w:b w:val="1"/>
                <w:bCs w:val="1"/>
                <w:color w:val="auto"/>
              </w:rPr>
              <w:t>April 2, 2006</w:t>
            </w:r>
          </w:p>
        </w:tc>
        <w:tc>
          <w:tcPr>
            <w:tcW w:w="1280" w:type="dxa"/>
            <w:vAlign w:val="bottom"/>
            <w:gridSpan w:val="3"/>
          </w:tcPr>
          <w:p>
            <w:pPr>
              <w:jc w:val="right"/>
              <w:ind w:right="192"/>
              <w:spacing w:after="0" w:line="142" w:lineRule="exact"/>
              <w:rPr>
                <w:sz w:val="20"/>
                <w:szCs w:val="20"/>
                <w:color w:val="auto"/>
              </w:rPr>
            </w:pPr>
            <w:r>
              <w:rPr>
                <w:rFonts w:ascii="Arial" w:cs="Arial" w:eastAsia="Arial" w:hAnsi="Arial"/>
                <w:sz w:val="14"/>
                <w:szCs w:val="14"/>
                <w:b w:val="1"/>
                <w:bCs w:val="1"/>
                <w:color w:val="auto"/>
              </w:rPr>
              <w:t>April 3, 2005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640" w:type="dxa"/>
            <w:vAlign w:val="bottom"/>
          </w:tcPr>
          <w:p>
            <w:pPr>
              <w:spacing w:after="0"/>
              <w:rPr>
                <w:sz w:val="12"/>
                <w:szCs w:val="12"/>
                <w:color w:val="auto"/>
              </w:rPr>
            </w:pPr>
          </w:p>
        </w:tc>
        <w:tc>
          <w:tcPr>
            <w:tcW w:w="540" w:type="dxa"/>
            <w:vAlign w:val="bottom"/>
            <w:tcBorders>
              <w:top w:val="single" w:sz="8" w:color="auto"/>
              <w:bottom w:val="single" w:sz="8" w:color="auto"/>
            </w:tcBorders>
          </w:tcPr>
          <w:p>
            <w:pPr>
              <w:jc w:val="right"/>
              <w:ind w:right="42"/>
              <w:spacing w:after="0" w:line="142" w:lineRule="exact"/>
              <w:rPr>
                <w:sz w:val="20"/>
                <w:szCs w:val="20"/>
                <w:color w:val="auto"/>
              </w:rPr>
            </w:pPr>
            <w:r>
              <w:rPr>
                <w:rFonts w:ascii="Arial" w:cs="Arial" w:eastAsia="Arial" w:hAnsi="Arial"/>
                <w:sz w:val="14"/>
                <w:szCs w:val="14"/>
                <w:b w:val="1"/>
                <w:bCs w:val="1"/>
                <w:color w:val="auto"/>
              </w:rPr>
              <w:t>Units</w:t>
            </w:r>
          </w:p>
        </w:tc>
        <w:tc>
          <w:tcPr>
            <w:tcW w:w="4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26"/>
              <w:spacing w:after="0" w:line="142" w:lineRule="exact"/>
              <w:rPr>
                <w:sz w:val="20"/>
                <w:szCs w:val="20"/>
                <w:color w:val="auto"/>
              </w:rPr>
            </w:pPr>
            <w:r>
              <w:rPr>
                <w:rFonts w:ascii="Arial" w:cs="Arial" w:eastAsia="Arial" w:hAnsi="Arial"/>
                <w:sz w:val="14"/>
                <w:szCs w:val="14"/>
                <w:b w:val="1"/>
                <w:bCs w:val="1"/>
                <w:color w:val="auto"/>
                <w:w w:val="98"/>
              </w:rPr>
              <w:t>Amounts</w:t>
            </w:r>
          </w:p>
        </w:tc>
        <w:tc>
          <w:tcPr>
            <w:tcW w:w="12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1"/>
              </w:rPr>
              <w:t>Units</w:t>
            </w:r>
          </w:p>
        </w:tc>
        <w:tc>
          <w:tcPr>
            <w:tcW w:w="120" w:type="dxa"/>
            <w:vAlign w:val="bottom"/>
            <w:tcBorders>
              <w:top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Amounts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93,997</w:t>
            </w: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$ 106,462</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93,997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$ 96,534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640" w:type="dxa"/>
            <w:vAlign w:val="bottom"/>
          </w:tcPr>
          <w:p>
            <w:pPr>
              <w:spacing w:after="0"/>
              <w:rPr>
                <w:sz w:val="20"/>
                <w:szCs w:val="20"/>
                <w:color w:val="auto"/>
              </w:rPr>
            </w:pPr>
            <w:r>
              <w:rPr>
                <w:rFonts w:ascii="Arial" w:cs="Arial" w:eastAsia="Arial" w:hAnsi="Arial"/>
                <w:sz w:val="18"/>
                <w:szCs w:val="18"/>
                <w:color w:val="auto"/>
              </w:rPr>
              <w:t>Accrual of preferred dividends</w:t>
            </w: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2,633</w:t>
            </w:r>
          </w:p>
        </w:tc>
        <w:tc>
          <w:tcPr>
            <w:tcW w:w="52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2,395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864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8640" w:type="dxa"/>
            <w:vAlign w:val="bottom"/>
            <w:shd w:val="clear" w:color="auto" w:fill="CCEEFF"/>
          </w:tcPr>
          <w:p>
            <w:pPr>
              <w:spacing w:after="0"/>
              <w:rPr>
                <w:sz w:val="20"/>
                <w:szCs w:val="20"/>
                <w:color w:val="auto"/>
              </w:rPr>
            </w:pPr>
            <w:r>
              <w:rPr>
                <w:rFonts w:ascii="Arial" w:cs="Arial" w:eastAsia="Arial" w:hAnsi="Arial"/>
                <w:sz w:val="18"/>
                <w:szCs w:val="18"/>
                <w:color w:val="auto"/>
              </w:rPr>
              <w:t>End of period</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93,997</w:t>
            </w:r>
          </w:p>
        </w:tc>
        <w:tc>
          <w:tcPr>
            <w:tcW w:w="40" w:type="dxa"/>
            <w:vAlign w:val="bottom"/>
            <w:shd w:val="clear" w:color="auto" w:fill="CCEEFF"/>
          </w:tcPr>
          <w:p>
            <w:pPr>
              <w:spacing w:after="0"/>
              <w:rPr>
                <w:sz w:val="18"/>
                <w:szCs w:val="18"/>
                <w:color w:val="auto"/>
              </w:rPr>
            </w:pPr>
          </w:p>
        </w:tc>
        <w:tc>
          <w:tcPr>
            <w:tcW w:w="9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w w:val="94"/>
              </w:rPr>
              <w:t>$ 109,095</w:t>
            </w:r>
          </w:p>
        </w:tc>
        <w:tc>
          <w:tcPr>
            <w:tcW w:w="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93,997</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$ 98,929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64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The Series B redeemable convertible preferred units were issued to the original purchasers of the Company in 2004. Holders of Series B receive dividends which are cumulative, whether or not earned or declared by the board of directors. The cumulative cash dividends accrue at the rate of 10% per unit per annum on the Series B original issue price, compounded semi-annually. Such dividends are payable in semi-annual installments in arrears commencing March 15, 2005.</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Earnings per Unit</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illustrates the computation of basic loss per common unit for the three-month periods ended April 2, 2006 and April 3, 2005:</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40" w:type="dxa"/>
            <w:vAlign w:val="bottom"/>
            <w:gridSpan w:val="6"/>
          </w:tcPr>
          <w:p>
            <w:pPr>
              <w:jc w:val="right"/>
              <w:ind w:right="7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860" w:type="dxa"/>
            <w:vAlign w:val="bottom"/>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April 2, 2006</w:t>
            </w:r>
          </w:p>
        </w:tc>
        <w:tc>
          <w:tcPr>
            <w:tcW w:w="3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90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6"/>
              </w:rPr>
              <w:t>April 3, 2005</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(3,891)</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60" w:type="dxa"/>
            <w:vAlign w:val="bottom"/>
          </w:tcPr>
          <w:p>
            <w:pPr>
              <w:spacing w:after="0"/>
              <w:rPr>
                <w:sz w:val="20"/>
                <w:szCs w:val="20"/>
                <w:color w:val="auto"/>
              </w:rPr>
            </w:pPr>
            <w:r>
              <w:rPr>
                <w:rFonts w:ascii="Arial" w:cs="Arial" w:eastAsia="Arial" w:hAnsi="Arial"/>
                <w:sz w:val="18"/>
                <w:szCs w:val="18"/>
                <w:color w:val="auto"/>
              </w:rPr>
              <w:t>Dividends to preferred unitholders</w:t>
            </w: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2,633</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2,395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(6,524)</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(33,673)</w:t>
            </w:r>
          </w:p>
        </w:tc>
        <w:tc>
          <w:tcPr>
            <w:tcW w:w="0" w:type="dxa"/>
            <w:vAlign w:val="bottom"/>
          </w:tcPr>
          <w:p>
            <w:pPr>
              <w:spacing w:after="0"/>
              <w:rPr>
                <w:sz w:val="1"/>
                <w:szCs w:val="1"/>
                <w:color w:val="auto"/>
              </w:rPr>
            </w:pPr>
          </w:p>
        </w:tc>
      </w:tr>
      <w:tr>
        <w:trPr>
          <w:trHeight w:val="20"/>
        </w:trPr>
        <w:tc>
          <w:tcPr>
            <w:tcW w:w="8880" w:type="dxa"/>
            <w:vAlign w:val="bottom"/>
            <w:gridSpan w:val="2"/>
            <w:vMerge w:val="restart"/>
          </w:tcPr>
          <w:p>
            <w:pPr>
              <w:spacing w:after="0"/>
              <w:rPr>
                <w:sz w:val="20"/>
                <w:szCs w:val="20"/>
                <w:color w:val="auto"/>
              </w:rPr>
            </w:pPr>
            <w:r>
              <w:rPr>
                <w:rFonts w:ascii="Arial" w:cs="Arial" w:eastAsia="Arial" w:hAnsi="Arial"/>
                <w:sz w:val="18"/>
                <w:szCs w:val="18"/>
                <w:color w:val="auto"/>
              </w:rPr>
              <w:t>Weighted-average common units outstanding</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8880" w:type="dxa"/>
            <w:vAlign w:val="bottom"/>
            <w:gridSpan w:val="2"/>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53,104,521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52,533,003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60" w:type="dxa"/>
            <w:vAlign w:val="bottom"/>
            <w:shd w:val="clear" w:color="auto" w:fill="CCEEFF"/>
          </w:tcPr>
          <w:p>
            <w:pPr>
              <w:spacing w:after="0"/>
              <w:rPr>
                <w:sz w:val="20"/>
                <w:szCs w:val="20"/>
                <w:color w:val="auto"/>
              </w:rPr>
            </w:pPr>
            <w:r>
              <w:rPr>
                <w:rFonts w:ascii="Arial" w:cs="Arial" w:eastAsia="Arial" w:hAnsi="Arial"/>
                <w:sz w:val="18"/>
                <w:szCs w:val="18"/>
                <w:color w:val="auto"/>
              </w:rPr>
              <w:t>Basic loss per unit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(0.12)</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following outstanding redeemable convertible preferred units issued, options granted and warrants issued were excluded from the computation of diluted loss per unit as they would have an anti-dilutive effect on the calculation:</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560" w:type="dxa"/>
            <w:vAlign w:val="bottom"/>
          </w:tcPr>
          <w:p>
            <w:pPr>
              <w:spacing w:after="0"/>
              <w:rPr>
                <w:sz w:val="14"/>
                <w:szCs w:val="14"/>
                <w:color w:val="auto"/>
              </w:rPr>
            </w:pPr>
          </w:p>
        </w:tc>
        <w:tc>
          <w:tcPr>
            <w:tcW w:w="1880" w:type="dxa"/>
            <w:vAlign w:val="bottom"/>
            <w:gridSpan w:val="4"/>
          </w:tcPr>
          <w:p>
            <w:pPr>
              <w:ind w:left="34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9560" w:type="dxa"/>
            <w:vAlign w:val="bottom"/>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April 2, 2006</w:t>
            </w:r>
          </w:p>
        </w:tc>
        <w:tc>
          <w:tcPr>
            <w:tcW w:w="220" w:type="dxa"/>
            <w:vAlign w:val="bottom"/>
            <w:tcBorders>
              <w:top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92"/>
              </w:rPr>
              <w:t>April 3, 2005</w:t>
            </w:r>
          </w:p>
        </w:tc>
        <w:tc>
          <w:tcPr>
            <w:tcW w:w="20" w:type="dxa"/>
            <w:vAlign w:val="bottom"/>
          </w:tcPr>
          <w:p>
            <w:pPr>
              <w:spacing w:after="0"/>
              <w:rPr>
                <w:sz w:val="12"/>
                <w:szCs w:val="12"/>
                <w:color w:val="auto"/>
              </w:rPr>
            </w:pPr>
          </w:p>
        </w:tc>
      </w:tr>
      <w:tr>
        <w:trPr>
          <w:trHeight w:val="210"/>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Redeemable convertible preferred units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93,997</w:t>
            </w:r>
          </w:p>
        </w:tc>
        <w:tc>
          <w:tcPr>
            <w:tcW w:w="20" w:type="dxa"/>
            <w:vAlign w:val="bottom"/>
          </w:tcPr>
          <w:p>
            <w:pPr>
              <w:spacing w:after="0"/>
              <w:rPr>
                <w:sz w:val="18"/>
                <w:szCs w:val="18"/>
                <w:color w:val="auto"/>
              </w:rPr>
            </w:pPr>
          </w:p>
        </w:tc>
      </w:tr>
      <w:tr>
        <w:trPr>
          <w:trHeight w:val="216"/>
        </w:trPr>
        <w:tc>
          <w:tcPr>
            <w:tcW w:w="9560" w:type="dxa"/>
            <w:vAlign w:val="bottom"/>
          </w:tcPr>
          <w:p>
            <w:pPr>
              <w:spacing w:after="0"/>
              <w:rPr>
                <w:sz w:val="20"/>
                <w:szCs w:val="20"/>
                <w:color w:val="auto"/>
              </w:rPr>
            </w:pPr>
            <w:r>
              <w:rPr>
                <w:rFonts w:ascii="Arial" w:cs="Arial" w:eastAsia="Arial" w:hAnsi="Arial"/>
                <w:sz w:val="18"/>
                <w:szCs w:val="18"/>
                <w:color w:val="auto"/>
              </w:rPr>
              <w:t>Options</w:t>
            </w:r>
          </w:p>
        </w:tc>
        <w:tc>
          <w:tcPr>
            <w:tcW w:w="820" w:type="dxa"/>
            <w:vAlign w:val="bottom"/>
          </w:tcPr>
          <w:p>
            <w:pPr>
              <w:jc w:val="right"/>
              <w:spacing w:after="0"/>
              <w:rPr>
                <w:sz w:val="20"/>
                <w:szCs w:val="20"/>
                <w:color w:val="auto"/>
              </w:rPr>
            </w:pPr>
            <w:r>
              <w:rPr>
                <w:rFonts w:ascii="Arial" w:cs="Arial" w:eastAsia="Arial" w:hAnsi="Arial"/>
                <w:sz w:val="18"/>
                <w:szCs w:val="18"/>
                <w:color w:val="auto"/>
                <w:w w:val="99"/>
              </w:rPr>
              <w:t>4,136,580</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3,066,678</w:t>
            </w:r>
          </w:p>
        </w:tc>
        <w:tc>
          <w:tcPr>
            <w:tcW w:w="20" w:type="dxa"/>
            <w:vAlign w:val="bottom"/>
          </w:tcPr>
          <w:p>
            <w:pPr>
              <w:spacing w:after="0"/>
              <w:rPr>
                <w:sz w:val="18"/>
                <w:szCs w:val="18"/>
                <w:color w:val="auto"/>
              </w:rPr>
            </w:pPr>
          </w:p>
        </w:tc>
      </w:tr>
      <w:tr>
        <w:trPr>
          <w:trHeight w:val="216"/>
        </w:trPr>
        <w:tc>
          <w:tcPr>
            <w:tcW w:w="9560" w:type="dxa"/>
            <w:vAlign w:val="bottom"/>
            <w:shd w:val="clear" w:color="auto" w:fill="CCEEFF"/>
          </w:tcPr>
          <w:p>
            <w:pPr>
              <w:spacing w:after="0"/>
              <w:rPr>
                <w:sz w:val="20"/>
                <w:szCs w:val="20"/>
                <w:color w:val="auto"/>
              </w:rPr>
            </w:pPr>
            <w:r>
              <w:rPr>
                <w:rFonts w:ascii="Arial" w:cs="Arial" w:eastAsia="Arial" w:hAnsi="Arial"/>
                <w:sz w:val="18"/>
                <w:szCs w:val="18"/>
                <w:color w:val="auto"/>
              </w:rPr>
              <w:t>Warrant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5,079,254</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5,079,254</w:t>
            </w:r>
          </w:p>
        </w:tc>
        <w:tc>
          <w:tcPr>
            <w:tcW w:w="20" w:type="dxa"/>
            <w:vAlign w:val="bottom"/>
          </w:tcPr>
          <w:p>
            <w:pPr>
              <w:spacing w:after="0"/>
              <w:rPr>
                <w:sz w:val="18"/>
                <w:szCs w:val="18"/>
                <w:color w:val="auto"/>
              </w:rPr>
            </w:pPr>
          </w:p>
        </w:tc>
      </w:tr>
    </w:tbl>
    <w:p>
      <w:pPr>
        <w:spacing w:after="0" w:line="154"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In connection with the acquisition of our business from Hynix Semiconductor Inc. on October 6, 2004, by Citigroup Venture Capital Equity Partners, L.P., or CVC, Francisco Partners L.P., or Francisco Partners, CVC Asia Pacific Limited, or CVC Asia Pacific (the “Original Acquisition”), the Company issued a warrant to Hynix which enables Hynix to purchase 5,079,254 common units of the Company at an exercise price of $1.00 per unit. This warrant expires on October 6, 2006.</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Equity Incentive Plans</w:t>
      </w:r>
    </w:p>
    <w:p>
      <w:pPr>
        <w:spacing w:after="0" w:line="96" w:lineRule="exact"/>
        <w:rPr>
          <w:sz w:val="20"/>
          <w:szCs w:val="20"/>
          <w:color w:val="auto"/>
        </w:rPr>
      </w:pPr>
    </w:p>
    <w:p>
      <w:pPr>
        <w:ind w:right="40" w:firstLine="456"/>
        <w:spacing w:after="0" w:line="323" w:lineRule="auto"/>
        <w:rPr>
          <w:sz w:val="20"/>
          <w:szCs w:val="20"/>
          <w:color w:val="auto"/>
        </w:rPr>
      </w:pPr>
      <w:r>
        <w:rPr>
          <w:rFonts w:ascii="Arial" w:cs="Arial" w:eastAsia="Arial" w:hAnsi="Arial"/>
          <w:sz w:val="15"/>
          <w:szCs w:val="15"/>
          <w:color w:val="auto"/>
        </w:rPr>
        <w:t>The company adopted two equity incentive plans effective October 6, 2004 and March 21, 2005, respectively, which are administered by a Committee designated by the board of directors. Employees, consultants and non-employee directors are eligible for the grant of options to purchase the Company’s common units or restricted common units subject to terms and conditions determined by the Committee. The term of options in no event exceed ten years from the date of grant. As of April 2, 2006, an aggregate maximum of 7,490,864 common units were authorized and reserved for all future and outstanding grants of options.</w:t>
      </w:r>
    </w:p>
    <w:p>
      <w:pPr>
        <w:spacing w:after="0" w:line="98"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Unit options are generally granted with exercise prices of not less than the fair market value of our common units on the grant date. Generally, options vest and become exercisable in periodic installments, with 25% of the options vesting on the first anniversary of the grant date or the date of employment, whichever is later, and 6.25% of options vesting on the last day of each calendar quarter thereafter. In most cases, the requisite service period, or the period during which a grantee is required to provide service in exchange for option grants, coincides with the vesting period.</w:t>
      </w:r>
    </w:p>
    <w:p>
      <w:pPr>
        <w:spacing w:after="0" w:line="11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Restricted units are issued upon the exercise of certain options to purchase restricted common units. Restricted units issued are subject to restrictions which generally lapse in installments over a four-year period.</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unit option and restricted unit activities for the three months ended April 2, 2006:</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5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5"/>
              </w:rPr>
              <w:t>Weighted average</w:t>
            </w: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w w:val="85"/>
              </w:rPr>
              <w:t>Weighted average</w:t>
            </w:r>
          </w:p>
        </w:tc>
      </w:tr>
      <w:tr>
        <w:trPr>
          <w:trHeight w:val="149"/>
        </w:trPr>
        <w:tc>
          <w:tcPr>
            <w:tcW w:w="6260" w:type="dxa"/>
            <w:vAlign w:val="bottom"/>
          </w:tcPr>
          <w:p>
            <w:pPr>
              <w:spacing w:after="0"/>
              <w:rPr>
                <w:sz w:val="12"/>
                <w:szCs w:val="12"/>
                <w:color w:val="auto"/>
              </w:rPr>
            </w:pPr>
          </w:p>
        </w:tc>
        <w:tc>
          <w:tcPr>
            <w:tcW w:w="1120" w:type="dxa"/>
            <w:vAlign w:val="bottom"/>
            <w:gridSpan w:val="2"/>
          </w:tcPr>
          <w:p>
            <w:pPr>
              <w:ind w:left="120"/>
              <w:spacing w:after="0" w:line="149" w:lineRule="exact"/>
              <w:rPr>
                <w:sz w:val="20"/>
                <w:szCs w:val="20"/>
                <w:color w:val="auto"/>
              </w:rPr>
            </w:pPr>
            <w:r>
              <w:rPr>
                <w:rFonts w:ascii="Arial" w:cs="Arial" w:eastAsia="Arial" w:hAnsi="Arial"/>
                <w:sz w:val="14"/>
                <w:szCs w:val="14"/>
                <w:b w:val="1"/>
                <w:bCs w:val="1"/>
                <w:color w:val="auto"/>
              </w:rPr>
              <w:t>Number of</w:t>
            </w:r>
          </w:p>
        </w:tc>
        <w:tc>
          <w:tcPr>
            <w:tcW w:w="26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8"/>
              </w:rPr>
              <w:t>Number of</w:t>
            </w:r>
          </w:p>
        </w:tc>
        <w:tc>
          <w:tcPr>
            <w:tcW w:w="1540" w:type="dxa"/>
            <w:vAlign w:val="bottom"/>
            <w:gridSpan w:val="2"/>
          </w:tcPr>
          <w:p>
            <w:pPr>
              <w:jc w:val="right"/>
              <w:ind w:right="620"/>
              <w:spacing w:after="0" w:line="149" w:lineRule="exact"/>
              <w:rPr>
                <w:sz w:val="20"/>
                <w:szCs w:val="20"/>
                <w:color w:val="auto"/>
              </w:rPr>
            </w:pPr>
            <w:r>
              <w:rPr>
                <w:rFonts w:ascii="Arial" w:cs="Arial" w:eastAsia="Arial" w:hAnsi="Arial"/>
                <w:sz w:val="14"/>
                <w:szCs w:val="14"/>
                <w:b w:val="1"/>
                <w:bCs w:val="1"/>
                <w:color w:val="auto"/>
                <w:w w:val="96"/>
              </w:rPr>
              <w:t>exercise price</w:t>
            </w:r>
          </w:p>
        </w:tc>
        <w:tc>
          <w:tcPr>
            <w:tcW w:w="1040" w:type="dxa"/>
            <w:vAlign w:val="bottom"/>
          </w:tcPr>
          <w:p>
            <w:pPr>
              <w:jc w:val="right"/>
              <w:ind w:right="144"/>
              <w:spacing w:after="0" w:line="149" w:lineRule="exact"/>
              <w:rPr>
                <w:sz w:val="20"/>
                <w:szCs w:val="20"/>
                <w:color w:val="auto"/>
              </w:rPr>
            </w:pPr>
            <w:r>
              <w:rPr>
                <w:rFonts w:ascii="Arial" w:cs="Arial" w:eastAsia="Arial" w:hAnsi="Arial"/>
                <w:sz w:val="14"/>
                <w:szCs w:val="14"/>
                <w:b w:val="1"/>
                <w:bCs w:val="1"/>
                <w:color w:val="auto"/>
              </w:rPr>
              <w:t>remaining</w:t>
            </w:r>
          </w:p>
        </w:tc>
      </w:tr>
      <w:tr>
        <w:trPr>
          <w:trHeight w:val="175"/>
        </w:trPr>
        <w:tc>
          <w:tcPr>
            <w:tcW w:w="6260" w:type="dxa"/>
            <w:vAlign w:val="bottom"/>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4"/>
              </w:rPr>
              <w:t>restricted units</w:t>
            </w: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2"/>
              </w:rPr>
              <w:t>options</w:t>
            </w:r>
          </w:p>
        </w:tc>
        <w:tc>
          <w:tcPr>
            <w:tcW w:w="500" w:type="dxa"/>
            <w:vAlign w:val="bottom"/>
          </w:tcPr>
          <w:p>
            <w:pPr>
              <w:spacing w:after="0"/>
              <w:rPr>
                <w:sz w:val="15"/>
                <w:szCs w:val="15"/>
                <w:color w:val="auto"/>
              </w:rPr>
            </w:pPr>
          </w:p>
        </w:tc>
        <w:tc>
          <w:tcPr>
            <w:tcW w:w="104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(in US dollar)</w:t>
            </w:r>
          </w:p>
        </w:tc>
        <w:tc>
          <w:tcPr>
            <w:tcW w:w="500" w:type="dxa"/>
            <w:vAlign w:val="bottom"/>
          </w:tcPr>
          <w:p>
            <w:pPr>
              <w:spacing w:after="0"/>
              <w:rPr>
                <w:sz w:val="15"/>
                <w:szCs w:val="15"/>
                <w:color w:val="auto"/>
              </w:rPr>
            </w:pPr>
          </w:p>
        </w:tc>
        <w:tc>
          <w:tcPr>
            <w:tcW w:w="10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w w:val="94"/>
              </w:rPr>
              <w:t>contractual life</w:t>
            </w:r>
          </w:p>
        </w:tc>
      </w:tr>
      <w:tr>
        <w:trPr>
          <w:trHeight w:val="210"/>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January 1, 2006</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1,726,062</w:t>
            </w:r>
          </w:p>
        </w:tc>
        <w:tc>
          <w:tcPr>
            <w:tcW w:w="2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3,780,643</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10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Granted</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500"/>
              <w:spacing w:after="0"/>
              <w:rPr>
                <w:sz w:val="20"/>
                <w:szCs w:val="20"/>
                <w:color w:val="auto"/>
              </w:rPr>
            </w:pPr>
            <w:r>
              <w:rPr>
                <w:rFonts w:ascii="Arial" w:cs="Arial" w:eastAsia="Arial" w:hAnsi="Arial"/>
                <w:sz w:val="18"/>
                <w:szCs w:val="18"/>
                <w:color w:val="auto"/>
              </w:rPr>
              <w:t>570,500</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1.4</w:t>
            </w:r>
          </w:p>
        </w:tc>
        <w:tc>
          <w:tcPr>
            <w:tcW w:w="10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Exercised</w:t>
            </w:r>
          </w:p>
        </w:tc>
        <w:tc>
          <w:tcPr>
            <w:tcW w:w="11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38,875</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1.9</w:t>
            </w:r>
          </w:p>
        </w:tc>
        <w:tc>
          <w:tcPr>
            <w:tcW w:w="1040" w:type="dxa"/>
            <w:vAlign w:val="bottom"/>
            <w:shd w:val="clear" w:color="auto" w:fill="CCEEFF"/>
          </w:tcPr>
          <w:p>
            <w:pPr>
              <w:spacing w:after="0"/>
              <w:rPr>
                <w:sz w:val="18"/>
                <w:szCs w:val="18"/>
                <w:color w:val="auto"/>
              </w:rPr>
            </w:pP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Forfeited</w:t>
            </w:r>
          </w:p>
        </w:tc>
        <w:tc>
          <w:tcPr>
            <w:tcW w:w="1120" w:type="dxa"/>
            <w:vAlign w:val="bottom"/>
            <w:gridSpan w:val="2"/>
          </w:tcPr>
          <w:p>
            <w:pPr>
              <w:ind w:left="62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500"/>
              <w:spacing w:after="0"/>
              <w:rPr>
                <w:sz w:val="20"/>
                <w:szCs w:val="20"/>
                <w:color w:val="auto"/>
              </w:rPr>
            </w:pPr>
            <w:r>
              <w:rPr>
                <w:rFonts w:ascii="Arial" w:cs="Arial" w:eastAsia="Arial" w:hAnsi="Arial"/>
                <w:sz w:val="18"/>
                <w:szCs w:val="18"/>
                <w:color w:val="auto"/>
              </w:rPr>
              <w:t>175,688</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2.1</w:t>
            </w:r>
          </w:p>
        </w:tc>
        <w:tc>
          <w:tcPr>
            <w:tcW w:w="1040" w:type="dxa"/>
            <w:vAlign w:val="bottom"/>
          </w:tcPr>
          <w:p>
            <w:pPr>
              <w:spacing w:after="0"/>
              <w:rPr>
                <w:sz w:val="18"/>
                <w:szCs w:val="18"/>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Released from restriction</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156,631</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22"/>
        </w:trPr>
        <w:tc>
          <w:tcPr>
            <w:tcW w:w="6260" w:type="dxa"/>
            <w:vAlign w:val="bottom"/>
          </w:tcPr>
          <w:p>
            <w:pPr>
              <w:spacing w:after="0"/>
              <w:rPr>
                <w:sz w:val="20"/>
                <w:szCs w:val="20"/>
                <w:color w:val="auto"/>
              </w:rPr>
            </w:pPr>
            <w:r>
              <w:rPr>
                <w:rFonts w:ascii="Arial" w:cs="Arial" w:eastAsia="Arial" w:hAnsi="Arial"/>
                <w:sz w:val="18"/>
                <w:szCs w:val="18"/>
                <w:color w:val="auto"/>
              </w:rPr>
              <w:t>Outstanding at April 2, 2006</w:t>
            </w:r>
          </w:p>
        </w:tc>
        <w:tc>
          <w:tcPr>
            <w:tcW w:w="880" w:type="dxa"/>
            <w:vAlign w:val="bottom"/>
          </w:tcPr>
          <w:p>
            <w:pPr>
              <w:jc w:val="right"/>
              <w:spacing w:after="0"/>
              <w:rPr>
                <w:sz w:val="20"/>
                <w:szCs w:val="20"/>
                <w:color w:val="auto"/>
              </w:rPr>
            </w:pPr>
            <w:r>
              <w:rPr>
                <w:rFonts w:ascii="Arial" w:cs="Arial" w:eastAsia="Arial" w:hAnsi="Arial"/>
                <w:sz w:val="18"/>
                <w:szCs w:val="18"/>
                <w:color w:val="auto"/>
              </w:rPr>
              <w:t>1,569,431</w:t>
            </w:r>
          </w:p>
        </w:tc>
        <w:tc>
          <w:tcPr>
            <w:tcW w:w="240" w:type="dxa"/>
            <w:vAlign w:val="bottom"/>
          </w:tcPr>
          <w:p>
            <w:pPr>
              <w:spacing w:after="0"/>
              <w:rPr>
                <w:sz w:val="19"/>
                <w:szCs w:val="19"/>
                <w:color w:val="auto"/>
              </w:rPr>
            </w:pPr>
          </w:p>
        </w:tc>
        <w:tc>
          <w:tcPr>
            <w:tcW w:w="1460" w:type="dxa"/>
            <w:vAlign w:val="bottom"/>
            <w:gridSpan w:val="3"/>
          </w:tcPr>
          <w:p>
            <w:pPr>
              <w:jc w:val="right"/>
              <w:ind w:right="500"/>
              <w:spacing w:after="0"/>
              <w:rPr>
                <w:sz w:val="20"/>
                <w:szCs w:val="20"/>
                <w:color w:val="auto"/>
              </w:rPr>
            </w:pPr>
            <w:r>
              <w:rPr>
                <w:rFonts w:ascii="Arial" w:cs="Arial" w:eastAsia="Arial" w:hAnsi="Arial"/>
                <w:sz w:val="18"/>
                <w:szCs w:val="18"/>
                <w:color w:val="auto"/>
              </w:rPr>
              <w:t>4,136,580</w:t>
            </w:r>
          </w:p>
        </w:tc>
        <w:tc>
          <w:tcPr>
            <w:tcW w:w="1540" w:type="dxa"/>
            <w:vAlign w:val="bottom"/>
            <w:gridSpan w:val="2"/>
          </w:tcPr>
          <w:p>
            <w:pPr>
              <w:jc w:val="right"/>
              <w:ind w:right="500"/>
              <w:spacing w:after="0"/>
              <w:rPr>
                <w:sz w:val="20"/>
                <w:szCs w:val="20"/>
                <w:color w:val="auto"/>
              </w:rPr>
            </w:pPr>
            <w:r>
              <w:rPr>
                <w:rFonts w:ascii="Arial" w:cs="Arial" w:eastAsia="Arial" w:hAnsi="Arial"/>
                <w:sz w:val="18"/>
                <w:szCs w:val="18"/>
                <w:color w:val="auto"/>
              </w:rPr>
              <w:t>1.5</w:t>
            </w:r>
          </w:p>
        </w:tc>
        <w:tc>
          <w:tcPr>
            <w:tcW w:w="1040" w:type="dxa"/>
            <w:vAlign w:val="bottom"/>
          </w:tcPr>
          <w:p>
            <w:pPr>
              <w:jc w:val="right"/>
              <w:spacing w:after="0"/>
              <w:rPr>
                <w:sz w:val="20"/>
                <w:szCs w:val="20"/>
                <w:color w:val="auto"/>
              </w:rPr>
            </w:pPr>
            <w:r>
              <w:rPr>
                <w:rFonts w:ascii="Arial" w:cs="Arial" w:eastAsia="Arial" w:hAnsi="Arial"/>
                <w:sz w:val="18"/>
                <w:szCs w:val="18"/>
                <w:color w:val="auto"/>
              </w:rPr>
              <w:t>8.9 years</w:t>
            </w:r>
          </w:p>
        </w:tc>
      </w:tr>
      <w:tr>
        <w:trPr>
          <w:trHeight w:val="20"/>
        </w:trPr>
        <w:tc>
          <w:tcPr>
            <w:tcW w:w="6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211"/>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Exercisable at April 2, 2006</w:t>
            </w: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n/a</w:t>
            </w:r>
          </w:p>
        </w:tc>
        <w:tc>
          <w:tcPr>
            <w:tcW w:w="146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rPr>
              <w:t>1,005,944</w:t>
            </w:r>
          </w:p>
        </w:tc>
        <w:tc>
          <w:tcPr>
            <w:tcW w:w="15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1.6</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 years</w:t>
            </w:r>
          </w:p>
        </w:tc>
      </w:tr>
    </w:tbl>
    <w:p>
      <w:pPr>
        <w:spacing w:after="0" w:line="154"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Effective January 1, 2006, the Company adopted SFAS 123(R), </w:t>
      </w:r>
      <w:r>
        <w:rPr>
          <w:rFonts w:ascii="Arial" w:cs="Arial" w:eastAsia="Arial" w:hAnsi="Arial"/>
          <w:sz w:val="18"/>
          <w:szCs w:val="18"/>
          <w:i w:val="1"/>
          <w:iCs w:val="1"/>
          <w:color w:val="auto"/>
        </w:rPr>
        <w:t>Share-Based Payment (revised 2004).</w:t>
      </w:r>
      <w:r>
        <w:rPr>
          <w:rFonts w:ascii="Arial" w:cs="Arial" w:eastAsia="Arial" w:hAnsi="Arial"/>
          <w:sz w:val="18"/>
          <w:szCs w:val="18"/>
          <w:color w:val="auto"/>
        </w:rPr>
        <w:t xml:space="preserve"> As the Company elected to use the modified prospective application method, no restatement was made to the condensed consolidated statements of operations for prior interim periods or fiscal years. Under SFAS 123(R), the Company is required to measure compensation cost for all unit-based awards at fair value on the date of grant and recognize compensation expense over the grantee’s requisite service period. As permitted under SFAS No. 123(R), the Company elected to recognize compensation expense for all options with graded vesting based on the graded attribution method.</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65"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Total compensation expense for the three months ended April 2, 2006 was $74 thousand and $449 thousand of total unrecognized compensation cost is expected to be recognized over a weighted average future period of 1.6 years.</w:t>
      </w:r>
    </w:p>
    <w:p>
      <w:pPr>
        <w:spacing w:after="0" w:line="132" w:lineRule="exact"/>
        <w:rPr>
          <w:sz w:val="20"/>
          <w:szCs w:val="20"/>
          <w:color w:val="auto"/>
        </w:rPr>
      </w:pPr>
    </w:p>
    <w:p>
      <w:pPr>
        <w:ind w:right="420" w:firstLine="456"/>
        <w:spacing w:after="0" w:line="298" w:lineRule="auto"/>
        <w:rPr>
          <w:sz w:val="20"/>
          <w:szCs w:val="20"/>
          <w:color w:val="auto"/>
        </w:rPr>
      </w:pPr>
      <w:r>
        <w:rPr>
          <w:rFonts w:ascii="Arial" w:cs="Arial" w:eastAsia="Arial" w:hAnsi="Arial"/>
          <w:sz w:val="16"/>
          <w:szCs w:val="16"/>
          <w:color w:val="auto"/>
        </w:rPr>
        <w:t xml:space="preserve">Prior to the first quarter of 2006, the Company accounted for its unit-based compensation using the intrinsic value method prescribed in Accounting Principles Board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provided the required pro forma disclosures of SFAS No. 123, </w:t>
      </w:r>
      <w:r>
        <w:rPr>
          <w:rFonts w:ascii="Arial" w:cs="Arial" w:eastAsia="Arial" w:hAnsi="Arial"/>
          <w:sz w:val="16"/>
          <w:szCs w:val="16"/>
          <w:i w:val="1"/>
          <w:iCs w:val="1"/>
          <w:color w:val="auto"/>
        </w:rPr>
        <w:t xml:space="preserve">Accounting for Stock-Based Compensation. </w:t>
      </w:r>
      <w:r>
        <w:rPr>
          <w:rFonts w:ascii="Arial" w:cs="Arial" w:eastAsia="Arial" w:hAnsi="Arial"/>
          <w:sz w:val="16"/>
          <w:szCs w:val="16"/>
          <w:color w:val="auto"/>
        </w:rPr>
        <w:t>The following presents pro forma net loss and per unit data as if the fair value based method had been applied 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for the unit-based compensation for three months ended April 3, 2005:</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160" w:type="dxa"/>
            <w:vAlign w:val="bottom"/>
          </w:tcPr>
          <w:p>
            <w:pPr>
              <w:spacing w:after="0"/>
              <w:rPr>
                <w:sz w:val="14"/>
                <w:szCs w:val="14"/>
                <w:color w:val="auto"/>
              </w:rPr>
            </w:pPr>
          </w:p>
        </w:tc>
        <w:tc>
          <w:tcPr>
            <w:tcW w:w="1260" w:type="dxa"/>
            <w:vAlign w:val="bottom"/>
            <w:gridSpan w:val="3"/>
          </w:tcPr>
          <w:p>
            <w:pPr>
              <w:spacing w:after="0"/>
              <w:rPr>
                <w:sz w:val="20"/>
                <w:szCs w:val="20"/>
                <w:color w:val="auto"/>
              </w:rPr>
            </w:pPr>
            <w:r>
              <w:rPr>
                <w:rFonts w:ascii="Arial" w:cs="Arial" w:eastAsia="Arial" w:hAnsi="Arial"/>
                <w:sz w:val="14"/>
                <w:szCs w:val="14"/>
                <w:b w:val="1"/>
                <w:bCs w:val="1"/>
                <w:color w:val="auto"/>
                <w:w w:val="90"/>
              </w:rPr>
              <w:t>Three months ended</w:t>
            </w:r>
          </w:p>
        </w:tc>
        <w:tc>
          <w:tcPr>
            <w:tcW w:w="0" w:type="dxa"/>
            <w:vAlign w:val="bottom"/>
          </w:tcPr>
          <w:p>
            <w:pPr>
              <w:spacing w:after="0"/>
              <w:rPr>
                <w:sz w:val="1"/>
                <w:szCs w:val="1"/>
                <w:color w:val="auto"/>
              </w:rPr>
            </w:pPr>
          </w:p>
        </w:tc>
      </w:tr>
      <w:tr>
        <w:trPr>
          <w:trHeight w:val="175"/>
        </w:trPr>
        <w:tc>
          <w:tcPr>
            <w:tcW w:w="1016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136"/>
              <w:spacing w:after="0"/>
              <w:rPr>
                <w:sz w:val="20"/>
                <w:szCs w:val="20"/>
                <w:color w:val="auto"/>
              </w:rPr>
            </w:pPr>
            <w:r>
              <w:rPr>
                <w:rFonts w:ascii="Arial" w:cs="Arial" w:eastAsia="Arial" w:hAnsi="Arial"/>
                <w:sz w:val="14"/>
                <w:szCs w:val="14"/>
                <w:b w:val="1"/>
                <w:bCs w:val="1"/>
                <w:color w:val="auto"/>
                <w:w w:val="96"/>
              </w:rPr>
              <w:t>April 3, 2005</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As reported net loss</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08"/>
        </w:trPr>
        <w:tc>
          <w:tcPr>
            <w:tcW w:w="10160" w:type="dxa"/>
            <w:vAlign w:val="bottom"/>
          </w:tcPr>
          <w:p>
            <w:pPr>
              <w:spacing w:after="0"/>
              <w:rPr>
                <w:sz w:val="20"/>
                <w:szCs w:val="20"/>
                <w:color w:val="auto"/>
              </w:rPr>
            </w:pPr>
            <w:r>
              <w:rPr>
                <w:rFonts w:ascii="Arial" w:cs="Arial" w:eastAsia="Arial" w:hAnsi="Arial"/>
                <w:sz w:val="18"/>
                <w:szCs w:val="18"/>
                <w:color w:val="auto"/>
                <w:w w:val="97"/>
              </w:rPr>
              <w:t>Add: Amortization of non-cash deferred unit compensation expense determined under the intrinsic value method as reported in net</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160" w:type="dxa"/>
            <w:vAlign w:val="bottom"/>
          </w:tcPr>
          <w:p>
            <w:pPr>
              <w:ind w:left="220"/>
              <w:spacing w:after="0"/>
              <w:rPr>
                <w:sz w:val="20"/>
                <w:szCs w:val="20"/>
                <w:color w:val="auto"/>
              </w:rPr>
            </w:pPr>
            <w:r>
              <w:rPr>
                <w:rFonts w:ascii="Arial" w:cs="Arial" w:eastAsia="Arial" w:hAnsi="Arial"/>
                <w:sz w:val="18"/>
                <w:szCs w:val="18"/>
                <w:color w:val="auto"/>
              </w:rPr>
              <w:t>loss, net of tax</w:t>
            </w:r>
          </w:p>
        </w:tc>
        <w:tc>
          <w:tcPr>
            <w:tcW w:w="16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Deduct: Total unit-based compensation expense determined under the fair value method for all awards, net of tax</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0"/>
        </w:trPr>
        <w:tc>
          <w:tcPr>
            <w:tcW w:w="10160" w:type="dxa"/>
            <w:vAlign w:val="bottom"/>
            <w:vMerge w:val="restart"/>
          </w:tcPr>
          <w:p>
            <w:pPr>
              <w:spacing w:after="0"/>
              <w:rPr>
                <w:sz w:val="20"/>
                <w:szCs w:val="20"/>
                <w:color w:val="auto"/>
              </w:rPr>
            </w:pPr>
            <w:r>
              <w:rPr>
                <w:rFonts w:ascii="Arial" w:cs="Arial" w:eastAsia="Arial" w:hAnsi="Arial"/>
                <w:sz w:val="18"/>
                <w:szCs w:val="18"/>
                <w:color w:val="auto"/>
              </w:rPr>
              <w:t>Pro forma net loss</w:t>
            </w: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10160" w:type="dxa"/>
            <w:vAlign w:val="bottom"/>
            <w:vMerge w:val="continue"/>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(31,412)</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10160" w:type="dxa"/>
            <w:vAlign w:val="bottom"/>
            <w:shd w:val="clear" w:color="auto" w:fill="CCEEFF"/>
          </w:tcPr>
          <w:p>
            <w:pPr>
              <w:spacing w:after="0"/>
              <w:rPr>
                <w:sz w:val="20"/>
                <w:szCs w:val="20"/>
                <w:color w:val="auto"/>
              </w:rPr>
            </w:pPr>
            <w:r>
              <w:rPr>
                <w:rFonts w:ascii="Arial" w:cs="Arial" w:eastAsia="Arial" w:hAnsi="Arial"/>
                <w:sz w:val="18"/>
                <w:szCs w:val="18"/>
                <w:color w:val="auto"/>
              </w:rPr>
              <w:t>Pro forma loss per unit</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0" w:type="dxa"/>
            <w:vAlign w:val="bottom"/>
          </w:tcPr>
          <w:p>
            <w:pPr>
              <w:spacing w:after="0"/>
              <w:rPr>
                <w:sz w:val="1"/>
                <w:szCs w:val="1"/>
                <w:color w:val="auto"/>
              </w:rPr>
            </w:pPr>
          </w:p>
        </w:tc>
      </w:tr>
      <w:tr>
        <w:trPr>
          <w:trHeight w:val="20"/>
        </w:trPr>
        <w:tc>
          <w:tcPr>
            <w:tcW w:w="10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jc w:val="both"/>
        <w:ind w:right="20" w:firstLine="456"/>
        <w:spacing w:after="0" w:line="268" w:lineRule="auto"/>
        <w:rPr>
          <w:sz w:val="20"/>
          <w:szCs w:val="20"/>
          <w:color w:val="auto"/>
        </w:rPr>
      </w:pPr>
      <w:r>
        <w:rPr>
          <w:rFonts w:ascii="Arial" w:cs="Arial" w:eastAsia="Arial" w:hAnsi="Arial"/>
          <w:sz w:val="18"/>
          <w:szCs w:val="18"/>
          <w:color w:val="auto"/>
        </w:rPr>
        <w:t>The Company utilizes the Black-Scholes option-pricing model to measure the fair value of each option grant. The weighted average grant-date fair value of options granted during the first quarter of 2006 and 2005 were $0.24 and $0.22, respectively.</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summarizes assumptions used in the Black-Scholes option-pricing model (average-weight):</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480" w:type="dxa"/>
            <w:vAlign w:val="bottom"/>
          </w:tcPr>
          <w:p>
            <w:pPr>
              <w:spacing w:after="0"/>
              <w:rPr>
                <w:sz w:val="14"/>
                <w:szCs w:val="14"/>
                <w:color w:val="auto"/>
              </w:rPr>
            </w:pPr>
          </w:p>
        </w:tc>
        <w:tc>
          <w:tcPr>
            <w:tcW w:w="1940" w:type="dxa"/>
            <w:vAlign w:val="bottom"/>
            <w:tcBorders>
              <w:bottom w:val="single" w:sz="8" w:color="auto"/>
            </w:tcBorders>
            <w:gridSpan w:val="3"/>
          </w:tcPr>
          <w:p>
            <w:pPr>
              <w:ind w:left="38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948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April 2, 2006</w:t>
            </w:r>
          </w:p>
        </w:tc>
        <w:tc>
          <w:tcPr>
            <w:tcW w:w="420" w:type="dxa"/>
            <w:vAlign w:val="bottom"/>
          </w:tcPr>
          <w:p>
            <w:pPr>
              <w:spacing w:after="0"/>
              <w:rPr>
                <w:sz w:val="12"/>
                <w:szCs w:val="12"/>
                <w:color w:val="auto"/>
              </w:rPr>
            </w:pPr>
          </w:p>
        </w:tc>
        <w:tc>
          <w:tcPr>
            <w:tcW w:w="760" w:type="dxa"/>
            <w:vAlign w:val="bottom"/>
            <w:tcBorders>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2"/>
              </w:rPr>
              <w:t>April 3, 2005</w:t>
            </w:r>
          </w:p>
        </w:tc>
      </w:tr>
      <w:tr>
        <w:trPr>
          <w:trHeight w:val="210"/>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2.5 years</w:t>
            </w:r>
          </w:p>
        </w:tc>
        <w:tc>
          <w:tcPr>
            <w:tcW w:w="420" w:type="dxa"/>
            <w:vAlign w:val="bottom"/>
            <w:shd w:val="clear" w:color="auto" w:fill="CCEEFF"/>
          </w:tcPr>
          <w:p>
            <w:pPr>
              <w:spacing w:after="0"/>
              <w:rPr>
                <w:sz w:val="18"/>
                <w:szCs w:val="18"/>
                <w:color w:val="auto"/>
              </w:rPr>
            </w:pP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2.0 years</w:t>
            </w:r>
          </w:p>
        </w:tc>
      </w:tr>
      <w:tr>
        <w:trPr>
          <w:trHeight w:val="216"/>
        </w:trPr>
        <w:tc>
          <w:tcPr>
            <w:tcW w:w="9480" w:type="dxa"/>
            <w:vAlign w:val="bottom"/>
          </w:tcPr>
          <w:p>
            <w:pPr>
              <w:spacing w:after="0"/>
              <w:rPr>
                <w:sz w:val="20"/>
                <w:szCs w:val="20"/>
                <w:color w:val="auto"/>
              </w:rPr>
            </w:pPr>
            <w:r>
              <w:rPr>
                <w:rFonts w:ascii="Arial" w:cs="Arial" w:eastAsia="Arial" w:hAnsi="Arial"/>
                <w:sz w:val="18"/>
                <w:szCs w:val="18"/>
                <w:color w:val="auto"/>
              </w:rPr>
              <w:t>Risk-free interest rate</w:t>
            </w:r>
          </w:p>
        </w:tc>
        <w:tc>
          <w:tcPr>
            <w:tcW w:w="760" w:type="dxa"/>
            <w:vAlign w:val="bottom"/>
          </w:tcPr>
          <w:p>
            <w:pPr>
              <w:jc w:val="right"/>
              <w:ind w:right="119"/>
              <w:spacing w:after="0"/>
              <w:rPr>
                <w:sz w:val="20"/>
                <w:szCs w:val="20"/>
                <w:color w:val="auto"/>
              </w:rPr>
            </w:pPr>
            <w:r>
              <w:rPr>
                <w:rFonts w:ascii="Arial" w:cs="Arial" w:eastAsia="Arial" w:hAnsi="Arial"/>
                <w:sz w:val="18"/>
                <w:szCs w:val="18"/>
                <w:color w:val="auto"/>
              </w:rPr>
              <w:t>4.6%</w:t>
            </w:r>
          </w:p>
        </w:tc>
        <w:tc>
          <w:tcPr>
            <w:tcW w:w="1180" w:type="dxa"/>
            <w:vAlign w:val="bottom"/>
            <w:gridSpan w:val="2"/>
          </w:tcPr>
          <w:p>
            <w:pPr>
              <w:jc w:val="right"/>
              <w:ind w:right="119"/>
              <w:spacing w:after="0"/>
              <w:rPr>
                <w:sz w:val="20"/>
                <w:szCs w:val="20"/>
                <w:color w:val="auto"/>
              </w:rPr>
            </w:pPr>
            <w:r>
              <w:rPr>
                <w:rFonts w:ascii="Arial" w:cs="Arial" w:eastAsia="Arial" w:hAnsi="Arial"/>
                <w:sz w:val="18"/>
                <w:szCs w:val="18"/>
                <w:color w:val="auto"/>
              </w:rPr>
              <w:t>2.8%</w:t>
            </w:r>
          </w:p>
        </w:tc>
      </w:tr>
      <w:tr>
        <w:trPr>
          <w:trHeight w:val="216"/>
        </w:trPr>
        <w:tc>
          <w:tcPr>
            <w:tcW w:w="948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760" w:type="dxa"/>
            <w:vAlign w:val="bottom"/>
            <w:shd w:val="clear" w:color="auto" w:fill="CCEEFF"/>
          </w:tcPr>
          <w:p>
            <w:pPr>
              <w:jc w:val="right"/>
              <w:ind w:right="79"/>
              <w:spacing w:after="0"/>
              <w:rPr>
                <w:sz w:val="20"/>
                <w:szCs w:val="20"/>
                <w:color w:val="auto"/>
              </w:rPr>
            </w:pPr>
            <w:r>
              <w:rPr>
                <w:rFonts w:ascii="Arial" w:cs="Arial" w:eastAsia="Arial" w:hAnsi="Arial"/>
                <w:sz w:val="18"/>
                <w:szCs w:val="18"/>
                <w:color w:val="auto"/>
              </w:rPr>
              <w:t>49.0%</w:t>
            </w:r>
          </w:p>
        </w:tc>
        <w:tc>
          <w:tcPr>
            <w:tcW w:w="1180" w:type="dxa"/>
            <w:vAlign w:val="bottom"/>
            <w:gridSpan w:val="2"/>
            <w:shd w:val="clear" w:color="auto" w:fill="CCEEFF"/>
          </w:tcPr>
          <w:p>
            <w:pPr>
              <w:jc w:val="right"/>
              <w:ind w:right="79"/>
              <w:spacing w:after="0"/>
              <w:rPr>
                <w:sz w:val="20"/>
                <w:szCs w:val="20"/>
                <w:color w:val="auto"/>
              </w:rPr>
            </w:pPr>
            <w:r>
              <w:rPr>
                <w:rFonts w:ascii="Arial" w:cs="Arial" w:eastAsia="Arial" w:hAnsi="Arial"/>
                <w:sz w:val="18"/>
                <w:szCs w:val="18"/>
                <w:color w:val="auto"/>
              </w:rPr>
              <w:t>61.9%</w:t>
            </w:r>
          </w:p>
        </w:tc>
      </w:tr>
      <w:tr>
        <w:trPr>
          <w:trHeight w:val="222"/>
        </w:trPr>
        <w:tc>
          <w:tcPr>
            <w:tcW w:w="9480" w:type="dxa"/>
            <w:vAlign w:val="bottom"/>
          </w:tcPr>
          <w:p>
            <w:pPr>
              <w:spacing w:after="0"/>
              <w:rPr>
                <w:sz w:val="20"/>
                <w:szCs w:val="20"/>
                <w:color w:val="auto"/>
              </w:rPr>
            </w:pPr>
            <w:r>
              <w:rPr>
                <w:rFonts w:ascii="Arial" w:cs="Arial" w:eastAsia="Arial" w:hAnsi="Arial"/>
                <w:sz w:val="18"/>
                <w:szCs w:val="18"/>
                <w:color w:val="auto"/>
              </w:rPr>
              <w:t>Expected dividends</w:t>
            </w:r>
          </w:p>
        </w:tc>
        <w:tc>
          <w:tcPr>
            <w:tcW w:w="760" w:type="dxa"/>
            <w:vAlign w:val="bottom"/>
          </w:tcPr>
          <w:p>
            <w:pPr>
              <w:ind w:lef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9"/>
                <w:szCs w:val="19"/>
                <w:color w:val="auto"/>
              </w:rPr>
            </w:pPr>
          </w:p>
        </w:tc>
        <w:tc>
          <w:tcPr>
            <w:tcW w:w="760" w:type="dxa"/>
            <w:vAlign w:val="bottom"/>
          </w:tcPr>
          <w:p>
            <w:pPr>
              <w:ind w:left="260"/>
              <w:spacing w:after="0"/>
              <w:rPr>
                <w:sz w:val="20"/>
                <w:szCs w:val="20"/>
                <w:color w:val="auto"/>
              </w:rPr>
            </w:pPr>
            <w:r>
              <w:rPr>
                <w:rFonts w:ascii="Arial" w:cs="Arial" w:eastAsia="Arial" w:hAnsi="Arial"/>
                <w:sz w:val="18"/>
                <w:szCs w:val="18"/>
                <w:color w:val="auto"/>
              </w:rPr>
              <w:t>—</w:t>
            </w:r>
          </w:p>
        </w:tc>
      </w:tr>
    </w:tbl>
    <w:p>
      <w:pPr>
        <w:spacing w:after="0" w:line="147" w:lineRule="exact"/>
        <w:rPr>
          <w:sz w:val="20"/>
          <w:szCs w:val="20"/>
          <w:color w:val="auto"/>
        </w:rPr>
      </w:pPr>
    </w:p>
    <w:p>
      <w:pPr>
        <w:ind w:right="200" w:firstLine="456"/>
        <w:spacing w:after="0" w:line="306" w:lineRule="auto"/>
        <w:rPr>
          <w:sz w:val="20"/>
          <w:szCs w:val="20"/>
          <w:color w:val="auto"/>
        </w:rPr>
      </w:pPr>
      <w:r>
        <w:rPr>
          <w:rFonts w:ascii="Arial" w:cs="Arial" w:eastAsia="Arial" w:hAnsi="Arial"/>
          <w:sz w:val="16"/>
          <w:szCs w:val="16"/>
          <w:color w:val="auto"/>
        </w:rPr>
        <w:t>The expected term of each option grant was based on employees’ expected exercises and post-vesting employment termination behavior and the risk free interest rate was based on the U.S. Treasury yield curve for the period corresponding with the expected term at the time of grant. The expected volatility was estimated using historical volatility of share prices of similar public entities. No dividends were assumed for this calculation of option value.</w:t>
      </w:r>
    </w:p>
    <w:p>
      <w:pPr>
        <w:spacing w:after="0" w:line="107"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The total cash received from employees as a result of option exercise was $74 thousand for the three months ended April 2, 2006. None of the options exercised during this period had any intrinsic value.</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45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Restructuring</w:t>
      </w:r>
    </w:p>
    <w:p>
      <w:pPr>
        <w:spacing w:after="0" w:line="96" w:lineRule="exact"/>
        <w:rPr>
          <w:sz w:val="20"/>
          <w:szCs w:val="20"/>
          <w:color w:val="auto"/>
        </w:rPr>
      </w:pPr>
    </w:p>
    <w:p>
      <w:pPr>
        <w:ind w:right="180" w:firstLine="456"/>
        <w:spacing w:after="0" w:line="256" w:lineRule="auto"/>
        <w:rPr>
          <w:sz w:val="20"/>
          <w:szCs w:val="20"/>
          <w:color w:val="auto"/>
        </w:rPr>
      </w:pPr>
      <w:r>
        <w:rPr>
          <w:rFonts w:ascii="Arial" w:cs="Arial" w:eastAsia="Arial" w:hAnsi="Arial"/>
          <w:sz w:val="18"/>
          <w:szCs w:val="18"/>
          <w:color w:val="auto"/>
        </w:rPr>
        <w:t xml:space="preserve">In 2005, certain liabilities were incurred in connection with the divesture of the Company’s application processor business to ABOV Semiconductor Co., Ltd. under SFAS No.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The application processor business was subsequently sold in the first quarter of 2006 and no additional restructuring charges were recorded during the same quarter. As of April 2, 2006, the remaining liabilities were $1,543 thousand, which are expected to be paid out within the year of 2006.</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held-for-sale</w:t>
      </w:r>
    </w:p>
    <w:p>
      <w:pPr>
        <w:spacing w:after="0" w:line="90" w:lineRule="exact"/>
        <w:rPr>
          <w:sz w:val="20"/>
          <w:szCs w:val="20"/>
          <w:color w:val="auto"/>
        </w:rPr>
      </w:pPr>
    </w:p>
    <w:p>
      <w:pPr>
        <w:ind w:right="300" w:firstLine="456"/>
        <w:spacing w:after="0" w:line="370" w:lineRule="auto"/>
        <w:rPr>
          <w:sz w:val="20"/>
          <w:szCs w:val="20"/>
          <w:color w:val="auto"/>
        </w:rPr>
      </w:pPr>
      <w:r>
        <w:rPr>
          <w:rFonts w:ascii="Arial" w:cs="Arial" w:eastAsia="Arial" w:hAnsi="Arial"/>
          <w:sz w:val="15"/>
          <w:szCs w:val="15"/>
          <w:color w:val="auto"/>
        </w:rPr>
        <w:t>In connection with the sale of application processor business, the Company identified and segregated related tangible and intangible assets as “held-for-sale” and ceased depreciating and amortizing for such assets. As of April 2, 2006, the remaining amount of held-for-sale assets was $4,332 thousand in total.</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Comprehensive Income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Comprehensive income for the three-month periods ended April 2, 2006 and April 3, 2005 are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Three months ended</w:t>
            </w:r>
          </w:p>
        </w:tc>
      </w:tr>
      <w:tr>
        <w:trPr>
          <w:trHeight w:val="142"/>
        </w:trPr>
        <w:tc>
          <w:tcPr>
            <w:tcW w:w="9240" w:type="dxa"/>
            <w:vAlign w:val="bottom"/>
          </w:tcPr>
          <w:p>
            <w:pPr>
              <w:spacing w:after="0"/>
              <w:rPr>
                <w:sz w:val="12"/>
                <w:szCs w:val="12"/>
                <w:color w:val="auto"/>
              </w:rPr>
            </w:pPr>
          </w:p>
        </w:tc>
        <w:tc>
          <w:tcPr>
            <w:tcW w:w="1360" w:type="dxa"/>
            <w:vAlign w:val="bottom"/>
            <w:tcBorders>
              <w:top w:val="single" w:sz="8" w:color="auto"/>
            </w:tcBorders>
            <w:gridSpan w:val="3"/>
          </w:tcPr>
          <w:p>
            <w:pPr>
              <w:jc w:val="right"/>
              <w:ind w:right="620"/>
              <w:spacing w:after="0" w:line="142" w:lineRule="exact"/>
              <w:rPr>
                <w:sz w:val="20"/>
                <w:szCs w:val="20"/>
                <w:color w:val="auto"/>
              </w:rPr>
            </w:pPr>
            <w:r>
              <w:rPr>
                <w:rFonts w:ascii="Arial" w:cs="Arial" w:eastAsia="Arial" w:hAnsi="Arial"/>
                <w:sz w:val="14"/>
                <w:szCs w:val="14"/>
                <w:b w:val="1"/>
                <w:bCs w:val="1"/>
                <w:color w:val="auto"/>
                <w:w w:val="87"/>
              </w:rPr>
              <w:t>April 2, 2006</w:t>
            </w:r>
          </w:p>
        </w:tc>
        <w:tc>
          <w:tcPr>
            <w:tcW w:w="7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April 3, 2005</w:t>
            </w:r>
          </w:p>
        </w:tc>
        <w:tc>
          <w:tcPr>
            <w:tcW w:w="60" w:type="dxa"/>
            <w:vAlign w:val="bottom"/>
          </w:tcPr>
          <w:p>
            <w:pPr>
              <w:spacing w:after="0"/>
              <w:rPr>
                <w:sz w:val="12"/>
                <w:szCs w:val="12"/>
                <w:color w:val="auto"/>
              </w:rPr>
            </w:pPr>
          </w:p>
        </w:tc>
      </w:tr>
      <w:tr>
        <w:trPr>
          <w:trHeight w:val="20"/>
        </w:trPr>
        <w:tc>
          <w:tcPr>
            <w:tcW w:w="9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(3,891)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(31,278)</w:t>
            </w: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Fair valuation of derivatives</w:t>
            </w: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2,169</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effect and others</w:t>
            </w:r>
          </w:p>
        </w:tc>
        <w:tc>
          <w:tcPr>
            <w:tcW w:w="1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3,747</w:t>
            </w:r>
          </w:p>
        </w:tc>
        <w:tc>
          <w:tcPr>
            <w:tcW w:w="6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4,847</w:t>
            </w:r>
          </w:p>
        </w:tc>
        <w:tc>
          <w:tcPr>
            <w:tcW w:w="60" w:type="dxa"/>
            <w:vAlign w:val="bottom"/>
            <w:shd w:val="clear" w:color="auto" w:fill="CCEEFF"/>
          </w:tcPr>
          <w:p>
            <w:pPr>
              <w:spacing w:after="0"/>
              <w:rPr>
                <w:sz w:val="18"/>
                <w:szCs w:val="18"/>
                <w:color w:val="auto"/>
              </w:rPr>
            </w:pPr>
          </w:p>
        </w:tc>
      </w:tr>
      <w:tr>
        <w:trPr>
          <w:trHeight w:val="222"/>
        </w:trPr>
        <w:tc>
          <w:tcPr>
            <w:tcW w:w="9240" w:type="dxa"/>
            <w:vAlign w:val="bottom"/>
          </w:tcPr>
          <w:p>
            <w:pPr>
              <w:spacing w:after="0"/>
              <w:rPr>
                <w:sz w:val="20"/>
                <w:szCs w:val="20"/>
                <w:color w:val="auto"/>
              </w:rPr>
            </w:pPr>
            <w:r>
              <w:rPr>
                <w:rFonts w:ascii="Arial" w:cs="Arial" w:eastAsia="Arial" w:hAnsi="Arial"/>
                <w:sz w:val="18"/>
                <w:szCs w:val="18"/>
                <w:color w:val="auto"/>
              </w:rPr>
              <w:t>Comprehensive income (loss)</w:t>
            </w: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2,025</w:t>
            </w:r>
          </w:p>
        </w:tc>
        <w:tc>
          <w:tcPr>
            <w:tcW w:w="620" w:type="dxa"/>
            <w:vAlign w:val="bottom"/>
          </w:tcPr>
          <w:p>
            <w:pPr>
              <w:spacing w:after="0"/>
              <w:rPr>
                <w:sz w:val="19"/>
                <w:szCs w:val="19"/>
                <w:color w:val="auto"/>
              </w:rPr>
            </w:pP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680" w:type="dxa"/>
            <w:vAlign w:val="bottom"/>
            <w:gridSpan w:val="2"/>
          </w:tcPr>
          <w:p>
            <w:pPr>
              <w:jc w:val="right"/>
              <w:spacing w:after="0"/>
              <w:rPr>
                <w:sz w:val="20"/>
                <w:szCs w:val="20"/>
                <w:color w:val="auto"/>
              </w:rPr>
            </w:pPr>
            <w:r>
              <w:rPr>
                <w:rFonts w:ascii="Arial" w:cs="Arial" w:eastAsia="Arial" w:hAnsi="Arial"/>
                <w:sz w:val="18"/>
                <w:szCs w:val="18"/>
                <w:color w:val="auto"/>
                <w:w w:val="98"/>
              </w:rPr>
              <w:t>(26,431)</w:t>
            </w:r>
          </w:p>
        </w:tc>
      </w:tr>
      <w:tr>
        <w:trPr>
          <w:trHeight w:val="20"/>
        </w:trPr>
        <w:tc>
          <w:tcPr>
            <w:tcW w:w="9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Condensed Consolidating Financial Statements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senior secured credit facility and Second Priority Senior Secured Notes are each fully and unconditionally guaranteed by the Company and all of its subsidiaries, except for MagnaChip Semiconductor (Shanghai) Company Limited. The Senior Subordinated Notes are fully and unconditionally guaranteed by the Company and all of its subsidiaries, except for MagnaChip Semiconductor, Ltd. (Korea) and MagnaChip Semiconductor (Shanghai) Company Limited. Below are condensed consolidating balance sheets as of April 2, 2006 and December 31, 2005 and condensed consolidating statements of operations and of cash flows for the three months ended April 2, 2006 and April 3, 2005 of those entities that guarantee the Senior Subordinated Notes, those that do not, MagnaChip Semiconductor LLC, and the co-issuers.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2,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580"/>
              <w:spacing w:after="0" w:line="149" w:lineRule="exact"/>
              <w:rPr>
                <w:sz w:val="20"/>
                <w:szCs w:val="20"/>
                <w:color w:val="auto"/>
              </w:rPr>
            </w:pPr>
            <w:r>
              <w:rPr>
                <w:rFonts w:ascii="Arial" w:cs="Arial" w:eastAsia="Arial" w:hAnsi="Arial"/>
                <w:sz w:val="14"/>
                <w:szCs w:val="14"/>
                <w:b w:val="1"/>
                <w:bCs w:val="1"/>
                <w:color w:val="auto"/>
              </w:rPr>
              <w:t>Finance</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4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7"/>
              </w:rPr>
              <w:t>Company &amp;</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460"/>
              <w:spacing w:after="0" w:line="149" w:lineRule="exact"/>
              <w:rPr>
                <w:sz w:val="20"/>
                <w:szCs w:val="20"/>
                <w:color w:val="auto"/>
              </w:rPr>
            </w:pPr>
            <w:r>
              <w:rPr>
                <w:rFonts w:ascii="Arial" w:cs="Arial" w:eastAsia="Arial" w:hAnsi="Arial"/>
                <w:sz w:val="14"/>
                <w:szCs w:val="14"/>
                <w:b w:val="1"/>
                <w:bCs w:val="1"/>
                <w:color w:val="auto"/>
                <w:w w:val="90"/>
              </w:rPr>
              <w:t>MagnaChip</w:t>
            </w:r>
          </w:p>
        </w:tc>
        <w:tc>
          <w:tcPr>
            <w:tcW w:w="80" w:type="dxa"/>
            <w:vAlign w:val="bottom"/>
          </w:tcPr>
          <w:p>
            <w:pPr>
              <w:spacing w:after="0"/>
              <w:rPr>
                <w:sz w:val="12"/>
                <w:szCs w:val="12"/>
                <w:color w:val="auto"/>
              </w:rPr>
            </w:pPr>
          </w:p>
        </w:tc>
        <w:tc>
          <w:tcPr>
            <w:tcW w:w="116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4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2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3"/>
          </w:tcPr>
          <w:p>
            <w:pPr>
              <w:jc w:val="right"/>
              <w:ind w:right="680"/>
              <w:spacing w:after="0" w:line="149" w:lineRule="exact"/>
              <w:rPr>
                <w:sz w:val="20"/>
                <w:szCs w:val="20"/>
                <w:color w:val="auto"/>
              </w:rPr>
            </w:pPr>
            <w:r>
              <w:rPr>
                <w:rFonts w:ascii="Arial" w:cs="Arial" w:eastAsia="Arial" w:hAnsi="Arial"/>
                <w:sz w:val="14"/>
                <w:szCs w:val="14"/>
                <w:b w:val="1"/>
                <w:bCs w:val="1"/>
                <w:color w:val="auto"/>
              </w:rPr>
              <w:t>LLC</w:t>
            </w:r>
          </w:p>
        </w:tc>
        <w:tc>
          <w:tcPr>
            <w:tcW w:w="80" w:type="dxa"/>
            <w:vAlign w:val="bottom"/>
          </w:tcPr>
          <w:p>
            <w:pPr>
              <w:spacing w:after="0"/>
              <w:rPr>
                <w:sz w:val="12"/>
                <w:szCs w:val="12"/>
                <w:color w:val="auto"/>
              </w:rPr>
            </w:pPr>
          </w:p>
        </w:tc>
        <w:tc>
          <w:tcPr>
            <w:tcW w:w="1160" w:type="dxa"/>
            <w:vAlign w:val="bottom"/>
            <w:gridSpan w:val="2"/>
          </w:tcPr>
          <w:p>
            <w:pPr>
              <w:jc w:val="right"/>
              <w:ind w:right="680"/>
              <w:spacing w:after="0" w:line="149" w:lineRule="exact"/>
              <w:rPr>
                <w:sz w:val="20"/>
                <w:szCs w:val="20"/>
                <w:color w:val="auto"/>
              </w:rPr>
            </w:pPr>
            <w:r>
              <w:rPr>
                <w:rFonts w:ascii="Arial" w:cs="Arial" w:eastAsia="Arial" w:hAnsi="Arial"/>
                <w:sz w:val="14"/>
                <w:szCs w:val="14"/>
                <w:b w:val="1"/>
                <w:bCs w:val="1"/>
                <w:color w:val="auto"/>
              </w:rPr>
              <w:t>S.A.</w:t>
            </w:r>
          </w:p>
        </w:tc>
        <w:tc>
          <w:tcPr>
            <w:tcW w:w="100" w:type="dxa"/>
            <w:vAlign w:val="bottom"/>
          </w:tcPr>
          <w:p>
            <w:pPr>
              <w:spacing w:after="0"/>
              <w:rPr>
                <w:sz w:val="12"/>
                <w:szCs w:val="12"/>
                <w:color w:val="auto"/>
              </w:rPr>
            </w:pPr>
          </w:p>
        </w:tc>
        <w:tc>
          <w:tcPr>
            <w:tcW w:w="9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(Parent)</w:t>
            </w:r>
          </w:p>
        </w:tc>
        <w:tc>
          <w:tcPr>
            <w:tcW w:w="380" w:type="dxa"/>
            <w:vAlign w:val="bottom"/>
            <w:gridSpan w:val="2"/>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18"/>
              <w:spacing w:after="0"/>
              <w:rPr>
                <w:sz w:val="20"/>
                <w:szCs w:val="20"/>
                <w:color w:val="auto"/>
              </w:rPr>
            </w:pPr>
            <w:r>
              <w:rPr>
                <w:rFonts w:ascii="Arial" w:cs="Arial" w:eastAsia="Arial" w:hAnsi="Arial"/>
                <w:sz w:val="14"/>
                <w:szCs w:val="14"/>
                <w:b w:val="1"/>
                <w:bCs w:val="1"/>
                <w:color w:val="auto"/>
                <w:w w:val="83"/>
              </w:rPr>
              <w:t>(Co-Issuers)</w:t>
            </w:r>
          </w:p>
        </w:tc>
        <w:tc>
          <w:tcPr>
            <w:tcW w:w="360" w:type="dxa"/>
            <w:vAlign w:val="bottom"/>
          </w:tcPr>
          <w:p>
            <w:pPr>
              <w:spacing w:after="0"/>
              <w:rPr>
                <w:sz w:val="15"/>
                <w:szCs w:val="15"/>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Guarantors</w:t>
            </w:r>
          </w:p>
        </w:tc>
        <w:tc>
          <w:tcPr>
            <w:tcW w:w="360" w:type="dxa"/>
            <w:vAlign w:val="bottom"/>
          </w:tcPr>
          <w:p>
            <w:pPr>
              <w:spacing w:after="0"/>
              <w:rPr>
                <w:sz w:val="15"/>
                <w:szCs w:val="15"/>
                <w:color w:val="auto"/>
              </w:rPr>
            </w:pPr>
          </w:p>
        </w:tc>
        <w:tc>
          <w:tcPr>
            <w:tcW w:w="6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7"/>
              </w:rPr>
              <w:t>Guarantors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6"/>
              </w:rPr>
              <w:t>Eliminations</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80" w:type="dxa"/>
            <w:vAlign w:val="bottom"/>
            <w:tcBorders>
              <w:bottom w:val="single" w:sz="8" w:color="auto"/>
            </w:tcBorders>
            <w:gridSpan w:val="2"/>
          </w:tcPr>
          <w:p>
            <w:pPr>
              <w:spacing w:after="0"/>
              <w:rPr>
                <w:sz w:val="20"/>
                <w:szCs w:val="20"/>
                <w:color w:val="auto"/>
              </w:rPr>
            </w:pPr>
            <w:r>
              <w:rPr>
                <w:rFonts w:ascii="Arial" w:cs="Arial" w:eastAsia="Arial" w:hAnsi="Arial"/>
                <w:sz w:val="14"/>
                <w:szCs w:val="14"/>
                <w:b w:val="1"/>
                <w:bCs w:val="1"/>
                <w:color w:val="auto"/>
                <w:w w:val="85"/>
              </w:rPr>
              <w:t>Consolidated</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340" w:type="dxa"/>
            <w:vAlign w:val="bottom"/>
            <w:gridSpan w:val="2"/>
            <w:shd w:val="clear" w:color="auto" w:fill="CCEEFF"/>
          </w:tcPr>
          <w:p>
            <w:pPr>
              <w:ind w:left="260"/>
              <w:spacing w:after="0"/>
              <w:rPr>
                <w:sz w:val="20"/>
                <w:szCs w:val="20"/>
                <w:color w:val="auto"/>
              </w:rPr>
            </w:pPr>
            <w:r>
              <w:rPr>
                <w:rFonts w:ascii="Arial" w:cs="Arial" w:eastAsia="Arial" w:hAnsi="Arial"/>
                <w:sz w:val="15"/>
                <w:szCs w:val="15"/>
                <w:color w:val="auto"/>
                <w:w w:val="71"/>
              </w:rPr>
              <w:t>$</w:t>
            </w:r>
          </w:p>
        </w:tc>
        <w:tc>
          <w:tcPr>
            <w:tcW w:w="1160" w:type="dxa"/>
            <w:vAlign w:val="bottom"/>
            <w:gridSpan w:val="3"/>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208,428</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w w:val="94"/>
              </w:rPr>
              <w:t>98,794</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(94,079)</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213,143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Cost of sales</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172,443</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w w:val="94"/>
              </w:rPr>
              <w:t>92,364</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(91,992)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172,815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35,985</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(2,087)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660" w:type="dxa"/>
            <w:vAlign w:val="bottom"/>
            <w:gridSpan w:val="2"/>
          </w:tcPr>
          <w:p>
            <w:pPr>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248</w:t>
            </w:r>
          </w:p>
        </w:tc>
        <w:tc>
          <w:tcPr>
            <w:tcW w:w="3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18,657</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21,531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28,742</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3,412</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(2,236)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2"/>
            <w:vMerge w:val="continue"/>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w w:val="89"/>
              </w:rPr>
              <w:t>(11,414)</w:t>
            </w:r>
          </w:p>
        </w:tc>
        <w:tc>
          <w:tcPr>
            <w:tcW w:w="140" w:type="dxa"/>
            <w:vAlign w:val="bottom"/>
          </w:tcPr>
          <w:p>
            <w:pPr>
              <w:spacing w:after="0"/>
              <w:rPr>
                <w:sz w:val="19"/>
                <w:szCs w:val="19"/>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425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(11,121)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4,315</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11,210</w:t>
            </w:r>
          </w:p>
        </w:tc>
        <w:tc>
          <w:tcPr>
            <w:tcW w:w="3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8"/>
              </w:rPr>
              <w:t>(6,021)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gridSpan w:val="2"/>
          </w:tcPr>
          <w:p>
            <w:pPr>
              <w:spacing w:after="0"/>
              <w:rPr>
                <w:sz w:val="20"/>
                <w:szCs w:val="20"/>
                <w:color w:val="auto"/>
              </w:rPr>
            </w:pPr>
            <w:r>
              <w:rPr>
                <w:rFonts w:ascii="Arial" w:cs="Arial" w:eastAsia="Arial" w:hAnsi="Arial"/>
                <w:sz w:val="18"/>
                <w:szCs w:val="18"/>
                <w:color w:val="auto"/>
                <w:w w:val="93"/>
              </w:rPr>
              <w:t>Income (loss) before income taxes, equity in earnings (loss) of</w:t>
            </w:r>
          </w:p>
        </w:tc>
        <w:tc>
          <w:tcPr>
            <w:tcW w:w="2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related equity investment</w:t>
            </w: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20"/>
                <w:szCs w:val="20"/>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4,067</w:t>
            </w:r>
          </w:p>
        </w:tc>
        <w:tc>
          <w:tcPr>
            <w:tcW w:w="100" w:type="dxa"/>
            <w:vAlign w:val="bottom"/>
          </w:tcPr>
          <w:p>
            <w:pPr>
              <w:spacing w:after="0"/>
              <w:rPr>
                <w:sz w:val="20"/>
                <w:szCs w:val="20"/>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20"/>
                <w:szCs w:val="20"/>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(5,596)</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(1,617)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2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360" w:type="dxa"/>
            <w:vAlign w:val="bottom"/>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5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60" w:type="dxa"/>
            <w:vAlign w:val="bottom"/>
            <w:gridSpan w:val="2"/>
          </w:tcPr>
          <w:p>
            <w:pPr>
              <w:spacing w:after="0"/>
              <w:rPr>
                <w:sz w:val="20"/>
                <w:szCs w:val="20"/>
                <w:color w:val="auto"/>
              </w:rPr>
            </w:pPr>
            <w:r>
              <w:rPr>
                <w:rFonts w:ascii="Arial" w:cs="Arial" w:eastAsia="Arial" w:hAnsi="Arial"/>
                <w:sz w:val="18"/>
                <w:szCs w:val="18"/>
                <w:color w:val="auto"/>
              </w:rPr>
              <w:t>Income (loss) before equity in earnings (loss) of related</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ind w:left="200"/>
              <w:spacing w:after="0"/>
              <w:rPr>
                <w:sz w:val="20"/>
                <w:szCs w:val="20"/>
                <w:color w:val="auto"/>
              </w:rPr>
            </w:pPr>
            <w:r>
              <w:rPr>
                <w:rFonts w:ascii="Arial" w:cs="Arial" w:eastAsia="Arial" w:hAnsi="Arial"/>
                <w:sz w:val="18"/>
                <w:szCs w:val="18"/>
                <w:color w:val="auto"/>
              </w:rPr>
              <w:t>investment</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(33)</w:t>
            </w:r>
          </w:p>
        </w:tc>
        <w:tc>
          <w:tcPr>
            <w:tcW w:w="80" w:type="dxa"/>
            <w:vAlign w:val="bottom"/>
          </w:tcPr>
          <w:p>
            <w:pPr>
              <w:spacing w:after="0"/>
              <w:rPr>
                <w:sz w:val="19"/>
                <w:szCs w:val="19"/>
                <w:color w:val="auto"/>
              </w:rPr>
            </w:pPr>
          </w:p>
        </w:tc>
        <w:tc>
          <w:tcPr>
            <w:tcW w:w="1160" w:type="dxa"/>
            <w:vAlign w:val="bottom"/>
            <w:gridSpan w:val="2"/>
          </w:tcPr>
          <w:p>
            <w:pPr>
              <w:jc w:val="right"/>
              <w:ind w:right="360"/>
              <w:spacing w:after="0"/>
              <w:rPr>
                <w:sz w:val="20"/>
                <w:szCs w:val="20"/>
                <w:color w:val="auto"/>
              </w:rPr>
            </w:pPr>
            <w:r>
              <w:rPr>
                <w:rFonts w:ascii="Arial" w:cs="Arial" w:eastAsia="Arial" w:hAnsi="Arial"/>
                <w:sz w:val="18"/>
                <w:szCs w:val="18"/>
                <w:color w:val="auto"/>
              </w:rPr>
              <w:t>4,026</w:t>
            </w: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(7,829)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149</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Earnings (loss) of related investment</w:t>
            </w:r>
          </w:p>
        </w:tc>
        <w:tc>
          <w:tcPr>
            <w:tcW w:w="2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(3,858)</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(6,741)</w:t>
            </w: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(496)</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11,095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660" w:type="dxa"/>
            <w:vAlign w:val="bottom"/>
            <w:gridSpan w:val="2"/>
            <w:vMerge w:val="continue"/>
          </w:tcPr>
          <w:p>
            <w:pPr>
              <w:spacing w:after="0"/>
              <w:rPr>
                <w:sz w:val="19"/>
                <w:szCs w:val="19"/>
                <w:color w:val="auto"/>
              </w:rPr>
            </w:pP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(3,891)</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(8,325)</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11,244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(3,891)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2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660" w:type="dxa"/>
            <w:vAlign w:val="bottom"/>
            <w:gridSpan w:val="2"/>
          </w:tcPr>
          <w:p>
            <w:pPr>
              <w:spacing w:after="0"/>
              <w:rPr>
                <w:sz w:val="20"/>
                <w:szCs w:val="20"/>
                <w:color w:val="auto"/>
              </w:rPr>
            </w:pPr>
            <w:r>
              <w:rPr>
                <w:rFonts w:ascii="Arial" w:cs="Arial" w:eastAsia="Arial" w:hAnsi="Arial"/>
                <w:sz w:val="18"/>
                <w:szCs w:val="18"/>
                <w:color w:val="auto"/>
              </w:rPr>
              <w:t>Net loss attributable to common units</w:t>
            </w:r>
          </w:p>
        </w:tc>
        <w:tc>
          <w:tcPr>
            <w:tcW w:w="340" w:type="dxa"/>
            <w:vAlign w:val="bottom"/>
            <w:gridSpan w:val="2"/>
          </w:tcPr>
          <w:p>
            <w:pPr>
              <w:ind w:left="260"/>
              <w:spacing w:after="0"/>
              <w:rPr>
                <w:sz w:val="20"/>
                <w:szCs w:val="20"/>
                <w:color w:val="auto"/>
              </w:rPr>
            </w:pPr>
            <w:r>
              <w:rPr>
                <w:rFonts w:ascii="Arial" w:cs="Arial" w:eastAsia="Arial" w:hAnsi="Arial"/>
                <w:sz w:val="15"/>
                <w:szCs w:val="15"/>
                <w:color w:val="auto"/>
                <w:w w:val="71"/>
              </w:rPr>
              <w:t>$</w:t>
            </w:r>
          </w:p>
        </w:tc>
        <w:tc>
          <w:tcPr>
            <w:tcW w:w="1160" w:type="dxa"/>
            <w:vAlign w:val="bottom"/>
            <w:gridSpan w:val="3"/>
          </w:tcPr>
          <w:p>
            <w:pPr>
              <w:jc w:val="right"/>
              <w:ind w:right="320"/>
              <w:spacing w:after="0"/>
              <w:rPr>
                <w:sz w:val="20"/>
                <w:szCs w:val="20"/>
                <w:color w:val="auto"/>
              </w:rPr>
            </w:pPr>
            <w:r>
              <w:rPr>
                <w:rFonts w:ascii="Arial" w:cs="Arial" w:eastAsia="Arial" w:hAnsi="Arial"/>
                <w:sz w:val="18"/>
                <w:szCs w:val="18"/>
                <w:color w:val="auto"/>
              </w:rPr>
              <w:t>(6,524)</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320"/>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(204)</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(8,325)</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11,244</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(6,524)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3,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0"/>
              </w:rPr>
              <w:t>MagnaChip</w:t>
            </w: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rPr>
              <w:t>Finance</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jc w:val="right"/>
              <w:ind w:right="300"/>
              <w:spacing w:after="0" w:line="149" w:lineRule="exact"/>
              <w:rPr>
                <w:sz w:val="20"/>
                <w:szCs w:val="20"/>
                <w:color w:val="auto"/>
              </w:rPr>
            </w:pPr>
            <w:r>
              <w:rPr>
                <w:rFonts w:ascii="Arial" w:cs="Arial" w:eastAsia="Arial" w:hAnsi="Arial"/>
                <w:sz w:val="14"/>
                <w:szCs w:val="14"/>
                <w:b w:val="1"/>
                <w:bCs w:val="1"/>
                <w:color w:val="auto"/>
              </w:rPr>
              <w:t>Company &amp;</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340"/>
              <w:spacing w:after="0" w:line="149" w:lineRule="exact"/>
              <w:rPr>
                <w:sz w:val="20"/>
                <w:szCs w:val="20"/>
                <w:color w:val="auto"/>
              </w:rPr>
            </w:pPr>
            <w:r>
              <w:rPr>
                <w:rFonts w:ascii="Arial" w:cs="Arial" w:eastAsia="Arial" w:hAnsi="Arial"/>
                <w:sz w:val="14"/>
                <w:szCs w:val="14"/>
                <w:b w:val="1"/>
                <w:bCs w:val="1"/>
                <w:color w:val="auto"/>
                <w:w w:val="87"/>
              </w:rPr>
              <w:t>MagnaChip</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w w:val="90"/>
              </w:rPr>
              <w:t>MagnaChip</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120" w:type="dxa"/>
            <w:vAlign w:val="bottom"/>
            <w:gridSpan w:val="4"/>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40" w:type="dxa"/>
            <w:vAlign w:val="bottom"/>
          </w:tcPr>
          <w:p>
            <w:pPr>
              <w:spacing w:after="0"/>
              <w:rPr>
                <w:sz w:val="12"/>
                <w:szCs w:val="12"/>
                <w:color w:val="auto"/>
              </w:rPr>
            </w:pPr>
          </w:p>
        </w:tc>
        <w:tc>
          <w:tcPr>
            <w:tcW w:w="110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Semiconductor</w:t>
            </w:r>
          </w:p>
        </w:tc>
        <w:tc>
          <w:tcPr>
            <w:tcW w:w="1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LLC</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S.A.</w:t>
            </w:r>
          </w:p>
        </w:tc>
        <w:tc>
          <w:tcPr>
            <w:tcW w:w="160" w:type="dxa"/>
            <w:vAlign w:val="bottom"/>
          </w:tcPr>
          <w:p>
            <w:pPr>
              <w:spacing w:after="0"/>
              <w:rPr>
                <w:sz w:val="12"/>
                <w:szCs w:val="12"/>
                <w:color w:val="auto"/>
              </w:rPr>
            </w:pPr>
          </w:p>
        </w:tc>
        <w:tc>
          <w:tcPr>
            <w:tcW w:w="88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Non-</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ind w:right="116"/>
              <w:spacing w:after="0"/>
              <w:rPr>
                <w:sz w:val="20"/>
                <w:szCs w:val="20"/>
                <w:color w:val="auto"/>
              </w:rPr>
            </w:pPr>
            <w:r>
              <w:rPr>
                <w:rFonts w:ascii="Arial" w:cs="Arial" w:eastAsia="Arial" w:hAnsi="Arial"/>
                <w:sz w:val="14"/>
                <w:szCs w:val="14"/>
                <w:b w:val="1"/>
                <w:bCs w:val="1"/>
                <w:color w:val="auto"/>
              </w:rPr>
              <w:t>(Parent)</w:t>
            </w:r>
          </w:p>
        </w:tc>
        <w:tc>
          <w:tcPr>
            <w:tcW w:w="240" w:type="dxa"/>
            <w:vAlign w:val="bottom"/>
            <w:gridSpan w:val="2"/>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b w:val="1"/>
                <w:bCs w:val="1"/>
                <w:color w:val="auto"/>
                <w:w w:val="85"/>
              </w:rPr>
              <w:t>(Co-Issuers)</w:t>
            </w:r>
          </w:p>
        </w:tc>
        <w:tc>
          <w:tcPr>
            <w:tcW w:w="220" w:type="dxa"/>
            <w:vAlign w:val="bottom"/>
          </w:tcPr>
          <w:p>
            <w:pPr>
              <w:spacing w:after="0"/>
              <w:rPr>
                <w:sz w:val="15"/>
                <w:szCs w:val="15"/>
                <w:color w:val="auto"/>
              </w:rPr>
            </w:pPr>
          </w:p>
        </w:tc>
        <w:tc>
          <w:tcPr>
            <w:tcW w:w="1040" w:type="dxa"/>
            <w:vAlign w:val="bottom"/>
            <w:gridSpan w:val="3"/>
          </w:tcPr>
          <w:p>
            <w:pPr>
              <w:jc w:val="right"/>
              <w:ind w:right="200"/>
              <w:spacing w:after="0"/>
              <w:rPr>
                <w:sz w:val="20"/>
                <w:szCs w:val="20"/>
                <w:color w:val="auto"/>
              </w:rPr>
            </w:pPr>
            <w:r>
              <w:rPr>
                <w:rFonts w:ascii="Arial" w:cs="Arial" w:eastAsia="Arial" w:hAnsi="Arial"/>
                <w:sz w:val="14"/>
                <w:szCs w:val="14"/>
                <w:b w:val="1"/>
                <w:bCs w:val="1"/>
                <w:color w:val="auto"/>
              </w:rPr>
              <w:t>Guarantors</w:t>
            </w:r>
          </w:p>
        </w:tc>
        <w:tc>
          <w:tcPr>
            <w:tcW w:w="1060" w:type="dxa"/>
            <w:vAlign w:val="bottom"/>
            <w:gridSpan w:val="4"/>
          </w:tcPr>
          <w:p>
            <w:pPr>
              <w:ind w:left="16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4"/>
                <w:szCs w:val="14"/>
                <w:b w:val="1"/>
                <w:bCs w:val="1"/>
                <w:color w:val="auto"/>
                <w:w w:val="92"/>
              </w:rPr>
              <w:t>Consolidated</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$207,965</w:t>
            </w:r>
          </w:p>
        </w:tc>
        <w:tc>
          <w:tcPr>
            <w:tcW w:w="2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8"/>
              </w:rPr>
              <w:t>93,622</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5"/>
              </w:rPr>
              <w:t>(88,197)</w:t>
            </w:r>
          </w:p>
        </w:tc>
        <w:tc>
          <w:tcPr>
            <w:tcW w:w="3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213,390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186,720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89,502</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(88,784)</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5"/>
              </w:rPr>
              <w:t>187,438</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4,120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220</w:t>
            </w:r>
          </w:p>
        </w:tc>
        <w:tc>
          <w:tcPr>
            <w:tcW w:w="1040" w:type="dxa"/>
            <w:vAlign w:val="bottom"/>
            <w:gridSpan w:val="3"/>
          </w:tcPr>
          <w:p>
            <w:pPr>
              <w:jc w:val="right"/>
              <w:ind w:right="200"/>
              <w:spacing w:after="0"/>
              <w:rPr>
                <w:sz w:val="20"/>
                <w:szCs w:val="20"/>
                <w:color w:val="auto"/>
              </w:rPr>
            </w:pPr>
            <w:r>
              <w:rPr>
                <w:rFonts w:ascii="Arial" w:cs="Arial" w:eastAsia="Arial" w:hAnsi="Arial"/>
                <w:sz w:val="18"/>
                <w:szCs w:val="18"/>
                <w:color w:val="auto"/>
              </w:rPr>
              <w:t>25,361</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2,560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335</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28,479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26,099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Operating income (loss)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(220)</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(30,550)</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1,560</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(28,626)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(8,162)</w:t>
            </w:r>
          </w:p>
        </w:tc>
        <w:tc>
          <w:tcPr>
            <w:tcW w:w="10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692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7,167</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5"/>
        </w:trPr>
        <w:tc>
          <w:tcPr>
            <w:tcW w:w="4840" w:type="dxa"/>
            <w:vAlign w:val="bottom"/>
            <w:gridSpan w:val="2"/>
          </w:tcPr>
          <w:p>
            <w:pPr>
              <w:spacing w:after="0"/>
              <w:rPr>
                <w:sz w:val="20"/>
                <w:szCs w:val="20"/>
                <w:color w:val="auto"/>
              </w:rPr>
            </w:pPr>
            <w:r>
              <w:rPr>
                <w:rFonts w:ascii="Arial" w:cs="Arial" w:eastAsia="Arial" w:hAnsi="Arial"/>
                <w:sz w:val="18"/>
                <w:szCs w:val="18"/>
                <w:color w:val="auto"/>
                <w:w w:val="97"/>
              </w:rPr>
              <w:t>Income (loss) before income taxes, equity in earnings (loss) of</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related equity investment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(8,382)</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(29,858)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8,727</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(28,926)</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2,325</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840" w:type="dxa"/>
            <w:vAlign w:val="bottom"/>
            <w:gridSpan w:val="2"/>
          </w:tcPr>
          <w:p>
            <w:pPr>
              <w:spacing w:after="0"/>
              <w:rPr>
                <w:sz w:val="20"/>
                <w:szCs w:val="20"/>
                <w:color w:val="auto"/>
              </w:rPr>
            </w:pPr>
            <w:r>
              <w:rPr>
                <w:rFonts w:ascii="Arial" w:cs="Arial" w:eastAsia="Arial" w:hAnsi="Arial"/>
                <w:sz w:val="18"/>
                <w:szCs w:val="18"/>
                <w:color w:val="auto"/>
              </w:rPr>
              <w:t>Income (loss) before equity in earnings (loss) of related</w:t>
            </w:r>
          </w:p>
        </w:tc>
        <w:tc>
          <w:tcPr>
            <w:tcW w:w="100" w:type="dxa"/>
            <w:vAlign w:val="bottom"/>
            <w:tcBorders>
              <w:top w:val="single" w:sz="8" w:color="auto"/>
            </w:tcBorders>
          </w:tcPr>
          <w:p>
            <w:pPr>
              <w:spacing w:after="0"/>
              <w:rPr>
                <w:sz w:val="18"/>
                <w:szCs w:val="18"/>
                <w:color w:val="auto"/>
              </w:rPr>
            </w:pPr>
          </w:p>
        </w:tc>
        <w:tc>
          <w:tcPr>
            <w:tcW w:w="78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investment</w:t>
            </w: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gridSpan w:val="2"/>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(8,409)</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(29,858)</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6,402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48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Earnings (loss) of related investment</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(31,278)</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(23,005)</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9"/>
              </w:rPr>
              <w:t>(30,933)</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85,216</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income (loss)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(31,278)</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(31,414)</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 (29,858)</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(24,531)</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85,803</w:t>
            </w:r>
          </w:p>
        </w:tc>
        <w:tc>
          <w:tcPr>
            <w:tcW w:w="22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(31,278)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Dividends accrued on preferred units</w:t>
            </w:r>
          </w:p>
        </w:tc>
        <w:tc>
          <w:tcPr>
            <w:tcW w:w="100" w:type="dxa"/>
            <w:vAlign w:val="bottom"/>
            <w:shd w:val="clear" w:color="auto" w:fill="CCEEFF"/>
          </w:tcPr>
          <w:p>
            <w:pPr>
              <w:spacing w:after="0"/>
              <w:rPr>
                <w:sz w:val="18"/>
                <w:szCs w:val="18"/>
                <w:color w:val="auto"/>
              </w:rPr>
            </w:pPr>
          </w:p>
        </w:tc>
        <w:tc>
          <w:tcPr>
            <w:tcW w:w="10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2,395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4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units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840" w:type="dxa"/>
            <w:vAlign w:val="bottom"/>
            <w:gridSpan w:val="2"/>
            <w:vMerge w:val="continue"/>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1020" w:type="dxa"/>
            <w:vAlign w:val="bottom"/>
            <w:gridSpan w:val="3"/>
          </w:tcPr>
          <w:p>
            <w:pPr>
              <w:jc w:val="right"/>
              <w:ind w:right="180"/>
              <w:spacing w:after="0"/>
              <w:rPr>
                <w:sz w:val="20"/>
                <w:szCs w:val="20"/>
                <w:color w:val="auto"/>
              </w:rPr>
            </w:pPr>
            <w:r>
              <w:rPr>
                <w:rFonts w:ascii="Arial" w:cs="Arial" w:eastAsia="Arial" w:hAnsi="Arial"/>
                <w:sz w:val="18"/>
                <w:szCs w:val="18"/>
                <w:color w:val="auto"/>
              </w:rPr>
              <w:t>(33,673)</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(31,414)</w:t>
            </w:r>
          </w:p>
        </w:tc>
        <w:tc>
          <w:tcPr>
            <w:tcW w:w="1040" w:type="dxa"/>
            <w:vAlign w:val="bottom"/>
            <w:gridSpan w:val="3"/>
          </w:tcPr>
          <w:p>
            <w:pPr>
              <w:jc w:val="right"/>
              <w:ind w:right="160"/>
              <w:spacing w:after="0"/>
              <w:rPr>
                <w:sz w:val="20"/>
                <w:szCs w:val="20"/>
                <w:color w:val="auto"/>
              </w:rPr>
            </w:pPr>
            <w:r>
              <w:rPr>
                <w:rFonts w:ascii="Arial" w:cs="Arial" w:eastAsia="Arial" w:hAnsi="Arial"/>
                <w:sz w:val="18"/>
                <w:szCs w:val="18"/>
                <w:color w:val="auto"/>
              </w:rPr>
              <w:t>$ (29,858)</w:t>
            </w:r>
          </w:p>
        </w:tc>
        <w:tc>
          <w:tcPr>
            <w:tcW w:w="280" w:type="dxa"/>
            <w:vAlign w:val="bottom"/>
            <w:gridSpan w:val="2"/>
          </w:tcPr>
          <w:p>
            <w:pPr>
              <w:ind w:left="160"/>
              <w:spacing w:after="0"/>
              <w:rPr>
                <w:sz w:val="20"/>
                <w:szCs w:val="20"/>
                <w:color w:val="auto"/>
              </w:rPr>
            </w:pPr>
            <w:r>
              <w:rPr>
                <w:rFonts w:ascii="Arial" w:cs="Arial" w:eastAsia="Arial" w:hAnsi="Arial"/>
                <w:sz w:val="18"/>
                <w:szCs w:val="18"/>
                <w:color w:val="auto"/>
                <w:w w:val="99"/>
              </w:rPr>
              <w:t>$</w:t>
            </w: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w w:val="89"/>
              </w:rPr>
              <w:t>(24,531)</w:t>
            </w: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85,803</w:t>
            </w:r>
          </w:p>
        </w:tc>
        <w:tc>
          <w:tcPr>
            <w:tcW w:w="220" w:type="dxa"/>
            <w:vAlign w:val="bottom"/>
          </w:tcPr>
          <w:p>
            <w:pPr>
              <w:spacing w:after="0"/>
              <w:rPr>
                <w:sz w:val="19"/>
                <w:szCs w:val="19"/>
                <w:color w:val="auto"/>
              </w:rPr>
            </w:pPr>
          </w:p>
        </w:tc>
        <w:tc>
          <w:tcPr>
            <w:tcW w:w="30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(33,673)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gridSpan w:val="3"/>
          </w:tcPr>
          <w:p>
            <w:pPr>
              <w:jc w:val="right"/>
              <w:ind w:right="16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480"/>
              <w:spacing w:after="0" w:line="149" w:lineRule="exact"/>
              <w:rPr>
                <w:sz w:val="20"/>
                <w:szCs w:val="20"/>
                <w:color w:val="auto"/>
              </w:rPr>
            </w:pPr>
            <w:r>
              <w:rPr>
                <w:rFonts w:ascii="Arial" w:cs="Arial" w:eastAsia="Arial" w:hAnsi="Arial"/>
                <w:sz w:val="14"/>
                <w:szCs w:val="14"/>
                <w:b w:val="1"/>
                <w:bCs w:val="1"/>
                <w:color w:val="auto"/>
              </w:rPr>
              <w:t>Finance</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3"/>
          </w:tcPr>
          <w:p>
            <w:pPr>
              <w:jc w:val="right"/>
              <w:ind w:right="360"/>
              <w:spacing w:after="0" w:line="149" w:lineRule="exact"/>
              <w:rPr>
                <w:sz w:val="20"/>
                <w:szCs w:val="20"/>
                <w:color w:val="auto"/>
              </w:rPr>
            </w:pPr>
            <w:r>
              <w:rPr>
                <w:rFonts w:ascii="Arial" w:cs="Arial" w:eastAsia="Arial" w:hAnsi="Arial"/>
                <w:sz w:val="14"/>
                <w:szCs w:val="14"/>
                <w:b w:val="1"/>
                <w:bCs w:val="1"/>
                <w:color w:val="auto"/>
              </w:rPr>
              <w:t>Company &amp;</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2"/>
              </w:rPr>
              <w:t>MagnaChip</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360"/>
              <w:spacing w:after="0" w:line="149" w:lineRule="exact"/>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200" w:type="dxa"/>
            <w:vAlign w:val="bottom"/>
          </w:tcPr>
          <w:p>
            <w:pPr>
              <w:spacing w:after="0"/>
              <w:rPr>
                <w:sz w:val="12"/>
                <w:szCs w:val="12"/>
                <w:color w:val="auto"/>
              </w:rPr>
            </w:pPr>
          </w:p>
        </w:tc>
        <w:tc>
          <w:tcPr>
            <w:tcW w:w="11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Semiconductor</w:t>
            </w: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rPr>
              <w:t>LLC</w:t>
            </w: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right"/>
              <w:ind w:right="600"/>
              <w:spacing w:after="0" w:line="149" w:lineRule="exact"/>
              <w:rPr>
                <w:sz w:val="20"/>
                <w:szCs w:val="20"/>
                <w:color w:val="auto"/>
              </w:rPr>
            </w:pPr>
            <w:r>
              <w:rPr>
                <w:rFonts w:ascii="Arial" w:cs="Arial" w:eastAsia="Arial" w:hAnsi="Arial"/>
                <w:sz w:val="14"/>
                <w:szCs w:val="14"/>
                <w:b w:val="1"/>
                <w:bCs w:val="1"/>
                <w:color w:val="auto"/>
              </w:rPr>
              <w:t>S.A.</w:t>
            </w:r>
          </w:p>
        </w:tc>
        <w:tc>
          <w:tcPr>
            <w:tcW w:w="100" w:type="dxa"/>
            <w:vAlign w:val="bottom"/>
          </w:tcPr>
          <w:p>
            <w:pPr>
              <w:spacing w:after="0"/>
              <w:rPr>
                <w:sz w:val="12"/>
                <w:szCs w:val="12"/>
                <w:color w:val="auto"/>
              </w:rPr>
            </w:pPr>
          </w:p>
        </w:tc>
        <w:tc>
          <w:tcPr>
            <w:tcW w:w="900" w:type="dxa"/>
            <w:vAlign w:val="bottom"/>
            <w:gridSpan w:val="2"/>
          </w:tcPr>
          <w:p>
            <w:pPr>
              <w:jc w:val="right"/>
              <w:ind w:right="40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0"/>
              </w:rPr>
              <w:t>(Parent)</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3"/>
              </w:rPr>
              <w:t>(Co-Issuers)</w:t>
            </w:r>
          </w:p>
        </w:tc>
        <w:tc>
          <w:tcPr>
            <w:tcW w:w="100" w:type="dxa"/>
            <w:vAlign w:val="bottom"/>
          </w:tcPr>
          <w:p>
            <w:pPr>
              <w:spacing w:after="0"/>
              <w:rPr>
                <w:sz w:val="15"/>
                <w:szCs w:val="15"/>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87"/>
              </w:rPr>
              <w:t>Guarantors</w:t>
            </w:r>
          </w:p>
        </w:tc>
        <w:tc>
          <w:tcPr>
            <w:tcW w:w="880" w:type="dxa"/>
            <w:vAlign w:val="bottom"/>
            <w:gridSpan w:val="4"/>
          </w:tcPr>
          <w:p>
            <w:pPr>
              <w:ind w:left="100"/>
              <w:spacing w:after="0"/>
              <w:rPr>
                <w:sz w:val="20"/>
                <w:szCs w:val="20"/>
                <w:color w:val="auto"/>
              </w:rPr>
            </w:pPr>
            <w:r>
              <w:rPr>
                <w:rFonts w:ascii="Arial" w:cs="Arial" w:eastAsia="Arial" w:hAnsi="Arial"/>
                <w:sz w:val="14"/>
                <w:szCs w:val="14"/>
                <w:b w:val="1"/>
                <w:bCs w:val="1"/>
                <w:color w:val="auto"/>
              </w:rPr>
              <w:t>Guarantors</w:t>
            </w:r>
          </w:p>
        </w:tc>
        <w:tc>
          <w:tcPr>
            <w:tcW w:w="120" w:type="dxa"/>
            <w:vAlign w:val="bottom"/>
          </w:tcPr>
          <w:p>
            <w:pPr>
              <w:spacing w:after="0"/>
              <w:rPr>
                <w:sz w:val="15"/>
                <w:szCs w:val="15"/>
                <w:color w:val="auto"/>
              </w:rPr>
            </w:pPr>
          </w:p>
        </w:tc>
        <w:tc>
          <w:tcPr>
            <w:tcW w:w="1140" w:type="dxa"/>
            <w:vAlign w:val="bottom"/>
            <w:gridSpan w:val="3"/>
          </w:tcPr>
          <w:p>
            <w:pPr>
              <w:jc w:val="right"/>
              <w:ind w:right="340"/>
              <w:spacing w:after="0"/>
              <w:rPr>
                <w:sz w:val="20"/>
                <w:szCs w:val="20"/>
                <w:color w:val="auto"/>
              </w:rPr>
            </w:pPr>
            <w:r>
              <w:rPr>
                <w:rFonts w:ascii="Arial" w:cs="Arial" w:eastAsia="Arial" w:hAnsi="Arial"/>
                <w:sz w:val="14"/>
                <w:szCs w:val="14"/>
                <w:b w:val="1"/>
                <w:bCs w:val="1"/>
                <w:color w:val="auto"/>
                <w:w w:val="93"/>
              </w:rPr>
              <w:t>Eliminations</w:t>
            </w: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w w:val="87"/>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6"/>
              </w:rPr>
              <w:t>249</w:t>
            </w:r>
          </w:p>
        </w:tc>
        <w:tc>
          <w:tcPr>
            <w:tcW w:w="30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458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53,901</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33,984</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88,592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1,093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1,093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131,757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41,626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(76,992)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74,865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7,956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(1,198)</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81,623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35,089</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9,831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20,383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(54,777)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11,244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32,094</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12,870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11,200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(42,831)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13,333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35,338</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33,270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284,317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115,149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(175,798)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292,276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 net</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40" w:type="dxa"/>
            <w:vAlign w:val="bottom"/>
            <w:gridSpan w:val="2"/>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473,726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475,058</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161,060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186,153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27,813</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(41,860)</w:t>
            </w:r>
          </w:p>
        </w:tc>
        <w:tc>
          <w:tcPr>
            <w:tcW w:w="10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147,459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(133,412)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778,023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621,311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(1,399,334)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25,799</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44,911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10,846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(25,452)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56,104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63,151</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795,232</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964,014</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u w:val="single" w:color="auto"/>
                <w:color w:val="auto"/>
                <w:w w:val="79"/>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921,190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(1,733,996)</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4"/>
              </w:rPr>
              <w:t>1,009,591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2"/>
            <w:vMerge w:val="continue"/>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80" w:type="dxa"/>
            <w:vAlign w:val="bottom"/>
          </w:tcPr>
          <w:p>
            <w:pPr>
              <w:spacing w:after="0"/>
              <w:rPr>
                <w:sz w:val="20"/>
                <w:szCs w:val="20"/>
                <w:color w:val="auto"/>
              </w:rPr>
            </w:pPr>
            <w:r>
              <w:rPr>
                <w:rFonts w:ascii="Arial" w:cs="Arial" w:eastAsia="Arial" w:hAnsi="Arial"/>
                <w:sz w:val="15"/>
                <w:szCs w:val="15"/>
                <w:color w:val="auto"/>
                <w:w w:val="71"/>
              </w:rPr>
              <w:t>$</w:t>
            </w: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0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64,929</w:t>
            </w:r>
          </w:p>
        </w:tc>
        <w:tc>
          <w:tcPr>
            <w:tcW w:w="200" w:type="dxa"/>
            <w:vAlign w:val="bottom"/>
            <w:gridSpan w:val="2"/>
          </w:tcPr>
          <w:p>
            <w:pPr>
              <w:ind w:left="100"/>
              <w:spacing w:after="0"/>
              <w:rPr>
                <w:sz w:val="20"/>
                <w:szCs w:val="20"/>
                <w:color w:val="auto"/>
              </w:rPr>
            </w:pPr>
            <w:r>
              <w:rPr>
                <w:rFonts w:ascii="Arial" w:cs="Arial" w:eastAsia="Arial" w:hAnsi="Arial"/>
                <w:sz w:val="18"/>
                <w:szCs w:val="18"/>
                <w:color w:val="auto"/>
                <w:w w:val="79"/>
              </w:rPr>
              <w:t>$</w:t>
            </w: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76,833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(76,992)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64,770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61,571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19,690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(54,777)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11,700</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28,652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34,730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(39,609)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35,473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204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3,297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12,344</w:t>
            </w: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158,449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137,156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(174,600)</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134,349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621,311</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6"/>
              </w:rPr>
              <w:t>778,023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6"/>
              </w:rPr>
              <w:t>(1,399,334)</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80" w:type="dxa"/>
            <w:vAlign w:val="bottom"/>
          </w:tcPr>
          <w:p>
            <w:pPr>
              <w:spacing w:after="0"/>
              <w:rPr>
                <w:sz w:val="18"/>
                <w:szCs w:val="18"/>
                <w:color w:val="auto"/>
              </w:rPr>
            </w:pPr>
          </w:p>
        </w:tc>
        <w:tc>
          <w:tcPr>
            <w:tcW w:w="800" w:type="dxa"/>
            <w:vAlign w:val="bottom"/>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57,122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57,416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3,802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27,325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(25,452)</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762,344</w:t>
            </w:r>
          </w:p>
        </w:tc>
        <w:tc>
          <w:tcPr>
            <w:tcW w:w="100" w:type="dxa"/>
            <w:vAlign w:val="bottom"/>
          </w:tcPr>
          <w:p>
            <w:pPr>
              <w:spacing w:after="0"/>
              <w:rPr>
                <w:sz w:val="19"/>
                <w:szCs w:val="19"/>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8"/>
                <w:szCs w:val="18"/>
                <w:color w:val="auto"/>
              </w:rPr>
              <w:t>840,684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w w:val="86"/>
              </w:rPr>
              <w:t>942,798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(1,599,386)</w:t>
            </w:r>
          </w:p>
        </w:tc>
        <w:tc>
          <w:tcPr>
            <w:tcW w:w="1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947,440</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ind w:left="300"/>
              <w:spacing w:after="0"/>
              <w:rPr>
                <w:sz w:val="20"/>
                <w:szCs w:val="20"/>
                <w:color w:val="auto"/>
              </w:rPr>
            </w:pPr>
            <w:r>
              <w:rPr>
                <w:rFonts w:ascii="Arial" w:cs="Arial" w:eastAsia="Arial" w:hAnsi="Arial"/>
                <w:sz w:val="18"/>
                <w:szCs w:val="18"/>
                <w:color w:val="auto"/>
              </w:rPr>
              <w:t>16</w:t>
            </w: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April 2,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0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MagnaChip</w:t>
            </w:r>
          </w:p>
        </w:tc>
        <w:tc>
          <w:tcPr>
            <w:tcW w:w="6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6"/>
              </w:rPr>
              <w:t>Finance</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Company &amp;</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MagnaChip</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MagnaChip</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4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rPr>
              <w:t>LLC</w:t>
            </w:r>
          </w:p>
        </w:tc>
        <w:tc>
          <w:tcPr>
            <w:tcW w:w="11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7"/>
              </w:rPr>
              <w:t>S.A.</w:t>
            </w:r>
          </w:p>
        </w:tc>
        <w:tc>
          <w:tcPr>
            <w:tcW w:w="820" w:type="dxa"/>
            <w:vAlign w:val="bottom"/>
            <w:gridSpan w:val="2"/>
          </w:tcPr>
          <w:p>
            <w:pPr>
              <w:jc w:val="right"/>
              <w:ind w:right="34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(Parent)</w:t>
            </w:r>
          </w:p>
        </w:tc>
        <w:tc>
          <w:tcPr>
            <w:tcW w:w="11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(Co-Issuers)</w:t>
            </w:r>
          </w:p>
        </w:tc>
        <w:tc>
          <w:tcPr>
            <w:tcW w:w="8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w w:val="87"/>
              </w:rPr>
              <w:t>Guarantors</w:t>
            </w:r>
          </w:p>
        </w:tc>
        <w:tc>
          <w:tcPr>
            <w:tcW w:w="100" w:type="dxa"/>
            <w:vAlign w:val="bottom"/>
          </w:tcPr>
          <w:p>
            <w:pPr>
              <w:spacing w:after="0"/>
              <w:rPr>
                <w:sz w:val="15"/>
                <w:szCs w:val="15"/>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w w:val="92"/>
              </w:rPr>
              <w:t>Guarantors</w:t>
            </w:r>
          </w:p>
        </w:tc>
        <w:tc>
          <w:tcPr>
            <w:tcW w:w="100" w:type="dxa"/>
            <w:vAlign w:val="bottom"/>
          </w:tcPr>
          <w:p>
            <w:pPr>
              <w:spacing w:after="0"/>
              <w:rPr>
                <w:sz w:val="15"/>
                <w:szCs w:val="15"/>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Eliminations</w:t>
            </w:r>
          </w:p>
        </w:tc>
        <w:tc>
          <w:tcPr>
            <w:tcW w:w="10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redeemable convertible preferred units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109,095</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109,095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1280"/>
              <w:spacing w:after="0"/>
              <w:rPr>
                <w:sz w:val="20"/>
                <w:szCs w:val="20"/>
                <w:color w:val="auto"/>
              </w:rPr>
            </w:pPr>
            <w:r>
              <w:rPr>
                <w:rFonts w:ascii="Arial" w:cs="Arial" w:eastAsia="Arial" w:hAnsi="Arial"/>
                <w:sz w:val="18"/>
                <w:szCs w:val="18"/>
                <w:color w:val="auto"/>
              </w:rPr>
              <w:t>Total redeemable convertible preferred units</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109,095</w:t>
            </w: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8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109,095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Common units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53,130</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102,986</w:t>
            </w:r>
          </w:p>
        </w:tc>
        <w:tc>
          <w:tcPr>
            <w:tcW w:w="680" w:type="dxa"/>
            <w:vAlign w:val="bottom"/>
          </w:tcPr>
          <w:p>
            <w:pPr>
              <w:jc w:val="right"/>
              <w:spacing w:after="0"/>
              <w:rPr>
                <w:sz w:val="20"/>
                <w:szCs w:val="20"/>
                <w:color w:val="auto"/>
              </w:rPr>
            </w:pPr>
            <w:r>
              <w:rPr>
                <w:rFonts w:ascii="Arial" w:cs="Arial" w:eastAsia="Arial" w:hAnsi="Arial"/>
                <w:sz w:val="18"/>
                <w:szCs w:val="18"/>
                <w:color w:val="auto"/>
              </w:rPr>
              <w:t>39,005</w:t>
            </w:r>
          </w:p>
        </w:tc>
        <w:tc>
          <w:tcPr>
            <w:tcW w:w="1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55,773</w:t>
            </w:r>
          </w:p>
        </w:tc>
        <w:tc>
          <w:tcPr>
            <w:tcW w:w="160" w:type="dxa"/>
            <w:vAlign w:val="bottom"/>
          </w:tcPr>
          <w:p>
            <w:pPr>
              <w:spacing w:after="0"/>
              <w:rPr>
                <w:sz w:val="18"/>
                <w:szCs w:val="18"/>
                <w:color w:val="auto"/>
              </w:rPr>
            </w:pP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(197,764)</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53,130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2,279</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1,027</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155,212</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74,580</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(230,819)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2,279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(136,616)</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(105,645)</w:t>
            </w:r>
          </w:p>
        </w:tc>
        <w:tc>
          <w:tcPr>
            <w:tcW w:w="820" w:type="dxa"/>
            <w:vAlign w:val="bottom"/>
            <w:gridSpan w:val="2"/>
          </w:tcPr>
          <w:p>
            <w:pPr>
              <w:jc w:val="right"/>
              <w:ind w:right="80"/>
              <w:spacing w:after="0"/>
              <w:rPr>
                <w:sz w:val="20"/>
                <w:szCs w:val="20"/>
                <w:color w:val="auto"/>
              </w:rPr>
            </w:pPr>
            <w:r>
              <w:rPr>
                <w:rFonts w:ascii="Arial" w:cs="Arial" w:eastAsia="Arial" w:hAnsi="Arial"/>
                <w:sz w:val="18"/>
                <w:szCs w:val="18"/>
                <w:color w:val="auto"/>
              </w:rPr>
              <w:t>(99,870)</w:t>
            </w: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(180,363)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385,878</w:t>
            </w:r>
          </w:p>
        </w:tc>
        <w:tc>
          <w:tcPr>
            <w:tcW w:w="1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(136,616)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34,263</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34,520</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28,983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28,402</w:t>
            </w:r>
          </w:p>
        </w:tc>
        <w:tc>
          <w:tcPr>
            <w:tcW w:w="16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(91,905)</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34,263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vMerge w:val="restart"/>
          </w:tcPr>
          <w:p>
            <w:pPr>
              <w:ind w:left="860"/>
              <w:spacing w:after="0"/>
              <w:rPr>
                <w:sz w:val="20"/>
                <w:szCs w:val="20"/>
                <w:color w:val="auto"/>
              </w:rPr>
            </w:pPr>
            <w:r>
              <w:rPr>
                <w:rFonts w:ascii="Arial" w:cs="Arial" w:eastAsia="Arial" w:hAnsi="Arial"/>
                <w:sz w:val="18"/>
                <w:szCs w:val="18"/>
                <w:color w:val="auto"/>
              </w:rPr>
              <w:t>Total unitholders’ equity (deficit)</w:t>
            </w: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0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(46,944)</w:t>
            </w:r>
          </w:p>
        </w:tc>
        <w:tc>
          <w:tcPr>
            <w:tcW w:w="1140" w:type="dxa"/>
            <w:vAlign w:val="bottom"/>
            <w:gridSpan w:val="2"/>
          </w:tcPr>
          <w:p>
            <w:pPr>
              <w:jc w:val="right"/>
              <w:ind w:right="260"/>
              <w:spacing w:after="0"/>
              <w:rPr>
                <w:sz w:val="20"/>
                <w:szCs w:val="20"/>
                <w:color w:val="auto"/>
              </w:rPr>
            </w:pPr>
            <w:r>
              <w:rPr>
                <w:rFonts w:ascii="Arial" w:cs="Arial" w:eastAsia="Arial" w:hAnsi="Arial"/>
                <w:sz w:val="18"/>
                <w:szCs w:val="18"/>
                <w:color w:val="auto"/>
              </w:rPr>
              <w:t>32,888</w:t>
            </w:r>
          </w:p>
        </w:tc>
        <w:tc>
          <w:tcPr>
            <w:tcW w:w="680" w:type="dxa"/>
            <w:vAlign w:val="bottom"/>
          </w:tcPr>
          <w:p>
            <w:pPr>
              <w:jc w:val="right"/>
              <w:spacing w:after="0"/>
              <w:rPr>
                <w:sz w:val="20"/>
                <w:szCs w:val="20"/>
                <w:color w:val="auto"/>
              </w:rPr>
            </w:pPr>
            <w:r>
              <w:rPr>
                <w:rFonts w:ascii="Arial" w:cs="Arial" w:eastAsia="Arial" w:hAnsi="Arial"/>
                <w:sz w:val="18"/>
                <w:szCs w:val="18"/>
                <w:color w:val="auto"/>
              </w:rPr>
              <w:t>123,330</w:t>
            </w:r>
          </w:p>
        </w:tc>
        <w:tc>
          <w:tcPr>
            <w:tcW w:w="140" w:type="dxa"/>
            <w:vAlign w:val="bottom"/>
          </w:tcPr>
          <w:p>
            <w:pPr>
              <w:spacing w:after="0"/>
              <w:rPr>
                <w:sz w:val="20"/>
                <w:szCs w:val="20"/>
                <w:color w:val="auto"/>
              </w:rPr>
            </w:pPr>
          </w:p>
        </w:tc>
        <w:tc>
          <w:tcPr>
            <w:tcW w:w="1000" w:type="dxa"/>
            <w:vAlign w:val="bottom"/>
            <w:gridSpan w:val="3"/>
          </w:tcPr>
          <w:p>
            <w:pPr>
              <w:jc w:val="right"/>
              <w:ind w:right="100"/>
              <w:spacing w:after="0"/>
              <w:rPr>
                <w:sz w:val="20"/>
                <w:szCs w:val="20"/>
                <w:color w:val="auto"/>
              </w:rPr>
            </w:pPr>
            <w:r>
              <w:rPr>
                <w:rFonts w:ascii="Arial" w:cs="Arial" w:eastAsia="Arial" w:hAnsi="Arial"/>
                <w:sz w:val="18"/>
                <w:szCs w:val="18"/>
                <w:color w:val="auto"/>
              </w:rPr>
              <w:t>(21,608)</w:t>
            </w:r>
          </w:p>
        </w:tc>
        <w:tc>
          <w:tcPr>
            <w:tcW w:w="1120" w:type="dxa"/>
            <w:vAlign w:val="bottom"/>
            <w:gridSpan w:val="3"/>
          </w:tcPr>
          <w:p>
            <w:pPr>
              <w:jc w:val="right"/>
              <w:ind w:right="100"/>
              <w:spacing w:after="0"/>
              <w:rPr>
                <w:sz w:val="20"/>
                <w:szCs w:val="20"/>
                <w:color w:val="auto"/>
              </w:rPr>
            </w:pPr>
            <w:r>
              <w:rPr>
                <w:rFonts w:ascii="Arial" w:cs="Arial" w:eastAsia="Arial" w:hAnsi="Arial"/>
                <w:sz w:val="18"/>
                <w:szCs w:val="18"/>
                <w:color w:val="auto"/>
              </w:rPr>
              <w:t>(134,610)</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(46,944)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0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5"/>
              </w:rPr>
              <w:t>Total liabilities, redeemable convertible preferred</w:t>
            </w: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0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units and unitholders’ equity</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63,151</w:t>
            </w:r>
          </w:p>
        </w:tc>
        <w:tc>
          <w:tcPr>
            <w:tcW w:w="11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5"/>
              </w:rPr>
              <w:t>$   795,232</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964,014</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$ 921,190</w:t>
            </w:r>
          </w:p>
        </w:tc>
        <w:tc>
          <w:tcPr>
            <w:tcW w:w="16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(1,733,996)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7"/>
              </w:rPr>
              <w:t>$</w:t>
            </w:r>
            <w:r>
              <w:rPr>
                <w:rFonts w:ascii="Arial" w:cs="Arial" w:eastAsia="Arial" w:hAnsi="Arial"/>
                <w:sz w:val="18"/>
                <w:szCs w:val="18"/>
                <w:color w:val="auto"/>
                <w:w w:val="97"/>
              </w:rPr>
              <w:t>1,009,591</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237"/>
              <w:spacing w:after="0"/>
              <w:rPr>
                <w:sz w:val="20"/>
                <w:szCs w:val="20"/>
                <w:color w:val="auto"/>
              </w:rPr>
            </w:pPr>
            <w:r>
              <w:rPr>
                <w:rFonts w:ascii="Arial" w:cs="Arial" w:eastAsia="Arial" w:hAnsi="Arial"/>
                <w:sz w:val="18"/>
                <w:szCs w:val="18"/>
                <w:color w:val="auto"/>
              </w:rPr>
              <w:t>17</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2"/>
              </w:rPr>
              <w:t>MagnaChip</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Semiconductor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6"/>
              </w:rPr>
              <w:t>Finance</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9"/>
              </w:rPr>
              <w:t>Company &amp;</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15"/>
              <w:spacing w:after="0" w:line="149" w:lineRule="exact"/>
              <w:rPr>
                <w:sz w:val="20"/>
                <w:szCs w:val="20"/>
                <w:color w:val="auto"/>
              </w:rPr>
            </w:pPr>
            <w:r>
              <w:rPr>
                <w:rFonts w:ascii="Arial" w:cs="Arial" w:eastAsia="Arial" w:hAnsi="Arial"/>
                <w:sz w:val="14"/>
                <w:szCs w:val="14"/>
                <w:b w:val="1"/>
                <w:bCs w:val="1"/>
                <w:color w:val="auto"/>
                <w:w w:val="92"/>
              </w:rPr>
              <w:t>MagnaChip</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MagnaChip</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90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220" w:type="dxa"/>
            <w:vAlign w:val="bottom"/>
          </w:tcPr>
          <w:p>
            <w:pPr>
              <w:spacing w:after="0"/>
              <w:rPr>
                <w:sz w:val="12"/>
                <w:szCs w:val="12"/>
                <w:color w:val="auto"/>
              </w:rPr>
            </w:pPr>
          </w:p>
        </w:tc>
        <w:tc>
          <w:tcPr>
            <w:tcW w:w="118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Semiconductor</w:t>
            </w: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center"/>
              <w:ind w:right="35"/>
              <w:spacing w:after="0" w:line="149" w:lineRule="exact"/>
              <w:rPr>
                <w:sz w:val="20"/>
                <w:szCs w:val="20"/>
                <w:color w:val="auto"/>
              </w:rPr>
            </w:pPr>
            <w:r>
              <w:rPr>
                <w:rFonts w:ascii="Arial" w:cs="Arial" w:eastAsia="Arial" w:hAnsi="Arial"/>
                <w:sz w:val="14"/>
                <w:szCs w:val="14"/>
                <w:b w:val="1"/>
                <w:bCs w:val="1"/>
                <w:color w:val="auto"/>
              </w:rPr>
              <w:t>LLC</w:t>
            </w: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7"/>
              </w:rPr>
              <w:t>S.A.</w:t>
            </w:r>
          </w:p>
        </w:tc>
        <w:tc>
          <w:tcPr>
            <w:tcW w:w="120" w:type="dxa"/>
            <w:vAlign w:val="bottom"/>
          </w:tcPr>
          <w:p>
            <w:pPr>
              <w:spacing w:after="0"/>
              <w:rPr>
                <w:sz w:val="12"/>
                <w:szCs w:val="12"/>
                <w:color w:val="auto"/>
              </w:rPr>
            </w:pPr>
          </w:p>
        </w:tc>
        <w:tc>
          <w:tcPr>
            <w:tcW w:w="580" w:type="dxa"/>
            <w:vAlign w:val="bottom"/>
          </w:tcPr>
          <w:p>
            <w:pPr>
              <w:jc w:val="right"/>
              <w:ind w:right="113"/>
              <w:spacing w:after="0" w:line="149" w:lineRule="exact"/>
              <w:rPr>
                <w:sz w:val="20"/>
                <w:szCs w:val="20"/>
                <w:color w:val="auto"/>
              </w:rPr>
            </w:pPr>
            <w:r>
              <w:rPr>
                <w:rFonts w:ascii="Arial" w:cs="Arial" w:eastAsia="Arial" w:hAnsi="Arial"/>
                <w:sz w:val="14"/>
                <w:szCs w:val="14"/>
                <w:b w:val="1"/>
                <w:bCs w:val="1"/>
                <w:color w:val="auto"/>
              </w:rPr>
              <w:t>Non-</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jc w:val="center"/>
              <w:ind w:right="35"/>
              <w:spacing w:after="0"/>
              <w:rPr>
                <w:sz w:val="20"/>
                <w:szCs w:val="20"/>
                <w:color w:val="auto"/>
              </w:rPr>
            </w:pPr>
            <w:r>
              <w:rPr>
                <w:rFonts w:ascii="Arial" w:cs="Arial" w:eastAsia="Arial" w:hAnsi="Arial"/>
                <w:sz w:val="14"/>
                <w:szCs w:val="14"/>
                <w:b w:val="1"/>
                <w:bCs w:val="1"/>
                <w:color w:val="auto"/>
                <w:w w:val="90"/>
              </w:rPr>
              <w:t>(Parent)</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0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5"/>
              </w:rPr>
              <w:t>(Co-Issuers)</w:t>
            </w:r>
          </w:p>
        </w:tc>
        <w:tc>
          <w:tcPr>
            <w:tcW w:w="700" w:type="dxa"/>
            <w:vAlign w:val="bottom"/>
            <w:gridSpan w:val="2"/>
          </w:tcPr>
          <w:p>
            <w:pPr>
              <w:ind w:left="20"/>
              <w:spacing w:after="0"/>
              <w:rPr>
                <w:sz w:val="20"/>
                <w:szCs w:val="20"/>
                <w:color w:val="auto"/>
              </w:rPr>
            </w:pPr>
            <w:r>
              <w:rPr>
                <w:rFonts w:ascii="Arial" w:cs="Arial" w:eastAsia="Arial" w:hAnsi="Arial"/>
                <w:sz w:val="14"/>
                <w:szCs w:val="14"/>
                <w:b w:val="1"/>
                <w:bCs w:val="1"/>
                <w:color w:val="auto"/>
                <w:w w:val="87"/>
              </w:rPr>
              <w:t>Guarantors</w:t>
            </w:r>
          </w:p>
        </w:tc>
        <w:tc>
          <w:tcPr>
            <w:tcW w:w="220" w:type="dxa"/>
            <w:vAlign w:val="bottom"/>
          </w:tcPr>
          <w:p>
            <w:pPr>
              <w:spacing w:after="0"/>
              <w:rPr>
                <w:sz w:val="15"/>
                <w:szCs w:val="15"/>
                <w:color w:val="auto"/>
              </w:rPr>
            </w:pPr>
          </w:p>
        </w:tc>
        <w:tc>
          <w:tcPr>
            <w:tcW w:w="820" w:type="dxa"/>
            <w:vAlign w:val="bottom"/>
            <w:gridSpan w:val="3"/>
          </w:tcPr>
          <w:p>
            <w:pPr>
              <w:ind w:left="2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5"/>
                <w:szCs w:val="15"/>
                <w:color w:val="auto"/>
              </w:rPr>
            </w:pPr>
          </w:p>
        </w:tc>
        <w:tc>
          <w:tcPr>
            <w:tcW w:w="118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w w:val="96"/>
              </w:rPr>
              <w:t>Eliminations</w:t>
            </w:r>
          </w:p>
        </w:tc>
        <w:tc>
          <w:tcPr>
            <w:tcW w:w="88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Cash and cash equivalents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w w:val="79"/>
              </w:rPr>
              <w:t>209</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841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63,435</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22,089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Restricted cash</w:t>
            </w: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2,837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131,669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55,057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(74,673)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Inventories, net</w:t>
            </w: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82,348</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7,638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88,677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35,013</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718</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7,792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20,097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22,382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9,987</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6,063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(28,284)</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10,148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35,222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23,941</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298,068</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110,944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(158,385)</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309,790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color w:val="auto"/>
              </w:rPr>
              <w:t>Property, plant and equipment, net</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52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484,019</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1,058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485,077</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165,369</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26,020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191,389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Investments in subsidiaries</w:t>
            </w: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25,756</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(38,942)</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144,131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(130,945)</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inter-company loans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774,199</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621,311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(1,395,510)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Other non-current assets</w:t>
            </w: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24,153</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45,370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11,131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(26,263)</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86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60,978</w:t>
            </w:r>
          </w:p>
        </w:tc>
        <w:tc>
          <w:tcPr>
            <w:tcW w:w="300" w:type="dxa"/>
            <w:vAlign w:val="bottom"/>
            <w:gridSpan w:val="2"/>
            <w:shd w:val="clear" w:color="auto" w:fill="CCEEFF"/>
          </w:tcPr>
          <w:p>
            <w:pPr>
              <w:ind w:left="220"/>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783,351</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992,826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914,595</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(1,711,103)</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1,040,647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 and Unitholders’ equity</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524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300" w:type="dxa"/>
            <w:vAlign w:val="bottom"/>
            <w:gridSpan w:val="2"/>
          </w:tcPr>
          <w:p>
            <w:pPr>
              <w:ind w:left="220"/>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94,581</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74,003</w:t>
            </w: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(74,673)</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93,911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68,703</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19,344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(54,119)</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3,139</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24,560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26,331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(25,062)</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9,416</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(3,222)</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3,741</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191,590</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129,094</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(157,076)</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168,349</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5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 w:type="dxa"/>
            <w:vAlign w:val="bottom"/>
            <w:vMerge w:val="restart"/>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Long-term borrowings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750,000</w:t>
            </w: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621,311</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774,199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89"/>
              </w:rPr>
              <w:t>(1,395,510)</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Accrued severance benefits, net</w:t>
            </w:r>
          </w:p>
        </w:tc>
        <w:tc>
          <w:tcPr>
            <w:tcW w:w="10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54,854</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55,124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5,272</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28,187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(26,263)</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20" w:type="dxa"/>
            <w:vAlign w:val="bottom"/>
            <w:vMerge w:val="restart"/>
          </w:tcPr>
          <w:p>
            <w:pPr>
              <w:ind w:left="860"/>
              <w:spacing w:after="0"/>
              <w:rPr>
                <w:sz w:val="20"/>
                <w:szCs w:val="20"/>
                <w:color w:val="auto"/>
              </w:rPr>
            </w:pPr>
            <w:r>
              <w:rPr>
                <w:rFonts w:ascii="Arial" w:cs="Arial" w:eastAsia="Arial" w:hAnsi="Arial"/>
                <w:sz w:val="18"/>
                <w:szCs w:val="18"/>
                <w:color w:val="auto"/>
              </w:rPr>
              <w:t>Total liabilities</w:t>
            </w:r>
          </w:p>
        </w:tc>
        <w:tc>
          <w:tcPr>
            <w:tcW w:w="1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20" w:type="dxa"/>
            <w:vAlign w:val="bottom"/>
          </w:tcPr>
          <w:p>
            <w:pPr>
              <w:spacing w:after="0"/>
              <w:rPr>
                <w:sz w:val="19"/>
                <w:szCs w:val="19"/>
                <w:color w:val="auto"/>
              </w:rPr>
            </w:pPr>
          </w:p>
        </w:tc>
        <w:tc>
          <w:tcPr>
            <w:tcW w:w="52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280"/>
              <w:spacing w:after="0"/>
              <w:rPr>
                <w:sz w:val="20"/>
                <w:szCs w:val="20"/>
                <w:color w:val="auto"/>
              </w:rPr>
            </w:pPr>
            <w:r>
              <w:rPr>
                <w:rFonts w:ascii="Arial" w:cs="Arial" w:eastAsia="Arial" w:hAnsi="Arial"/>
                <w:sz w:val="18"/>
                <w:szCs w:val="18"/>
                <w:color w:val="auto"/>
              </w:rPr>
              <w:t>753,741</w:t>
            </w:r>
          </w:p>
        </w:tc>
        <w:tc>
          <w:tcPr>
            <w:tcW w:w="1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873,027</w:t>
            </w: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Arial" w:cs="Arial" w:eastAsia="Arial" w:hAnsi="Arial"/>
                <w:sz w:val="18"/>
                <w:szCs w:val="18"/>
                <w:color w:val="auto"/>
                <w:w w:val="86"/>
              </w:rPr>
              <w:t>931,750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w w:val="89"/>
              </w:rPr>
              <w:t>(1,578,849)</w:t>
            </w:r>
          </w:p>
        </w:tc>
        <w:tc>
          <w:tcPr>
            <w:tcW w:w="120" w:type="dxa"/>
            <w:vAlign w:val="bottom"/>
          </w:tcPr>
          <w:p>
            <w:pPr>
              <w:spacing w:after="0"/>
              <w:rPr>
                <w:sz w:val="19"/>
                <w:szCs w:val="19"/>
                <w:color w:val="auto"/>
              </w:rPr>
            </w:pP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980,669</w:t>
            </w:r>
          </w:p>
        </w:tc>
        <w:tc>
          <w:tcPr>
            <w:tcW w:w="0" w:type="dxa"/>
            <w:vAlign w:val="bottom"/>
          </w:tcPr>
          <w:p>
            <w:pPr>
              <w:spacing w:after="0"/>
              <w:rPr>
                <w:sz w:val="1"/>
                <w:szCs w:val="1"/>
                <w:color w:val="auto"/>
              </w:rPr>
            </w:pPr>
          </w:p>
        </w:tc>
      </w:tr>
      <w:tr>
        <w:trPr>
          <w:trHeight w:val="371"/>
        </w:trPr>
        <w:tc>
          <w:tcPr>
            <w:tcW w:w="20" w:type="dxa"/>
            <w:vAlign w:val="bottom"/>
          </w:tcPr>
          <w:p>
            <w:pPr>
              <w:spacing w:after="0"/>
              <w:rPr>
                <w:sz w:val="24"/>
                <w:szCs w:val="24"/>
                <w:color w:val="auto"/>
              </w:rPr>
            </w:pPr>
          </w:p>
        </w:tc>
        <w:tc>
          <w:tcPr>
            <w:tcW w:w="52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ind w:left="280"/>
              <w:spacing w:after="0"/>
              <w:rPr>
                <w:sz w:val="20"/>
                <w:szCs w:val="20"/>
                <w:color w:val="auto"/>
              </w:rPr>
            </w:pPr>
            <w:r>
              <w:rPr>
                <w:rFonts w:ascii="Arial" w:cs="Arial" w:eastAsia="Arial" w:hAnsi="Arial"/>
                <w:sz w:val="18"/>
                <w:szCs w:val="18"/>
                <w:color w:val="auto"/>
              </w:rPr>
              <w:t>18</w:t>
            </w:r>
          </w:p>
        </w:tc>
        <w:tc>
          <w:tcPr>
            <w:tcW w:w="2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5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6"/>
              </w:rPr>
              <w:t>Finance</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Company &amp;</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MagnaChip</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MagnaChip</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16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0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rPr>
              <w:t>LLC</w:t>
            </w:r>
          </w:p>
        </w:tc>
        <w:tc>
          <w:tcPr>
            <w:tcW w:w="10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S.A.</w:t>
            </w:r>
          </w:p>
        </w:tc>
        <w:tc>
          <w:tcPr>
            <w:tcW w:w="100" w:type="dxa"/>
            <w:vAlign w:val="bottom"/>
          </w:tcPr>
          <w:p>
            <w:pPr>
              <w:spacing w:after="0"/>
              <w:rPr>
                <w:sz w:val="12"/>
                <w:szCs w:val="12"/>
                <w:color w:val="auto"/>
              </w:rPr>
            </w:pPr>
          </w:p>
        </w:tc>
        <w:tc>
          <w:tcPr>
            <w:tcW w:w="860" w:type="dxa"/>
            <w:vAlign w:val="bottom"/>
            <w:gridSpan w:val="2"/>
          </w:tcPr>
          <w:p>
            <w:pPr>
              <w:jc w:val="right"/>
              <w:ind w:right="380"/>
              <w:spacing w:after="0" w:line="149" w:lineRule="exact"/>
              <w:rPr>
                <w:sz w:val="20"/>
                <w:szCs w:val="20"/>
                <w:color w:val="auto"/>
              </w:rPr>
            </w:pPr>
            <w:r>
              <w:rPr>
                <w:rFonts w:ascii="Arial" w:cs="Arial" w:eastAsia="Arial" w:hAnsi="Arial"/>
                <w:sz w:val="14"/>
                <w:szCs w:val="14"/>
                <w:b w:val="1"/>
                <w:bCs w:val="1"/>
                <w:color w:val="auto"/>
              </w:rPr>
              <w:t>Non-</w:t>
            </w:r>
          </w:p>
        </w:tc>
        <w:tc>
          <w:tcPr>
            <w:tcW w:w="1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5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(Parent)</w:t>
            </w:r>
          </w:p>
        </w:tc>
        <w:tc>
          <w:tcPr>
            <w:tcW w:w="10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(Co-Issuers)</w:t>
            </w:r>
          </w:p>
        </w:tc>
        <w:tc>
          <w:tcPr>
            <w:tcW w:w="96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Guarantors</w:t>
            </w:r>
          </w:p>
        </w:tc>
        <w:tc>
          <w:tcPr>
            <w:tcW w:w="100" w:type="dxa"/>
            <w:vAlign w:val="bottom"/>
          </w:tcPr>
          <w:p>
            <w:pPr>
              <w:spacing w:after="0"/>
              <w:rPr>
                <w:sz w:val="15"/>
                <w:szCs w:val="15"/>
                <w:color w:val="auto"/>
              </w:rPr>
            </w:pPr>
          </w:p>
        </w:tc>
        <w:tc>
          <w:tcPr>
            <w:tcW w:w="10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2"/>
              </w:rPr>
              <w:t>Guarantors</w:t>
            </w:r>
          </w:p>
        </w:tc>
        <w:tc>
          <w:tcPr>
            <w:tcW w:w="10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3"/>
              </w:rPr>
              <w:t>Eliminations</w:t>
            </w:r>
          </w:p>
        </w:tc>
        <w:tc>
          <w:tcPr>
            <w:tcW w:w="120" w:type="dxa"/>
            <w:vAlign w:val="bottom"/>
          </w:tcPr>
          <w:p>
            <w:pPr>
              <w:spacing w:after="0"/>
              <w:rPr>
                <w:sz w:val="15"/>
                <w:szCs w:val="15"/>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5"/>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ind w:left="420"/>
              <w:spacing w:after="0"/>
              <w:rPr>
                <w:sz w:val="20"/>
                <w:szCs w:val="20"/>
                <w:color w:val="auto"/>
              </w:rPr>
            </w:pPr>
            <w:r>
              <w:rPr>
                <w:rFonts w:ascii="Arial" w:cs="Arial" w:eastAsia="Arial" w:hAnsi="Arial"/>
                <w:sz w:val="18"/>
                <w:szCs w:val="18"/>
                <w:color w:val="auto"/>
              </w:rPr>
              <w:t>Series A redeemable convertible preferred units</w:t>
            </w:r>
          </w:p>
        </w:tc>
        <w:tc>
          <w:tcPr>
            <w:tcW w:w="100" w:type="dxa"/>
            <w:vAlign w:val="bottom"/>
          </w:tcPr>
          <w:p>
            <w:pPr>
              <w:spacing w:after="0"/>
              <w:rPr>
                <w:sz w:val="18"/>
                <w:szCs w:val="18"/>
                <w:color w:val="auto"/>
              </w:rPr>
            </w:pPr>
          </w:p>
        </w:tc>
        <w:tc>
          <w:tcPr>
            <w:tcW w:w="10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ind w:left="420"/>
              <w:spacing w:after="0"/>
              <w:rPr>
                <w:sz w:val="20"/>
                <w:szCs w:val="20"/>
                <w:color w:val="auto"/>
              </w:rPr>
            </w:pPr>
            <w:r>
              <w:rPr>
                <w:rFonts w:ascii="Arial" w:cs="Arial" w:eastAsia="Arial" w:hAnsi="Arial"/>
                <w:sz w:val="18"/>
                <w:szCs w:val="18"/>
                <w:color w:val="auto"/>
              </w:rPr>
              <w:t>Series B redeemable convertible preferred units</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106,462</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860"/>
              <w:spacing w:after="0"/>
              <w:rPr>
                <w:sz w:val="20"/>
                <w:szCs w:val="20"/>
                <w:color w:val="auto"/>
              </w:rPr>
            </w:pPr>
            <w:r>
              <w:rPr>
                <w:rFonts w:ascii="Arial" w:cs="Arial" w:eastAsia="Arial" w:hAnsi="Arial"/>
                <w:sz w:val="18"/>
                <w:szCs w:val="18"/>
                <w:color w:val="auto"/>
              </w:rPr>
              <w:t>Total redeemable convertible preferred units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106,462</w:t>
            </w: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2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106,462</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Unitholders’ equity</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Common units</w:t>
            </w:r>
          </w:p>
        </w:tc>
        <w:tc>
          <w:tcPr>
            <w:tcW w:w="100" w:type="dxa"/>
            <w:vAlign w:val="bottom"/>
          </w:tcPr>
          <w:p>
            <w:pPr>
              <w:spacing w:after="0"/>
              <w:rPr>
                <w:sz w:val="18"/>
                <w:szCs w:val="18"/>
                <w:color w:val="auto"/>
              </w:rPr>
            </w:pPr>
          </w:p>
        </w:tc>
        <w:tc>
          <w:tcPr>
            <w:tcW w:w="1060" w:type="dxa"/>
            <w:vAlign w:val="bottom"/>
            <w:gridSpan w:val="2"/>
          </w:tcPr>
          <w:p>
            <w:pPr>
              <w:jc w:val="right"/>
              <w:ind w:right="280"/>
              <w:spacing w:after="0"/>
              <w:rPr>
                <w:sz w:val="20"/>
                <w:szCs w:val="20"/>
                <w:color w:val="auto"/>
              </w:rPr>
            </w:pPr>
            <w:r>
              <w:rPr>
                <w:rFonts w:ascii="Arial" w:cs="Arial" w:eastAsia="Arial" w:hAnsi="Arial"/>
                <w:sz w:val="18"/>
                <w:szCs w:val="18"/>
                <w:color w:val="auto"/>
              </w:rPr>
              <w:t>53,092</w:t>
            </w:r>
          </w:p>
        </w:tc>
        <w:tc>
          <w:tcPr>
            <w:tcW w:w="880" w:type="dxa"/>
            <w:vAlign w:val="bottom"/>
          </w:tcPr>
          <w:p>
            <w:pPr>
              <w:jc w:val="right"/>
              <w:spacing w:after="0"/>
              <w:rPr>
                <w:sz w:val="20"/>
                <w:szCs w:val="20"/>
                <w:color w:val="auto"/>
              </w:rPr>
            </w:pPr>
            <w:r>
              <w:rPr>
                <w:rFonts w:ascii="Arial" w:cs="Arial" w:eastAsia="Arial" w:hAnsi="Arial"/>
                <w:sz w:val="18"/>
                <w:szCs w:val="18"/>
                <w:color w:val="auto"/>
              </w:rPr>
              <w:t>102,986</w:t>
            </w:r>
          </w:p>
        </w:tc>
        <w:tc>
          <w:tcPr>
            <w:tcW w:w="180" w:type="dxa"/>
            <w:vAlign w:val="bottom"/>
          </w:tcPr>
          <w:p>
            <w:pPr>
              <w:spacing w:after="0"/>
              <w:rPr>
                <w:sz w:val="18"/>
                <w:szCs w:val="18"/>
                <w:color w:val="auto"/>
              </w:rPr>
            </w:pP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39,005</w:t>
            </w:r>
          </w:p>
        </w:tc>
        <w:tc>
          <w:tcPr>
            <w:tcW w:w="180" w:type="dxa"/>
            <w:vAlign w:val="bottom"/>
          </w:tcPr>
          <w:p>
            <w:pPr>
              <w:spacing w:after="0"/>
              <w:rPr>
                <w:sz w:val="18"/>
                <w:szCs w:val="18"/>
                <w:color w:val="auto"/>
              </w:rPr>
            </w:pPr>
          </w:p>
        </w:tc>
        <w:tc>
          <w:tcPr>
            <w:tcW w:w="1120" w:type="dxa"/>
            <w:vAlign w:val="bottom"/>
            <w:gridSpan w:val="3"/>
          </w:tcPr>
          <w:p>
            <w:pPr>
              <w:jc w:val="right"/>
              <w:ind w:right="280"/>
              <w:spacing w:after="0"/>
              <w:rPr>
                <w:sz w:val="20"/>
                <w:szCs w:val="20"/>
                <w:color w:val="auto"/>
              </w:rPr>
            </w:pPr>
            <w:r>
              <w:rPr>
                <w:rFonts w:ascii="Arial" w:cs="Arial" w:eastAsia="Arial" w:hAnsi="Arial"/>
                <w:sz w:val="18"/>
                <w:szCs w:val="18"/>
                <w:color w:val="auto"/>
              </w:rPr>
              <w:t>58,364</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(200,355)</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53,092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2,169</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155,212</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71,989</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(228,228)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2,169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Accumulated deficit</w:t>
            </w:r>
          </w:p>
        </w:tc>
        <w:tc>
          <w:tcPr>
            <w:tcW w:w="10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(130,092)</w:t>
            </w:r>
          </w:p>
        </w:tc>
        <w:tc>
          <w:tcPr>
            <w:tcW w:w="1060" w:type="dxa"/>
            <w:vAlign w:val="bottom"/>
            <w:gridSpan w:val="2"/>
          </w:tcPr>
          <w:p>
            <w:pPr>
              <w:jc w:val="right"/>
              <w:ind w:right="120"/>
              <w:spacing w:after="0"/>
              <w:rPr>
                <w:sz w:val="20"/>
                <w:szCs w:val="20"/>
                <w:color w:val="auto"/>
              </w:rPr>
            </w:pPr>
            <w:r>
              <w:rPr>
                <w:rFonts w:ascii="Arial" w:cs="Arial" w:eastAsia="Arial" w:hAnsi="Arial"/>
                <w:sz w:val="18"/>
                <w:szCs w:val="18"/>
                <w:color w:val="auto"/>
              </w:rPr>
              <w:t>(102,930)</w:t>
            </w:r>
          </w:p>
        </w:tc>
        <w:tc>
          <w:tcPr>
            <w:tcW w:w="960" w:type="dxa"/>
            <w:vAlign w:val="bottom"/>
            <w:gridSpan w:val="3"/>
          </w:tcPr>
          <w:p>
            <w:pPr>
              <w:jc w:val="right"/>
              <w:ind w:right="120"/>
              <w:spacing w:after="0"/>
              <w:rPr>
                <w:sz w:val="20"/>
                <w:szCs w:val="20"/>
                <w:color w:val="auto"/>
              </w:rPr>
            </w:pPr>
            <w:r>
              <w:rPr>
                <w:rFonts w:ascii="Arial" w:cs="Arial" w:eastAsia="Arial" w:hAnsi="Arial"/>
                <w:sz w:val="18"/>
                <w:szCs w:val="18"/>
                <w:color w:val="auto"/>
              </w:rPr>
              <w:t>(99,666)</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(172,038)</w:t>
            </w:r>
          </w:p>
        </w:tc>
        <w:tc>
          <w:tcPr>
            <w:tcW w:w="860" w:type="dxa"/>
            <w:vAlign w:val="bottom"/>
          </w:tcPr>
          <w:p>
            <w:pPr>
              <w:jc w:val="right"/>
              <w:spacing w:after="0"/>
              <w:rPr>
                <w:sz w:val="20"/>
                <w:szCs w:val="20"/>
                <w:color w:val="auto"/>
              </w:rPr>
            </w:pPr>
            <w:r>
              <w:rPr>
                <w:rFonts w:ascii="Arial" w:cs="Arial" w:eastAsia="Arial" w:hAnsi="Arial"/>
                <w:sz w:val="18"/>
                <w:szCs w:val="18"/>
                <w:color w:val="auto"/>
              </w:rPr>
              <w:t>374,634</w:t>
            </w:r>
          </w:p>
        </w:tc>
        <w:tc>
          <w:tcPr>
            <w:tcW w:w="16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(130,092)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28,347</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28,527</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25,248</w:t>
            </w:r>
          </w:p>
        </w:tc>
        <w:tc>
          <w:tcPr>
            <w:tcW w:w="180" w:type="dxa"/>
            <w:vAlign w:val="bottom"/>
            <w:shd w:val="clear" w:color="auto" w:fill="CCEEFF"/>
          </w:tcPr>
          <w:p>
            <w:pPr>
              <w:spacing w:after="0"/>
              <w:rPr>
                <w:sz w:val="18"/>
                <w:szCs w:val="18"/>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24,530</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(78,305)</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28,347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vMerge w:val="restart"/>
          </w:tcPr>
          <w:p>
            <w:pPr>
              <w:ind w:left="860"/>
              <w:spacing w:after="0"/>
              <w:rPr>
                <w:sz w:val="20"/>
                <w:szCs w:val="20"/>
                <w:color w:val="auto"/>
              </w:rPr>
            </w:pPr>
            <w:r>
              <w:rPr>
                <w:rFonts w:ascii="Arial" w:cs="Arial" w:eastAsia="Arial" w:hAnsi="Arial"/>
                <w:sz w:val="18"/>
                <w:szCs w:val="18"/>
                <w:color w:val="auto"/>
              </w:rPr>
              <w:t>Total unitholders’ equity</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20"/>
                <w:szCs w:val="20"/>
                <w:color w:val="auto"/>
              </w:rPr>
            </w:pPr>
          </w:p>
        </w:tc>
        <w:tc>
          <w:tcPr>
            <w:tcW w:w="510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(46,484)</w:t>
            </w:r>
          </w:p>
        </w:tc>
        <w:tc>
          <w:tcPr>
            <w:tcW w:w="880" w:type="dxa"/>
            <w:vAlign w:val="bottom"/>
          </w:tcPr>
          <w:p>
            <w:pPr>
              <w:jc w:val="right"/>
              <w:spacing w:after="0"/>
              <w:rPr>
                <w:sz w:val="20"/>
                <w:szCs w:val="20"/>
                <w:color w:val="auto"/>
              </w:rPr>
            </w:pPr>
            <w:r>
              <w:rPr>
                <w:rFonts w:ascii="Arial" w:cs="Arial" w:eastAsia="Arial" w:hAnsi="Arial"/>
                <w:sz w:val="18"/>
                <w:szCs w:val="18"/>
                <w:color w:val="auto"/>
              </w:rPr>
              <w:t>29,610</w:t>
            </w:r>
          </w:p>
        </w:tc>
        <w:tc>
          <w:tcPr>
            <w:tcW w:w="180" w:type="dxa"/>
            <w:vAlign w:val="bottom"/>
          </w:tcPr>
          <w:p>
            <w:pPr>
              <w:spacing w:after="0"/>
              <w:rPr>
                <w:sz w:val="20"/>
                <w:szCs w:val="20"/>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8"/>
                <w:szCs w:val="18"/>
                <w:color w:val="auto"/>
              </w:rPr>
              <w:t>119,799</w:t>
            </w:r>
          </w:p>
        </w:tc>
        <w:tc>
          <w:tcPr>
            <w:tcW w:w="1120" w:type="dxa"/>
            <w:vAlign w:val="bottom"/>
            <w:gridSpan w:val="3"/>
          </w:tcPr>
          <w:p>
            <w:pPr>
              <w:jc w:val="right"/>
              <w:ind w:right="220"/>
              <w:spacing w:after="0"/>
              <w:rPr>
                <w:sz w:val="20"/>
                <w:szCs w:val="20"/>
                <w:color w:val="auto"/>
              </w:rPr>
            </w:pPr>
            <w:r>
              <w:rPr>
                <w:rFonts w:ascii="Arial" w:cs="Arial" w:eastAsia="Arial" w:hAnsi="Arial"/>
                <w:sz w:val="18"/>
                <w:szCs w:val="18"/>
                <w:color w:val="auto"/>
              </w:rPr>
              <w:t>(17,155)</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(132,254)</w:t>
            </w:r>
          </w:p>
        </w:tc>
        <w:tc>
          <w:tcPr>
            <w:tcW w:w="980" w:type="dxa"/>
            <w:vAlign w:val="bottom"/>
            <w:gridSpan w:val="3"/>
          </w:tcPr>
          <w:p>
            <w:pPr>
              <w:jc w:val="right"/>
              <w:spacing w:after="0"/>
              <w:rPr>
                <w:sz w:val="20"/>
                <w:szCs w:val="20"/>
                <w:color w:val="auto"/>
              </w:rPr>
            </w:pPr>
            <w:r>
              <w:rPr>
                <w:rFonts w:ascii="Arial" w:cs="Arial" w:eastAsia="Arial" w:hAnsi="Arial"/>
                <w:sz w:val="18"/>
                <w:szCs w:val="18"/>
                <w:color w:val="auto"/>
              </w:rPr>
              <w:t>(46,484)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100" w:type="dxa"/>
            <w:vAlign w:val="bottom"/>
            <w:shd w:val="clear" w:color="auto" w:fill="CCEEFF"/>
          </w:tcPr>
          <w:p>
            <w:pPr>
              <w:ind w:left="1280"/>
              <w:spacing w:after="0"/>
              <w:rPr>
                <w:sz w:val="20"/>
                <w:szCs w:val="20"/>
                <w:color w:val="auto"/>
              </w:rPr>
            </w:pPr>
            <w:r>
              <w:rPr>
                <w:rFonts w:ascii="Arial" w:cs="Arial" w:eastAsia="Arial" w:hAnsi="Arial"/>
                <w:sz w:val="18"/>
                <w:szCs w:val="18"/>
                <w:color w:val="auto"/>
                <w:w w:val="97"/>
              </w:rPr>
              <w:t>Total liabilities, redeemable convertible preferred</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100" w:type="dxa"/>
            <w:vAlign w:val="bottom"/>
            <w:shd w:val="clear" w:color="auto" w:fill="CCEEFF"/>
          </w:tcPr>
          <w:p>
            <w:pPr>
              <w:ind w:left="1500"/>
              <w:spacing w:after="0"/>
              <w:rPr>
                <w:sz w:val="20"/>
                <w:szCs w:val="20"/>
                <w:color w:val="auto"/>
              </w:rPr>
            </w:pPr>
            <w:r>
              <w:rPr>
                <w:rFonts w:ascii="Arial" w:cs="Arial" w:eastAsia="Arial" w:hAnsi="Arial"/>
                <w:sz w:val="18"/>
                <w:szCs w:val="18"/>
                <w:color w:val="auto"/>
              </w:rPr>
              <w:t>units and unitholders’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60,978</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   783,351</w:t>
            </w:r>
          </w:p>
        </w:tc>
        <w:tc>
          <w:tcPr>
            <w:tcW w:w="1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992,826</w:t>
            </w:r>
          </w:p>
        </w:tc>
        <w:tc>
          <w:tcPr>
            <w:tcW w:w="180" w:type="dxa"/>
            <w:vAlign w:val="bottom"/>
            <w:shd w:val="clear" w:color="auto" w:fill="CCEEFF"/>
          </w:tcPr>
          <w:p>
            <w:pPr>
              <w:spacing w:after="0"/>
              <w:rPr>
                <w:sz w:val="19"/>
                <w:szCs w:val="19"/>
                <w:color w:val="auto"/>
              </w:rPr>
            </w:pPr>
          </w:p>
        </w:tc>
        <w:tc>
          <w:tcPr>
            <w:tcW w:w="11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$ 914,595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u w:val="single" w:color="auto"/>
                <w:color w:val="auto"/>
                <w:w w:val="88"/>
              </w:rPr>
              <w:t>$</w:t>
            </w:r>
            <w:r>
              <w:rPr>
                <w:rFonts w:ascii="Arial" w:cs="Arial" w:eastAsia="Arial" w:hAnsi="Arial"/>
                <w:sz w:val="18"/>
                <w:szCs w:val="18"/>
                <w:color w:val="auto"/>
                <w:w w:val="88"/>
              </w:rPr>
              <w:t>(1,711,103)</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w w:val="99"/>
              </w:rPr>
              <w:t>$</w:t>
            </w:r>
            <w:r>
              <w:rPr>
                <w:rFonts w:ascii="Arial" w:cs="Arial" w:eastAsia="Arial" w:hAnsi="Arial"/>
                <w:sz w:val="18"/>
                <w:szCs w:val="18"/>
                <w:color w:val="auto"/>
                <w:w w:val="99"/>
              </w:rPr>
              <w:t>1,040,647</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7"/>
        </w:trPr>
        <w:tc>
          <w:tcPr>
            <w:tcW w:w="2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17"/>
              <w:spacing w:after="0"/>
              <w:rPr>
                <w:sz w:val="20"/>
                <w:szCs w:val="20"/>
                <w:color w:val="auto"/>
              </w:rPr>
            </w:pPr>
            <w:r>
              <w:rPr>
                <w:rFonts w:ascii="Arial" w:cs="Arial" w:eastAsia="Arial" w:hAnsi="Arial"/>
                <w:sz w:val="18"/>
                <w:szCs w:val="18"/>
                <w:color w:val="auto"/>
              </w:rPr>
              <w:t>19</w:t>
            </w:r>
          </w:p>
        </w:tc>
        <w:tc>
          <w:tcPr>
            <w:tcW w:w="2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2,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6"/>
              </w:rPr>
              <w:t>Finance</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3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2"/>
              </w:rPr>
              <w:t>Company &amp;</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80"/>
              <w:spacing w:after="0" w:line="149" w:lineRule="exact"/>
              <w:rPr>
                <w:sz w:val="20"/>
                <w:szCs w:val="20"/>
                <w:color w:val="auto"/>
              </w:rPr>
            </w:pPr>
            <w:r>
              <w:rPr>
                <w:rFonts w:ascii="Arial" w:cs="Arial" w:eastAsia="Arial" w:hAnsi="Arial"/>
                <w:sz w:val="14"/>
                <w:szCs w:val="14"/>
                <w:b w:val="1"/>
                <w:bCs w:val="1"/>
                <w:color w:val="auto"/>
                <w:w w:val="87"/>
              </w:rPr>
              <w:t>MagnaChip</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96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340" w:type="dxa"/>
            <w:vAlign w:val="bottom"/>
          </w:tcPr>
          <w:p>
            <w:pPr>
              <w:spacing w:after="0"/>
              <w:rPr>
                <w:sz w:val="12"/>
                <w:szCs w:val="12"/>
                <w:color w:val="auto"/>
              </w:rPr>
            </w:pPr>
          </w:p>
        </w:tc>
        <w:tc>
          <w:tcPr>
            <w:tcW w:w="130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Semiconductor</w:t>
            </w:r>
          </w:p>
        </w:tc>
        <w:tc>
          <w:tcPr>
            <w:tcW w:w="1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LLC</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7"/>
              </w:rPr>
              <w:t>S.A.</w:t>
            </w:r>
          </w:p>
        </w:tc>
        <w:tc>
          <w:tcPr>
            <w:tcW w:w="100" w:type="dxa"/>
            <w:vAlign w:val="bottom"/>
          </w:tcPr>
          <w:p>
            <w:pPr>
              <w:spacing w:after="0"/>
              <w:rPr>
                <w:sz w:val="12"/>
                <w:szCs w:val="12"/>
                <w:color w:val="auto"/>
              </w:rPr>
            </w:pPr>
          </w:p>
        </w:tc>
        <w:tc>
          <w:tcPr>
            <w:tcW w:w="8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(Parent)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4"/>
                <w:szCs w:val="14"/>
                <w:b w:val="1"/>
                <w:bCs w:val="1"/>
                <w:color w:val="auto"/>
                <w:w w:val="85"/>
              </w:rPr>
              <w:t>(Co-Issuers)</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rPr>
              <w:t>Guarantors</w:t>
            </w:r>
          </w:p>
        </w:tc>
        <w:tc>
          <w:tcPr>
            <w:tcW w:w="12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9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6"/>
              </w:rPr>
              <w:t>Eliminations</w:t>
            </w:r>
          </w:p>
        </w:tc>
        <w:tc>
          <w:tcPr>
            <w:tcW w:w="1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Consolidated</w:t>
            </w:r>
          </w:p>
        </w:tc>
        <w:tc>
          <w:tcPr>
            <w:tcW w:w="0" w:type="dxa"/>
            <w:vAlign w:val="bottom"/>
          </w:tcPr>
          <w:p>
            <w:pPr>
              <w:spacing w:after="0"/>
              <w:rPr>
                <w:sz w:val="1"/>
                <w:szCs w:val="1"/>
                <w:color w:val="auto"/>
              </w:rPr>
            </w:pPr>
          </w:p>
        </w:tc>
      </w:tr>
      <w:tr>
        <w:trPr>
          <w:trHeight w:val="210"/>
        </w:trPr>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(3,891)</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(2,715)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(204)</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  (8,325)</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  11,244</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   (3,891)</w:t>
            </w:r>
          </w:p>
        </w:tc>
        <w:tc>
          <w:tcPr>
            <w:tcW w:w="0" w:type="dxa"/>
            <w:vAlign w:val="bottom"/>
          </w:tcPr>
          <w:p>
            <w:pPr>
              <w:spacing w:after="0"/>
              <w:rPr>
                <w:sz w:val="1"/>
                <w:szCs w:val="1"/>
                <w:color w:val="auto"/>
              </w:rPr>
            </w:pPr>
          </w:p>
        </w:tc>
      </w:tr>
      <w:tr>
        <w:trPr>
          <w:trHeight w:val="208"/>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provided by</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46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(used in) operating activities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Depreciation and amortization</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w w:val="98"/>
              </w:rPr>
              <w:t>49,240</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1,064</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50,304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Provision for severance benefits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3,014</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23</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3,037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Amortization of debt issuance costs</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ind w:left="540"/>
              <w:spacing w:after="0"/>
              <w:rPr>
                <w:sz w:val="20"/>
                <w:szCs w:val="20"/>
                <w:color w:val="auto"/>
              </w:rPr>
            </w:pPr>
            <w:r>
              <w:rPr>
                <w:rFonts w:ascii="Arial" w:cs="Arial" w:eastAsia="Arial" w:hAnsi="Arial"/>
                <w:sz w:val="18"/>
                <w:szCs w:val="18"/>
                <w:color w:val="auto"/>
                <w:w w:val="79"/>
              </w:rPr>
              <w:t>648</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222</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870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(Gain) loss on foreign currency translation, net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(3,825)</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(25,979)</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4,046</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(25,758)</w:t>
            </w: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Unit-based compensation</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68</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6</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Earnings (loss) of related investment</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3,858</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496</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(11,095)</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168</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(214)</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Changes in operating assets and liabilities:</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Accounts receivable</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4,465</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14,128</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2,319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20,912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10,706</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(285)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10,310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Other receivables</w:t>
            </w: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(1,728)</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(115)</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658</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(1,186)</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Accounts payable</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89"/>
              </w:rPr>
              <w:t>(32,937)</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1,961</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(2,319)</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(33,295)</w:t>
            </w: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Other accounts payable</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(10,483)</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340</w:t>
            </w: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(658)</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(10,801)</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Accrued expenses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3,104</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8,385</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(14,547)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5,503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(9,711)</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(2,302)</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(5,291)</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15,359</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(1,945)</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(593)</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(3,400)</w:t>
            </w:r>
          </w:p>
        </w:tc>
        <w:tc>
          <w:tcPr>
            <w:tcW w:w="9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(812)</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(4,764)</w:t>
            </w:r>
          </w:p>
        </w:tc>
        <w:tc>
          <w:tcPr>
            <w:tcW w:w="0" w:type="dxa"/>
            <w:vAlign w:val="bottom"/>
          </w:tcPr>
          <w:p>
            <w:pPr>
              <w:spacing w:after="0"/>
              <w:rPr>
                <w:sz w:val="1"/>
                <w:szCs w:val="1"/>
                <w:color w:val="auto"/>
              </w:rPr>
            </w:pPr>
          </w:p>
        </w:tc>
      </w:tr>
      <w:tr>
        <w:trPr>
          <w:trHeight w:val="216"/>
        </w:trPr>
        <w:tc>
          <w:tcPr>
            <w:tcW w:w="4640" w:type="dxa"/>
            <w:vAlign w:val="bottom"/>
          </w:tcPr>
          <w:p>
            <w:pPr>
              <w:ind w:left="440"/>
              <w:spacing w:after="0"/>
              <w:rPr>
                <w:sz w:val="20"/>
                <w:szCs w:val="20"/>
                <w:color w:val="auto"/>
              </w:rPr>
            </w:pPr>
            <w:r>
              <w:rPr>
                <w:rFonts w:ascii="Arial" w:cs="Arial" w:eastAsia="Arial" w:hAnsi="Arial"/>
                <w:sz w:val="18"/>
                <w:szCs w:val="18"/>
                <w:color w:val="auto"/>
              </w:rPr>
              <w:t>Payment of severance benefits</w:t>
            </w:r>
          </w:p>
        </w:tc>
        <w:tc>
          <w:tcPr>
            <w:tcW w:w="100" w:type="dxa"/>
            <w:vAlign w:val="bottom"/>
          </w:tcPr>
          <w:p>
            <w:pPr>
              <w:spacing w:after="0"/>
              <w:rPr>
                <w:sz w:val="18"/>
                <w:szCs w:val="18"/>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(2,858)</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(2,858)</w:t>
            </w:r>
          </w:p>
        </w:tc>
        <w:tc>
          <w:tcPr>
            <w:tcW w:w="0" w:type="dxa"/>
            <w:vAlign w:val="bottom"/>
          </w:tcPr>
          <w:p>
            <w:pPr>
              <w:spacing w:after="0"/>
              <w:rPr>
                <w:sz w:val="1"/>
                <w:szCs w:val="1"/>
                <w:color w:val="auto"/>
              </w:rPr>
            </w:pPr>
          </w:p>
        </w:tc>
      </w:tr>
      <w:tr>
        <w:trPr>
          <w:trHeight w:val="216"/>
        </w:trPr>
        <w:tc>
          <w:tcPr>
            <w:tcW w:w="46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(123)</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2,852</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(693)</w:t>
            </w: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40" w:type="dxa"/>
            <w:vAlign w:val="bottom"/>
            <w:vMerge w:val="restart"/>
          </w:tcPr>
          <w:p>
            <w:pPr>
              <w:spacing w:after="0"/>
              <w:rPr>
                <w:sz w:val="20"/>
                <w:szCs w:val="20"/>
                <w:color w:val="auto"/>
              </w:rPr>
            </w:pPr>
            <w:r>
              <w:rPr>
                <w:rFonts w:ascii="Arial" w:cs="Arial" w:eastAsia="Arial" w:hAnsi="Arial"/>
                <w:sz w:val="18"/>
                <w:szCs w:val="18"/>
                <w:color w:val="auto"/>
              </w:rPr>
              <w:t>Net cash provided by (used in) operating activities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20" w:type="dxa"/>
            <w:vAlign w:val="bottom"/>
            <w:gridSpan w:val="2"/>
          </w:tcPr>
          <w:p>
            <w:pPr>
              <w:jc w:val="right"/>
              <w:ind w:right="360"/>
              <w:spacing w:after="0"/>
              <w:rPr>
                <w:sz w:val="20"/>
                <w:szCs w:val="20"/>
                <w:color w:val="auto"/>
              </w:rPr>
            </w:pPr>
            <w:r>
              <w:rPr>
                <w:rFonts w:ascii="Arial" w:cs="Arial" w:eastAsia="Arial" w:hAnsi="Arial"/>
                <w:sz w:val="18"/>
                <w:szCs w:val="18"/>
                <w:color w:val="auto"/>
              </w:rPr>
              <w:t>(383)</w:t>
            </w:r>
          </w:p>
        </w:tc>
        <w:tc>
          <w:tcPr>
            <w:tcW w:w="100" w:type="dxa"/>
            <w:vAlign w:val="bottom"/>
          </w:tcPr>
          <w:p>
            <w:pPr>
              <w:spacing w:after="0"/>
              <w:rPr>
                <w:sz w:val="19"/>
                <w:szCs w:val="19"/>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rPr>
              <w:t>(3,245)</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12,126</w:t>
            </w: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8,502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72"/>
        </w:trPr>
        <w:tc>
          <w:tcPr>
            <w:tcW w:w="464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jc w:val="right"/>
              <w:ind w:right="52"/>
              <w:spacing w:after="0"/>
              <w:rPr>
                <w:sz w:val="20"/>
                <w:szCs w:val="20"/>
                <w:color w:val="auto"/>
              </w:rPr>
            </w:pPr>
            <w:r>
              <w:rPr>
                <w:rFonts w:ascii="Arial" w:cs="Arial" w:eastAsia="Arial" w:hAnsi="Arial"/>
                <w:sz w:val="18"/>
                <w:szCs w:val="18"/>
                <w:color w:val="auto"/>
                <w:w w:val="89"/>
              </w:rPr>
              <w:t>20</w:t>
            </w:r>
          </w:p>
        </w:tc>
        <w:tc>
          <w:tcPr>
            <w:tcW w:w="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420" w:type="dxa"/>
            <w:vAlign w:val="bottom"/>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2, 2006</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MagnaChip</w:t>
            </w: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Finance</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Company &amp;</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0"/>
              </w:rPr>
              <w:t>MagnaChip</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MagnaChip</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140" w:type="dxa"/>
            <w:vAlign w:val="bottom"/>
            <w:gridSpan w:val="4"/>
          </w:tcPr>
          <w:p>
            <w:pPr>
              <w:jc w:val="right"/>
              <w:ind w:right="26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00" w:type="dxa"/>
            <w:vAlign w:val="bottom"/>
          </w:tcPr>
          <w:p>
            <w:pPr>
              <w:spacing w:after="0"/>
              <w:rPr>
                <w:sz w:val="12"/>
                <w:szCs w:val="12"/>
                <w:color w:val="auto"/>
              </w:rPr>
            </w:pPr>
          </w:p>
        </w:tc>
        <w:tc>
          <w:tcPr>
            <w:tcW w:w="110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rPr>
              <w:t>LLC</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87"/>
              </w:rPr>
              <w:t>S.A.</w:t>
            </w:r>
          </w:p>
        </w:tc>
        <w:tc>
          <w:tcPr>
            <w:tcW w:w="180" w:type="dxa"/>
            <w:vAlign w:val="bottom"/>
          </w:tcPr>
          <w:p>
            <w:pPr>
              <w:spacing w:after="0"/>
              <w:rPr>
                <w:sz w:val="12"/>
                <w:szCs w:val="12"/>
                <w:color w:val="auto"/>
              </w:rPr>
            </w:pP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4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(Parent)</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(Co-Issuers)</w:t>
            </w: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Guarantors</w:t>
            </w:r>
          </w:p>
        </w:tc>
        <w:tc>
          <w:tcPr>
            <w:tcW w:w="108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rPr>
              <w:t>Guarantors</w:t>
            </w:r>
          </w:p>
        </w:tc>
        <w:tc>
          <w:tcPr>
            <w:tcW w:w="180" w:type="dxa"/>
            <w:vAlign w:val="bottom"/>
          </w:tcPr>
          <w:p>
            <w:pPr>
              <w:spacing w:after="0"/>
              <w:rPr>
                <w:sz w:val="15"/>
                <w:szCs w:val="15"/>
                <w:color w:val="auto"/>
              </w:rPr>
            </w:pP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Purchase of plant, property and equipment</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(13,237)</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(304)</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(13,541)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intangible 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(698)</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Proceeds from disposal of plant, property and</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640"/>
              <w:spacing w:after="0"/>
              <w:rPr>
                <w:sz w:val="20"/>
                <w:szCs w:val="20"/>
                <w:color w:val="auto"/>
              </w:rPr>
            </w:pPr>
            <w:r>
              <w:rPr>
                <w:rFonts w:ascii="Arial" w:cs="Arial" w:eastAsia="Arial" w:hAnsi="Arial"/>
                <w:sz w:val="18"/>
                <w:szCs w:val="18"/>
                <w:color w:val="auto"/>
              </w:rPr>
              <w:t>equipment</w:t>
            </w: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2,109</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2,127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disposal of intangible assets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2,755</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Decrease in restricted cash</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1,849</w:t>
            </w:r>
          </w:p>
        </w:tc>
        <w:tc>
          <w:tcPr>
            <w:tcW w:w="180" w:type="dxa"/>
            <w:vAlign w:val="bottom"/>
          </w:tcPr>
          <w:p>
            <w:pPr>
              <w:spacing w:after="0"/>
              <w:rPr>
                <w:sz w:val="18"/>
                <w:szCs w:val="18"/>
                <w:color w:val="auto"/>
              </w:rPr>
            </w:pP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1,849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6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(559)</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240" w:type="dxa"/>
            <w:vAlign w:val="bottom"/>
            <w:gridSpan w:val="2"/>
            <w:vMerge w:val="continue"/>
          </w:tcPr>
          <w:p>
            <w:pPr>
              <w:spacing w:after="0"/>
              <w:rPr>
                <w:sz w:val="20"/>
                <w:szCs w:val="20"/>
                <w:color w:val="auto"/>
              </w:rPr>
            </w:pPr>
          </w:p>
        </w:tc>
        <w:tc>
          <w:tcPr>
            <w:tcW w:w="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60" w:type="dxa"/>
            <w:vAlign w:val="bottom"/>
            <w:gridSpan w:val="2"/>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(7,781)</w:t>
            </w:r>
          </w:p>
        </w:tc>
        <w:tc>
          <w:tcPr>
            <w:tcW w:w="1080" w:type="dxa"/>
            <w:vAlign w:val="bottom"/>
            <w:gridSpan w:val="3"/>
          </w:tcPr>
          <w:p>
            <w:pPr>
              <w:jc w:val="right"/>
              <w:ind w:right="180"/>
              <w:spacing w:after="0"/>
              <w:rPr>
                <w:sz w:val="20"/>
                <w:szCs w:val="20"/>
                <w:color w:val="auto"/>
              </w:rPr>
            </w:pPr>
            <w:r>
              <w:rPr>
                <w:rFonts w:ascii="Arial" w:cs="Arial" w:eastAsia="Arial" w:hAnsi="Arial"/>
                <w:sz w:val="18"/>
                <w:szCs w:val="18"/>
                <w:color w:val="auto"/>
              </w:rPr>
              <w:t>(264)</w:t>
            </w: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(8,045)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220" w:type="dxa"/>
            <w:vAlign w:val="bottom"/>
          </w:tcPr>
          <w:p>
            <w:pPr>
              <w:ind w:left="420"/>
              <w:spacing w:after="0"/>
              <w:rPr>
                <w:sz w:val="20"/>
                <w:szCs w:val="20"/>
                <w:color w:val="auto"/>
              </w:rPr>
            </w:pPr>
            <w:r>
              <w:rPr>
                <w:rFonts w:ascii="Arial" w:cs="Arial" w:eastAsia="Arial" w:hAnsi="Arial"/>
                <w:sz w:val="18"/>
                <w:szCs w:val="18"/>
                <w:color w:val="auto"/>
              </w:rPr>
              <w:t>Exercise of unit options</w:t>
            </w:r>
          </w:p>
        </w:tc>
        <w:tc>
          <w:tcPr>
            <w:tcW w:w="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tcPr>
          <w:p>
            <w:pPr>
              <w:ind w:left="4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ind w:left="20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financing activities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tcPr>
          <w:p>
            <w:pPr>
              <w:spacing w:after="0"/>
              <w:rPr>
                <w:sz w:val="20"/>
                <w:szCs w:val="20"/>
                <w:color w:val="auto"/>
              </w:rPr>
            </w:pPr>
            <w:r>
              <w:rPr>
                <w:rFonts w:ascii="Arial" w:cs="Arial" w:eastAsia="Arial" w:hAnsi="Arial"/>
                <w:sz w:val="18"/>
                <w:szCs w:val="18"/>
                <w:color w:val="auto"/>
                <w:w w:val="98"/>
              </w:rPr>
              <w:t>Effect of exchange rate on cash and cash equivalents</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40" w:type="dxa"/>
            <w:vAlign w:val="bottom"/>
            <w:gridSpan w:val="3"/>
          </w:tcPr>
          <w:p>
            <w:pPr>
              <w:ind w:left="5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2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1,492</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ind w:left="220"/>
              <w:spacing w:after="0"/>
              <w:rPr>
                <w:sz w:val="20"/>
                <w:szCs w:val="20"/>
                <w:color w:val="auto"/>
              </w:rPr>
            </w:pPr>
            <w:r>
              <w:rPr>
                <w:rFonts w:ascii="Arial" w:cs="Arial" w:eastAsia="Arial" w:hAnsi="Arial"/>
                <w:sz w:val="18"/>
                <w:szCs w:val="18"/>
                <w:color w:val="auto"/>
              </w:rPr>
              <w:t>(38)</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1,487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(decrease) in cash and cash equivalents</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(383)</w:t>
            </w: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(9,534)</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11,895</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2,018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424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5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Borders>
              <w:top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220" w:type="dxa"/>
            <w:vAlign w:val="bottom"/>
            <w:shd w:val="clear" w:color="auto" w:fill="CCEEFF"/>
          </w:tcPr>
          <w:p>
            <w:pPr>
              <w:spacing w:after="0"/>
              <w:rPr>
                <w:sz w:val="20"/>
                <w:szCs w:val="20"/>
                <w:color w:val="auto"/>
              </w:rPr>
            </w:pPr>
            <w:r>
              <w:rPr>
                <w:rFonts w:ascii="Arial" w:cs="Arial" w:eastAsia="Arial" w:hAnsi="Arial"/>
                <w:sz w:val="18"/>
                <w:szCs w:val="18"/>
                <w:color w:val="auto"/>
              </w:rPr>
              <w:t>Beginning of the period</w:t>
            </w: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209</w:t>
            </w: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w w:val="79"/>
              </w:rPr>
              <w:t>841</w:t>
            </w: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63,435</w:t>
            </w: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22,089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86,574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240" w:type="dxa"/>
            <w:vAlign w:val="bottom"/>
            <w:gridSpan w:val="2"/>
            <w:vMerge w:val="restart"/>
          </w:tcPr>
          <w:p>
            <w:pPr>
              <w:spacing w:after="0"/>
              <w:rPr>
                <w:sz w:val="20"/>
                <w:szCs w:val="20"/>
                <w:color w:val="auto"/>
              </w:rPr>
            </w:pPr>
            <w:r>
              <w:rPr>
                <w:rFonts w:ascii="Arial" w:cs="Arial" w:eastAsia="Arial" w:hAnsi="Arial"/>
                <w:sz w:val="18"/>
                <w:szCs w:val="18"/>
                <w:color w:val="auto"/>
              </w:rPr>
              <w:t>End of the period</w:t>
            </w:r>
          </w:p>
        </w:tc>
        <w:tc>
          <w:tcPr>
            <w:tcW w:w="5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40" w:type="dxa"/>
            <w:vAlign w:val="bottom"/>
            <w:gridSpan w:val="2"/>
            <w:vMerge w:val="continue"/>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ind w:left="520"/>
              <w:spacing w:after="0"/>
              <w:rPr>
                <w:sz w:val="20"/>
                <w:szCs w:val="20"/>
                <w:color w:val="auto"/>
              </w:rPr>
            </w:pPr>
            <w:r>
              <w:rPr>
                <w:rFonts w:ascii="Arial" w:cs="Arial" w:eastAsia="Arial" w:hAnsi="Arial"/>
                <w:sz w:val="18"/>
                <w:szCs w:val="18"/>
                <w:color w:val="auto"/>
                <w:w w:val="79"/>
              </w:rPr>
              <w:t>249</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ind w:left="520"/>
              <w:spacing w:after="0"/>
              <w:rPr>
                <w:sz w:val="20"/>
                <w:szCs w:val="20"/>
                <w:color w:val="auto"/>
              </w:rPr>
            </w:pPr>
            <w:r>
              <w:rPr>
                <w:rFonts w:ascii="Arial" w:cs="Arial" w:eastAsia="Arial" w:hAnsi="Arial"/>
                <w:sz w:val="18"/>
                <w:szCs w:val="18"/>
                <w:color w:val="auto"/>
                <w:w w:val="79"/>
              </w:rPr>
              <w:t>458</w:t>
            </w:r>
          </w:p>
        </w:tc>
        <w:tc>
          <w:tcPr>
            <w:tcW w:w="24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$ 53,901</w:t>
            </w:r>
          </w:p>
        </w:tc>
        <w:tc>
          <w:tcPr>
            <w:tcW w:w="1080" w:type="dxa"/>
            <w:vAlign w:val="bottom"/>
            <w:gridSpan w:val="3"/>
          </w:tcPr>
          <w:p>
            <w:pPr>
              <w:jc w:val="right"/>
              <w:ind w:right="240"/>
              <w:spacing w:after="0"/>
              <w:rPr>
                <w:sz w:val="20"/>
                <w:szCs w:val="20"/>
                <w:color w:val="auto"/>
              </w:rPr>
            </w:pPr>
            <w:r>
              <w:rPr>
                <w:rFonts w:ascii="Arial" w:cs="Arial" w:eastAsia="Arial" w:hAnsi="Arial"/>
                <w:sz w:val="18"/>
                <w:szCs w:val="18"/>
                <w:color w:val="auto"/>
              </w:rPr>
              <w:t>$ 33,984</w:t>
            </w:r>
          </w:p>
        </w:tc>
        <w:tc>
          <w:tcPr>
            <w:tcW w:w="460" w:type="dxa"/>
            <w:vAlign w:val="bottom"/>
            <w:gridSpan w:val="2"/>
          </w:tcPr>
          <w:p>
            <w:pPr>
              <w:ind w:left="180"/>
              <w:spacing w:after="0"/>
              <w:rPr>
                <w:sz w:val="20"/>
                <w:szCs w:val="20"/>
                <w:color w:val="auto"/>
              </w:rPr>
            </w:pPr>
            <w:r>
              <w:rPr>
                <w:rFonts w:ascii="Arial" w:cs="Arial" w:eastAsia="Arial" w:hAnsi="Arial"/>
                <w:sz w:val="18"/>
                <w:szCs w:val="18"/>
                <w:color w:val="auto"/>
              </w:rPr>
              <w:t>$</w:t>
            </w:r>
          </w:p>
        </w:tc>
        <w:tc>
          <w:tcPr>
            <w:tcW w:w="680" w:type="dxa"/>
            <w:vAlign w:val="bottom"/>
            <w:gridSpan w:val="2"/>
          </w:tcPr>
          <w:p>
            <w:pPr>
              <w:ind w:left="2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88,592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42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40" w:type="dxa"/>
            <w:vAlign w:val="bottom"/>
            <w:gridSpan w:val="3"/>
          </w:tcPr>
          <w:p>
            <w:pPr>
              <w:ind w:left="76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3,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MagnaChip</w:t>
            </w:r>
          </w:p>
        </w:tc>
        <w:tc>
          <w:tcPr>
            <w:tcW w:w="6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6"/>
              </w:rPr>
              <w:t>Finance</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Company &amp;</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right"/>
              <w:ind w:right="460"/>
              <w:spacing w:after="0" w:line="149" w:lineRule="exact"/>
              <w:rPr>
                <w:sz w:val="20"/>
                <w:szCs w:val="20"/>
                <w:color w:val="auto"/>
              </w:rPr>
            </w:pPr>
            <w:r>
              <w:rPr>
                <w:rFonts w:ascii="Arial" w:cs="Arial" w:eastAsia="Arial" w:hAnsi="Arial"/>
                <w:sz w:val="14"/>
                <w:szCs w:val="14"/>
                <w:b w:val="1"/>
                <w:bCs w:val="1"/>
                <w:color w:val="auto"/>
              </w:rPr>
              <w:t>MagnaChip</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2"/>
              </w:rPr>
              <w:t>MagnaChip</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6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5"/>
              </w:rPr>
              <w:t>LLC</w:t>
            </w:r>
          </w:p>
        </w:tc>
        <w:tc>
          <w:tcPr>
            <w:tcW w:w="124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87"/>
              </w:rPr>
              <w:t>S.A.</w:t>
            </w:r>
          </w:p>
        </w:tc>
        <w:tc>
          <w:tcPr>
            <w:tcW w:w="104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rPr>
              <w:t>Non-</w:t>
            </w:r>
          </w:p>
        </w:tc>
        <w:tc>
          <w:tcPr>
            <w:tcW w:w="6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6"/>
              </w:rPr>
              <w:t>(Parent)</w:t>
            </w: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5"/>
              </w:rPr>
              <w:t>(Co-Issuers)</w:t>
            </w:r>
          </w:p>
        </w:tc>
        <w:tc>
          <w:tcPr>
            <w:tcW w:w="10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7"/>
              </w:rPr>
              <w:t>Guarantors</w:t>
            </w:r>
          </w:p>
        </w:tc>
        <w:tc>
          <w:tcPr>
            <w:tcW w:w="8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7"/>
              </w:rPr>
              <w:t>Guarantors</w:t>
            </w:r>
          </w:p>
        </w:tc>
        <w:tc>
          <w:tcPr>
            <w:tcW w:w="160" w:type="dxa"/>
            <w:vAlign w:val="bottom"/>
          </w:tcPr>
          <w:p>
            <w:pPr>
              <w:spacing w:after="0"/>
              <w:rPr>
                <w:sz w:val="15"/>
                <w:szCs w:val="15"/>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6"/>
              </w:rPr>
              <w:t>Eliminations</w:t>
            </w:r>
          </w:p>
        </w:tc>
        <w:tc>
          <w:tcPr>
            <w:tcW w:w="16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 from operating activities:</w:t>
            </w:r>
          </w:p>
        </w:tc>
        <w:tc>
          <w:tcPr>
            <w:tcW w:w="240" w:type="dxa"/>
            <w:vAlign w:val="bottom"/>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Net loss</w:t>
            </w:r>
          </w:p>
        </w:tc>
        <w:tc>
          <w:tcPr>
            <w:tcW w:w="1480" w:type="dxa"/>
            <w:vAlign w:val="bottom"/>
            <w:gridSpan w:val="3"/>
          </w:tcPr>
          <w:p>
            <w:pPr>
              <w:jc w:val="right"/>
              <w:ind w:right="320"/>
              <w:spacing w:after="0"/>
              <w:rPr>
                <w:sz w:val="20"/>
                <w:szCs w:val="20"/>
                <w:color w:val="auto"/>
              </w:rPr>
            </w:pPr>
            <w:r>
              <w:rPr>
                <w:rFonts w:ascii="Arial" w:cs="Arial" w:eastAsia="Arial" w:hAnsi="Arial"/>
                <w:sz w:val="18"/>
                <w:szCs w:val="18"/>
                <w:color w:val="auto"/>
              </w:rPr>
              <w:t>$   (31,278)</w:t>
            </w:r>
          </w:p>
        </w:tc>
        <w:tc>
          <w:tcPr>
            <w:tcW w:w="1240" w:type="dxa"/>
            <w:vAlign w:val="bottom"/>
            <w:gridSpan w:val="2"/>
          </w:tcPr>
          <w:p>
            <w:pPr>
              <w:jc w:val="right"/>
              <w:ind w:right="320"/>
              <w:spacing w:after="0"/>
              <w:rPr>
                <w:sz w:val="20"/>
                <w:szCs w:val="20"/>
                <w:color w:val="auto"/>
              </w:rPr>
            </w:pPr>
            <w:r>
              <w:rPr>
                <w:rFonts w:ascii="Arial" w:cs="Arial" w:eastAsia="Arial" w:hAnsi="Arial"/>
                <w:sz w:val="18"/>
                <w:szCs w:val="18"/>
                <w:color w:val="auto"/>
                <w:w w:val="97"/>
              </w:rPr>
              <w:t>$   (31,414)</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w w:val="85"/>
              </w:rPr>
              <w:t>$ (29,858)</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w w:val="85"/>
              </w:rPr>
              <w:t>$ (24,531)</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  85,803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  (31,278)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w w:val="92"/>
              </w:rPr>
              <w:t>Adjustments to reconcile net loss to net cash provided by (used</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 operating activities</w:t>
            </w:r>
          </w:p>
        </w:tc>
        <w:tc>
          <w:tcPr>
            <w:tcW w:w="2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Depreciation and amortization</w:t>
            </w: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54,974</w:t>
            </w: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332</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55,306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Provision for severance benefits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3,656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Amortization of debt issuance costs</w:t>
            </w: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660</w:t>
            </w:r>
          </w:p>
        </w:tc>
        <w:tc>
          <w:tcPr>
            <w:tcW w:w="680" w:type="dxa"/>
            <w:vAlign w:val="bottom"/>
          </w:tcPr>
          <w:p>
            <w:pPr>
              <w:jc w:val="right"/>
              <w:spacing w:after="0"/>
              <w:rPr>
                <w:sz w:val="20"/>
                <w:szCs w:val="20"/>
                <w:color w:val="auto"/>
              </w:rPr>
            </w:pPr>
            <w:r>
              <w:rPr>
                <w:rFonts w:ascii="Arial" w:cs="Arial" w:eastAsia="Arial" w:hAnsi="Arial"/>
                <w:sz w:val="18"/>
                <w:szCs w:val="18"/>
                <w:color w:val="auto"/>
              </w:rPr>
              <w:t>202</w:t>
            </w:r>
          </w:p>
        </w:tc>
        <w:tc>
          <w:tcPr>
            <w:tcW w:w="360" w:type="dxa"/>
            <w:vAlign w:val="bottom"/>
          </w:tcPr>
          <w:p>
            <w:pPr>
              <w:spacing w:after="0"/>
              <w:rPr>
                <w:sz w:val="18"/>
                <w:szCs w:val="18"/>
                <w:color w:val="auto"/>
              </w:rPr>
            </w:pPr>
          </w:p>
        </w:tc>
        <w:tc>
          <w:tcPr>
            <w:tcW w:w="8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862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(Gain) loss on foreign currency translation, net</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8,267</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(15,463)</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(7,666)</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(14,862)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Earnings (loss) of related investment</w:t>
            </w: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31,278</w:t>
            </w:r>
          </w:p>
        </w:tc>
        <w:tc>
          <w:tcPr>
            <w:tcW w:w="380" w:type="dxa"/>
            <w:vAlign w:val="bottom"/>
          </w:tcPr>
          <w:p>
            <w:pPr>
              <w:spacing w:after="0"/>
              <w:rPr>
                <w:sz w:val="18"/>
                <w:szCs w:val="18"/>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23,005</w:t>
            </w:r>
          </w:p>
        </w:tc>
        <w:tc>
          <w:tcPr>
            <w:tcW w:w="10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30,933</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(85,216)</w:t>
            </w:r>
          </w:p>
        </w:tc>
        <w:tc>
          <w:tcPr>
            <w:tcW w:w="16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spacing w:after="0"/>
              <w:rPr>
                <w:sz w:val="20"/>
                <w:szCs w:val="20"/>
                <w:color w:val="auto"/>
              </w:rPr>
            </w:pPr>
            <w:r>
              <w:rPr>
                <w:rFonts w:ascii="Arial" w:cs="Arial" w:eastAsia="Arial" w:hAnsi="Arial"/>
                <w:sz w:val="18"/>
                <w:szCs w:val="18"/>
                <w:color w:val="auto"/>
              </w:rPr>
              <w:t>Changes in operating assets and liabilities:</w:t>
            </w: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Accounts receivable</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3,061</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(1,691)</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(4,914)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Inventories</w:t>
            </w: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15,104</w:t>
            </w: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411</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(600)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14,915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receivables</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(241)</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826</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64,527</w:t>
            </w:r>
          </w:p>
        </w:tc>
        <w:tc>
          <w:tcPr>
            <w:tcW w:w="3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1,165</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(585)</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65,692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(2,223)</w:t>
            </w:r>
          </w:p>
        </w:tc>
        <w:tc>
          <w:tcPr>
            <w:tcW w:w="880" w:type="dxa"/>
            <w:vAlign w:val="bottom"/>
            <w:gridSpan w:val="2"/>
          </w:tcPr>
          <w:p>
            <w:pPr>
              <w:jc w:val="right"/>
              <w:ind w:right="160"/>
              <w:spacing w:after="0"/>
              <w:rPr>
                <w:sz w:val="20"/>
                <w:szCs w:val="20"/>
                <w:color w:val="auto"/>
              </w:rPr>
            </w:pPr>
            <w:r>
              <w:rPr>
                <w:rFonts w:ascii="Arial" w:cs="Arial" w:eastAsia="Arial" w:hAnsi="Arial"/>
                <w:sz w:val="18"/>
                <w:szCs w:val="18"/>
                <w:color w:val="auto"/>
              </w:rPr>
              <w:t>(5,293)</w:t>
            </w:r>
          </w:p>
        </w:tc>
        <w:tc>
          <w:tcPr>
            <w:tcW w:w="1100" w:type="dxa"/>
            <w:vAlign w:val="bottom"/>
            <w:gridSpan w:val="3"/>
          </w:tcPr>
          <w:p>
            <w:pPr>
              <w:jc w:val="right"/>
              <w:ind w:right="200"/>
              <w:spacing w:after="0"/>
              <w:rPr>
                <w:sz w:val="20"/>
                <w:szCs w:val="20"/>
                <w:color w:val="auto"/>
              </w:rPr>
            </w:pPr>
            <w:r>
              <w:rPr>
                <w:rFonts w:ascii="Arial" w:cs="Arial" w:eastAsia="Arial" w:hAnsi="Arial"/>
                <w:sz w:val="18"/>
                <w:szCs w:val="18"/>
                <w:color w:val="auto"/>
              </w:rPr>
              <w:t>4,914</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(2,602)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accounts payable</w:t>
            </w:r>
          </w:p>
        </w:tc>
        <w:tc>
          <w:tcPr>
            <w:tcW w:w="14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(1,162)</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183</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(65,105)</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(1,867)</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585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(67,366)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Accrued expenses</w:t>
            </w: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9,440</w:t>
            </w:r>
          </w:p>
        </w:tc>
        <w:tc>
          <w:tcPr>
            <w:tcW w:w="680" w:type="dxa"/>
            <w:vAlign w:val="bottom"/>
          </w:tcPr>
          <w:p>
            <w:pPr>
              <w:jc w:val="right"/>
              <w:spacing w:after="0"/>
              <w:rPr>
                <w:sz w:val="20"/>
                <w:szCs w:val="20"/>
                <w:color w:val="auto"/>
              </w:rPr>
            </w:pPr>
            <w:r>
              <w:rPr>
                <w:rFonts w:ascii="Arial" w:cs="Arial" w:eastAsia="Arial" w:hAnsi="Arial"/>
                <w:sz w:val="18"/>
                <w:szCs w:val="18"/>
                <w:color w:val="auto"/>
              </w:rPr>
              <w:t>565</w:t>
            </w:r>
          </w:p>
        </w:tc>
        <w:tc>
          <w:tcPr>
            <w:tcW w:w="36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8,002</w:t>
            </w:r>
          </w:p>
        </w:tc>
        <w:tc>
          <w:tcPr>
            <w:tcW w:w="1100" w:type="dxa"/>
            <w:vAlign w:val="bottom"/>
            <w:gridSpan w:val="3"/>
          </w:tcPr>
          <w:p>
            <w:pPr>
              <w:jc w:val="right"/>
              <w:ind w:right="140"/>
              <w:spacing w:after="0"/>
              <w:rPr>
                <w:sz w:val="20"/>
                <w:szCs w:val="20"/>
                <w:color w:val="auto"/>
              </w:rPr>
            </w:pPr>
            <w:r>
              <w:rPr>
                <w:rFonts w:ascii="Arial" w:cs="Arial" w:eastAsia="Arial" w:hAnsi="Arial"/>
                <w:sz w:val="18"/>
                <w:szCs w:val="18"/>
                <w:color w:val="auto"/>
              </w:rPr>
              <w:t>(20,023)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current assets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(8,197)</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(1,036)</w:t>
            </w:r>
          </w:p>
        </w:tc>
        <w:tc>
          <w:tcPr>
            <w:tcW w:w="8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(11,223)</w:t>
            </w:r>
          </w:p>
        </w:tc>
        <w:tc>
          <w:tcPr>
            <w:tcW w:w="11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20,023</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Other current liabilities</w:t>
            </w:r>
          </w:p>
        </w:tc>
        <w:tc>
          <w:tcPr>
            <w:tcW w:w="240" w:type="dxa"/>
            <w:vAlign w:val="bottom"/>
          </w:tcPr>
          <w:p>
            <w:pPr>
              <w:spacing w:after="0"/>
              <w:rPr>
                <w:sz w:val="18"/>
                <w:szCs w:val="18"/>
                <w:color w:val="auto"/>
              </w:rPr>
            </w:pPr>
          </w:p>
        </w:tc>
        <w:tc>
          <w:tcPr>
            <w:tcW w:w="124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27</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(2,811)</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583</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(2,201)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Payment of severance benefits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(2,756)</w:t>
            </w:r>
          </w:p>
        </w:tc>
        <w:tc>
          <w:tcPr>
            <w:tcW w:w="8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60" w:type="dxa"/>
            <w:vAlign w:val="bottom"/>
          </w:tcPr>
          <w:p>
            <w:pPr>
              <w:ind w:left="4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(31,284)</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28,612</w:t>
            </w:r>
          </w:p>
        </w:tc>
        <w:tc>
          <w:tcPr>
            <w:tcW w:w="160" w:type="dxa"/>
            <w:vAlign w:val="bottom"/>
          </w:tcPr>
          <w:p>
            <w:pPr>
              <w:spacing w:after="0"/>
              <w:rPr>
                <w:sz w:val="18"/>
                <w:szCs w:val="18"/>
                <w:color w:val="auto"/>
              </w:rPr>
            </w:pPr>
          </w:p>
        </w:tc>
        <w:tc>
          <w:tcPr>
            <w:tcW w:w="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(2,672)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 operating activities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(1,403)</w:t>
            </w:r>
          </w:p>
        </w:tc>
        <w:tc>
          <w:tcPr>
            <w:tcW w:w="124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2,797</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(8,277)</w:t>
            </w: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17,780</w:t>
            </w:r>
          </w:p>
        </w:tc>
        <w:tc>
          <w:tcPr>
            <w:tcW w:w="110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(13)</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10,884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0"/>
        </w:trPr>
        <w:tc>
          <w:tcPr>
            <w:tcW w:w="20" w:type="dxa"/>
            <w:vAlign w:val="bottom"/>
          </w:tcPr>
          <w:p>
            <w:pPr>
              <w:spacing w:after="0"/>
              <w:rPr>
                <w:sz w:val="24"/>
                <w:szCs w:val="24"/>
                <w:color w:val="auto"/>
              </w:rPr>
            </w:pPr>
          </w:p>
        </w:tc>
        <w:tc>
          <w:tcPr>
            <w:tcW w:w="4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gridSpan w:val="2"/>
          </w:tcPr>
          <w:p>
            <w:pPr>
              <w:jc w:val="right"/>
              <w:ind w:right="360"/>
              <w:spacing w:after="0"/>
              <w:rPr>
                <w:sz w:val="20"/>
                <w:szCs w:val="20"/>
                <w:color w:val="auto"/>
              </w:rPr>
            </w:pPr>
            <w:r>
              <w:rPr>
                <w:rFonts w:ascii="Arial" w:cs="Arial" w:eastAsia="Arial" w:hAnsi="Arial"/>
                <w:sz w:val="18"/>
                <w:szCs w:val="18"/>
                <w:color w:val="auto"/>
              </w:rPr>
              <w:t>22</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MagnaChip Semiconductor LLC and Subsidiaries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Consolidated Financial Statements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tabular dollars in thousands, except unit data)</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months ended April 3, 2005</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0"/>
              </w:rPr>
              <w:t>MagnaChip</w:t>
            </w: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Finance</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gridSpan w:val="3"/>
          </w:tcPr>
          <w:p>
            <w:pPr>
              <w:jc w:val="right"/>
              <w:ind w:right="500"/>
              <w:spacing w:after="0" w:line="149" w:lineRule="exact"/>
              <w:rPr>
                <w:sz w:val="20"/>
                <w:szCs w:val="20"/>
                <w:color w:val="auto"/>
              </w:rPr>
            </w:pPr>
            <w:r>
              <w:rPr>
                <w:rFonts w:ascii="Arial" w:cs="Arial" w:eastAsia="Arial" w:hAnsi="Arial"/>
                <w:sz w:val="14"/>
                <w:szCs w:val="14"/>
                <w:b w:val="1"/>
                <w:bCs w:val="1"/>
                <w:color w:val="auto"/>
                <w:w w:val="97"/>
              </w:rPr>
              <w:t>Company &amp;</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MagnaChip</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right"/>
              <w:ind w:right="500"/>
              <w:spacing w:after="0" w:line="149" w:lineRule="exact"/>
              <w:rPr>
                <w:sz w:val="20"/>
                <w:szCs w:val="20"/>
                <w:color w:val="auto"/>
              </w:rPr>
            </w:pPr>
            <w:r>
              <w:rPr>
                <w:rFonts w:ascii="Arial" w:cs="Arial" w:eastAsia="Arial" w:hAnsi="Arial"/>
                <w:sz w:val="14"/>
                <w:szCs w:val="14"/>
                <w:b w:val="1"/>
                <w:bCs w:val="1"/>
                <w:color w:val="auto"/>
                <w:w w:val="90"/>
              </w:rPr>
              <w:t>MagnaChip</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96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340" w:type="dxa"/>
            <w:vAlign w:val="bottom"/>
          </w:tcPr>
          <w:p>
            <w:pPr>
              <w:spacing w:after="0"/>
              <w:rPr>
                <w:sz w:val="12"/>
                <w:szCs w:val="12"/>
                <w:color w:val="auto"/>
              </w:rPr>
            </w:pPr>
          </w:p>
        </w:tc>
        <w:tc>
          <w:tcPr>
            <w:tcW w:w="128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84"/>
              </w:rPr>
              <w:t>Semiconductor</w:t>
            </w:r>
          </w:p>
        </w:tc>
        <w:tc>
          <w:tcPr>
            <w:tcW w:w="6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rPr>
              <w:t>LLC</w:t>
            </w:r>
          </w:p>
        </w:tc>
        <w:tc>
          <w:tcPr>
            <w:tcW w:w="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7"/>
              </w:rPr>
              <w:t>S.A.</w:t>
            </w:r>
          </w:p>
        </w:tc>
        <w:tc>
          <w:tcPr>
            <w:tcW w:w="900" w:type="dxa"/>
            <w:vAlign w:val="bottom"/>
            <w:gridSpan w:val="2"/>
          </w:tcPr>
          <w:p>
            <w:pPr>
              <w:jc w:val="right"/>
              <w:ind w:right="420"/>
              <w:spacing w:after="0" w:line="149" w:lineRule="exact"/>
              <w:rPr>
                <w:sz w:val="20"/>
                <w:szCs w:val="20"/>
                <w:color w:val="auto"/>
              </w:rPr>
            </w:pPr>
            <w:r>
              <w:rPr>
                <w:rFonts w:ascii="Arial" w:cs="Arial" w:eastAsia="Arial" w:hAnsi="Arial"/>
                <w:sz w:val="14"/>
                <w:szCs w:val="14"/>
                <w:b w:val="1"/>
                <w:bCs w:val="1"/>
                <w:color w:val="auto"/>
              </w:rPr>
              <w:t>Non-</w:t>
            </w:r>
          </w:p>
        </w:tc>
        <w:tc>
          <w:tcPr>
            <w:tcW w:w="1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(Parent)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83"/>
              </w:rPr>
              <w:t>(Co-Issuers)</w:t>
            </w:r>
          </w:p>
        </w:tc>
        <w:tc>
          <w:tcPr>
            <w:tcW w:w="9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84"/>
              </w:rPr>
              <w:t>Guarantors</w:t>
            </w:r>
          </w:p>
        </w:tc>
        <w:tc>
          <w:tcPr>
            <w:tcW w:w="128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rPr>
              <w:t>Guarantors</w:t>
            </w:r>
          </w:p>
        </w:tc>
        <w:tc>
          <w:tcPr>
            <w:tcW w:w="980" w:type="dxa"/>
            <w:vAlign w:val="bottom"/>
            <w:gridSpan w:val="3"/>
          </w:tcPr>
          <w:p>
            <w:pPr>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5"/>
                <w:szCs w:val="15"/>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w w:val="83"/>
              </w:rPr>
              <w:t>Consolidated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Purchase of plant, property and equipment</w:t>
            </w: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(12,436)</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(12,444)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Purchase of intangible assets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(537)</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Acquisition of business</w:t>
            </w: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(14,581)</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(14,581)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Increase in inter-company loans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(1,009)</w:t>
            </w:r>
          </w:p>
        </w:tc>
        <w:tc>
          <w:tcPr>
            <w:tcW w:w="9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(15,010)</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16,019</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Decrease in restricted cash</w:t>
            </w: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5,779</w:t>
            </w:r>
          </w:p>
        </w:tc>
        <w:tc>
          <w:tcPr>
            <w:tcW w:w="18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47</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cash used in investing activities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66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(1,009)</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(7,147)</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(29,596)</w:t>
            </w:r>
          </w:p>
        </w:tc>
        <w:tc>
          <w:tcPr>
            <w:tcW w:w="140" w:type="dxa"/>
            <w:vAlign w:val="bottom"/>
          </w:tcPr>
          <w:p>
            <w:pPr>
              <w:spacing w:after="0"/>
              <w:rPr>
                <w:sz w:val="20"/>
                <w:szCs w:val="20"/>
                <w:color w:val="auto"/>
              </w:rPr>
            </w:pPr>
          </w:p>
        </w:tc>
        <w:tc>
          <w:tcPr>
            <w:tcW w:w="840" w:type="dxa"/>
            <w:vAlign w:val="bottom"/>
            <w:gridSpan w:val="2"/>
          </w:tcPr>
          <w:p>
            <w:pPr>
              <w:jc w:val="right"/>
              <w:ind w:right="240"/>
              <w:spacing w:after="0"/>
              <w:rPr>
                <w:sz w:val="20"/>
                <w:szCs w:val="20"/>
                <w:color w:val="auto"/>
              </w:rPr>
            </w:pPr>
            <w:r>
              <w:rPr>
                <w:rFonts w:ascii="Arial" w:cs="Arial" w:eastAsia="Arial" w:hAnsi="Arial"/>
                <w:sz w:val="18"/>
                <w:szCs w:val="18"/>
                <w:color w:val="auto"/>
              </w:rPr>
              <w:t>16,019</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(21,733)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Proceeds from short-term borrowings</w:t>
            </w: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13,898</w:t>
            </w:r>
          </w:p>
        </w:tc>
        <w:tc>
          <w:tcPr>
            <w:tcW w:w="14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(13,898)</w:t>
            </w:r>
          </w:p>
        </w:tc>
        <w:tc>
          <w:tcPr>
            <w:tcW w:w="18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Proceeds from long-term borrowings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1,014</w:t>
            </w:r>
          </w:p>
        </w:tc>
        <w:tc>
          <w:tcPr>
            <w:tcW w:w="128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1,009</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(2,023)</w:t>
            </w:r>
          </w:p>
        </w:tc>
        <w:tc>
          <w:tcPr>
            <w:tcW w:w="18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420"/>
              <w:spacing w:after="0"/>
              <w:rPr>
                <w:sz w:val="20"/>
                <w:szCs w:val="20"/>
                <w:color w:val="auto"/>
              </w:rPr>
            </w:pPr>
            <w:r>
              <w:rPr>
                <w:rFonts w:ascii="Arial" w:cs="Arial" w:eastAsia="Arial" w:hAnsi="Arial"/>
                <w:sz w:val="18"/>
                <w:szCs w:val="18"/>
                <w:color w:val="auto"/>
              </w:rPr>
              <w:t>Repayment of short-term borrowings</w:t>
            </w:r>
          </w:p>
        </w:tc>
        <w:tc>
          <w:tcPr>
            <w:tcW w:w="100" w:type="dxa"/>
            <w:vAlign w:val="bottom"/>
          </w:tcPr>
          <w:p>
            <w:pPr>
              <w:spacing w:after="0"/>
              <w:rPr>
                <w:sz w:val="18"/>
                <w:szCs w:val="18"/>
                <w:color w:val="auto"/>
              </w:rPr>
            </w:pP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(759)</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(12,797)</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(13,556)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(183)</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(180)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Net cash provided by (used in) financing activities</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ind w:left="5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360"/>
              <w:spacing w:after="0"/>
              <w:rPr>
                <w:sz w:val="20"/>
                <w:szCs w:val="20"/>
                <w:color w:val="auto"/>
              </w:rPr>
            </w:pPr>
            <w:r>
              <w:rPr>
                <w:rFonts w:ascii="Arial" w:cs="Arial" w:eastAsia="Arial" w:hAnsi="Arial"/>
                <w:sz w:val="18"/>
                <w:szCs w:val="18"/>
                <w:color w:val="auto"/>
              </w:rPr>
              <w:t>(183)</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75</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2,110</w:t>
            </w:r>
          </w:p>
        </w:tc>
        <w:tc>
          <w:tcPr>
            <w:tcW w:w="1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(15,921)</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(13,919)</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Effect of exchange rate on cash and cash equivalents</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704</w:t>
            </w:r>
          </w:p>
        </w:tc>
        <w:tc>
          <w:tcPr>
            <w:tcW w:w="12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color w:val="auto"/>
              </w:rPr>
              <w:t>(115)</w:t>
            </w:r>
          </w:p>
        </w:tc>
        <w:tc>
          <w:tcPr>
            <w:tcW w:w="14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Net increase (decrease) in cash and cash equivalents</w:t>
            </w:r>
          </w:p>
        </w:tc>
        <w:tc>
          <w:tcPr>
            <w:tcW w:w="100" w:type="dxa"/>
            <w:vAlign w:val="bottom"/>
          </w:tcPr>
          <w:p>
            <w:pPr>
              <w:spacing w:after="0"/>
              <w:rPr>
                <w:sz w:val="19"/>
                <w:szCs w:val="19"/>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(1,403)</w:t>
            </w: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1,605</w:t>
            </w:r>
          </w:p>
        </w:tc>
        <w:tc>
          <w:tcPr>
            <w:tcW w:w="900" w:type="dxa"/>
            <w:vAlign w:val="bottom"/>
            <w:gridSpan w:val="2"/>
          </w:tcPr>
          <w:p>
            <w:pPr>
              <w:jc w:val="right"/>
              <w:ind w:right="180"/>
              <w:spacing w:after="0"/>
              <w:rPr>
                <w:sz w:val="20"/>
                <w:szCs w:val="20"/>
                <w:color w:val="auto"/>
              </w:rPr>
            </w:pPr>
            <w:r>
              <w:rPr>
                <w:rFonts w:ascii="Arial" w:cs="Arial" w:eastAsia="Arial" w:hAnsi="Arial"/>
                <w:sz w:val="18"/>
                <w:szCs w:val="18"/>
                <w:color w:val="auto"/>
              </w:rPr>
              <w:t>(14,645)</w:t>
            </w:r>
          </w:p>
        </w:tc>
        <w:tc>
          <w:tcPr>
            <w:tcW w:w="1280" w:type="dxa"/>
            <w:vAlign w:val="bottom"/>
            <w:gridSpan w:val="3"/>
          </w:tcPr>
          <w:p>
            <w:pPr>
              <w:jc w:val="right"/>
              <w:ind w:right="360"/>
              <w:spacing w:after="0"/>
              <w:rPr>
                <w:sz w:val="20"/>
                <w:szCs w:val="20"/>
                <w:color w:val="auto"/>
              </w:rPr>
            </w:pPr>
            <w:r>
              <w:rPr>
                <w:rFonts w:ascii="Arial" w:cs="Arial" w:eastAsia="Arial" w:hAnsi="Arial"/>
                <w:sz w:val="18"/>
                <w:szCs w:val="18"/>
                <w:color w:val="auto"/>
              </w:rPr>
              <w:t>(9,821)</w:t>
            </w:r>
          </w:p>
        </w:tc>
        <w:tc>
          <w:tcPr>
            <w:tcW w:w="14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spacing w:after="0"/>
              <w:rPr>
                <w:sz w:val="20"/>
                <w:szCs w:val="20"/>
                <w:color w:val="auto"/>
              </w:rPr>
            </w:pPr>
            <w:r>
              <w:rPr>
                <w:rFonts w:ascii="Arial" w:cs="Arial" w:eastAsia="Arial" w:hAnsi="Arial"/>
                <w:sz w:val="18"/>
                <w:szCs w:val="18"/>
                <w:color w:val="auto"/>
              </w:rPr>
              <w:t>(24,264)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Beginning of the period</w:t>
            </w:r>
          </w:p>
        </w:tc>
        <w:tc>
          <w:tcPr>
            <w:tcW w:w="100" w:type="dxa"/>
            <w:vAlign w:val="bottom"/>
          </w:tcPr>
          <w:p>
            <w:pPr>
              <w:spacing w:after="0"/>
              <w:rPr>
                <w:sz w:val="18"/>
                <w:szCs w:val="18"/>
                <w:color w:val="auto"/>
              </w:rPr>
            </w:pP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2,386</w:t>
            </w: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3,201</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29,671</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23,138</w:t>
            </w:r>
          </w:p>
        </w:tc>
        <w:tc>
          <w:tcPr>
            <w:tcW w:w="140" w:type="dxa"/>
            <w:vAlign w:val="bottom"/>
          </w:tcPr>
          <w:p>
            <w:pPr>
              <w:spacing w:after="0"/>
              <w:rPr>
                <w:sz w:val="18"/>
                <w:szCs w:val="18"/>
                <w:color w:val="auto"/>
              </w:rPr>
            </w:pP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58,396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w w:val="98"/>
              </w:rPr>
              <w:t>Net increase in cash and cash equivalents from changes of</w:t>
            </w: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consolidated subsidiaries</w:t>
            </w: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1,558</w:t>
            </w:r>
          </w:p>
        </w:tc>
        <w:tc>
          <w:tcPr>
            <w:tcW w:w="14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1,558</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60" w:type="dxa"/>
            <w:vAlign w:val="bottom"/>
            <w:gridSpan w:val="2"/>
            <w:vMerge w:val="restart"/>
          </w:tcPr>
          <w:p>
            <w:pPr>
              <w:spacing w:after="0"/>
              <w:rPr>
                <w:sz w:val="20"/>
                <w:szCs w:val="20"/>
                <w:color w:val="auto"/>
              </w:rPr>
            </w:pPr>
            <w:r>
              <w:rPr>
                <w:rFonts w:ascii="Arial" w:cs="Arial" w:eastAsia="Arial" w:hAnsi="Arial"/>
                <w:sz w:val="18"/>
                <w:szCs w:val="18"/>
                <w:color w:val="auto"/>
              </w:rPr>
              <w:t>End of the period</w:t>
            </w:r>
          </w:p>
        </w:tc>
        <w:tc>
          <w:tcPr>
            <w:tcW w:w="10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660" w:type="dxa"/>
            <w:vAlign w:val="bottom"/>
            <w:gridSpan w:val="2"/>
            <w:vMerge w:val="continue"/>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ind w:left="520"/>
              <w:spacing w:after="0"/>
              <w:rPr>
                <w:sz w:val="20"/>
                <w:szCs w:val="20"/>
                <w:color w:val="auto"/>
              </w:rPr>
            </w:pPr>
            <w:r>
              <w:rPr>
                <w:rFonts w:ascii="Arial" w:cs="Arial" w:eastAsia="Arial" w:hAnsi="Arial"/>
                <w:sz w:val="18"/>
                <w:szCs w:val="18"/>
                <w:color w:val="auto"/>
              </w:rPr>
              <w:t>983</w:t>
            </w:r>
          </w:p>
        </w:tc>
        <w:tc>
          <w:tcPr>
            <w:tcW w:w="4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20"/>
              <w:spacing w:after="0"/>
              <w:rPr>
                <w:sz w:val="20"/>
                <w:szCs w:val="20"/>
                <w:color w:val="auto"/>
              </w:rPr>
            </w:pPr>
            <w:r>
              <w:rPr>
                <w:rFonts w:ascii="Arial" w:cs="Arial" w:eastAsia="Arial" w:hAnsi="Arial"/>
                <w:sz w:val="18"/>
                <w:szCs w:val="18"/>
                <w:color w:val="auto"/>
              </w:rPr>
              <w:t>4,806</w:t>
            </w: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w w:val="91"/>
              </w:rPr>
              <w:t>$ 15,026</w:t>
            </w:r>
          </w:p>
        </w:tc>
        <w:tc>
          <w:tcPr>
            <w:tcW w:w="1280" w:type="dxa"/>
            <w:vAlign w:val="bottom"/>
            <w:gridSpan w:val="3"/>
          </w:tcPr>
          <w:p>
            <w:pPr>
              <w:jc w:val="right"/>
              <w:ind w:right="420"/>
              <w:spacing w:after="0"/>
              <w:rPr>
                <w:sz w:val="20"/>
                <w:szCs w:val="20"/>
                <w:color w:val="auto"/>
              </w:rPr>
            </w:pPr>
            <w:r>
              <w:rPr>
                <w:rFonts w:ascii="Arial" w:cs="Arial" w:eastAsia="Arial" w:hAnsi="Arial"/>
                <w:sz w:val="18"/>
                <w:szCs w:val="18"/>
                <w:color w:val="auto"/>
              </w:rPr>
              <w:t>$ 14,875</w:t>
            </w:r>
          </w:p>
        </w:tc>
        <w:tc>
          <w:tcPr>
            <w:tcW w:w="140" w:type="dxa"/>
            <w:vAlign w:val="bottom"/>
          </w:tcPr>
          <w:p>
            <w:pPr>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   35,690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vMerge w:val="restart"/>
          </w:tcPr>
          <w:p>
            <w:pPr>
              <w:jc w:val="right"/>
              <w:ind w:right="72"/>
              <w:spacing w:after="0"/>
              <w:rPr>
                <w:sz w:val="20"/>
                <w:szCs w:val="20"/>
                <w:color w:val="auto"/>
              </w:rPr>
            </w:pPr>
            <w:r>
              <w:rPr>
                <w:rFonts w:ascii="Arial" w:cs="Arial" w:eastAsia="Arial" w:hAnsi="Arial"/>
                <w:sz w:val="18"/>
                <w:szCs w:val="18"/>
                <w:color w:val="auto"/>
                <w:w w:val="79"/>
              </w:rPr>
              <w:t>23</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vMerge w:val="continue"/>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5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 – (continued)</w:t>
      </w:r>
    </w:p>
    <w:p>
      <w:pPr>
        <w:spacing w:after="0" w:line="21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96"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 forward-looking statements within the meaning of the federal securities laws that involve risks and uncertainties. Our actual results may differ materially from those anticipated in these forward-looking statements as a result of certain factors set forth elsewhere in this Form 10-Q and in prior Company public filings with the SEC. In addition, other factors have been or may be discussed from time to time in the Company’s SEC filings. These forward–looking statements are made based upon management’s expectations and beliefs concerning future events impacting the Company and, therefore, involve a number of risks and uncertainties. The Company’s management cautions that forward–looking statements are not guarantees and that actual results could differ materially from those expressed or implied in the forward–looking statements. The following discussion should be read in conjunction with the unaudited condensed consolidated interim financial statements and related notes included elsewhere in this Form 10-Q. 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 the Company does not intend to review or revise any particular forward–looking statement in light of future events.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We are a leading designer, developer and manufacturer of mixed-signal and digital multimedia semiconductors addressing the convergence of consumer electronics and communication devices. We focus our core business on CMOS image sensors and flat panel display drivers, which are complex, high-performance mixed-signal semiconductors that capture images and enable and enhance the features and capabilities of both small and large flat panel displays. We also provide wafer foundry services whereby we leverage our specialized process technologies and low cost manufacturing facilities to produce semiconductors for third parties using their product designs. Our solutions are used in a wide variety of consumer and commercial mass market applications, such as mobile handsets, including camera-equipped mobile handsets, flat panel monitors and televisions, consumer home and mobile displays, portable and desktop computer displays, handheld gaming devices, PDAs and audio-visual equipment such as DVD players.</w:t>
      </w:r>
    </w:p>
    <w:p>
      <w:pPr>
        <w:spacing w:after="0" w:line="11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We derive our net sales from products and services in three principal areas: CMOS imaging solutions, display solutions, and semiconductor manufacturing services.</w:t>
      </w:r>
    </w:p>
    <w:p>
      <w:pPr>
        <w:spacing w:after="0" w:line="51" w:lineRule="exact"/>
        <w:rPr>
          <w:sz w:val="20"/>
          <w:szCs w:val="20"/>
          <w:color w:val="auto"/>
        </w:rPr>
      </w:pPr>
    </w:p>
    <w:p>
      <w:pPr>
        <w:ind w:left="780" w:right="12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CMOS imaging solutions: </w:t>
      </w:r>
      <w:r>
        <w:rPr>
          <w:rFonts w:ascii="Arial" w:cs="Arial" w:eastAsia="Arial" w:hAnsi="Arial"/>
          <w:sz w:val="18"/>
          <w:szCs w:val="18"/>
          <w:color w:val="auto"/>
        </w:rPr>
        <w:t>Our CMOS image sensor solutions are used in image-capture applications such as camera-equipped mobile handsets and</w:t>
      </w:r>
      <w:r>
        <w:rPr>
          <w:rFonts w:ascii="Arial" w:cs="Arial" w:eastAsia="Arial" w:hAnsi="Arial"/>
          <w:sz w:val="18"/>
          <w:szCs w:val="18"/>
          <w:i w:val="1"/>
          <w:iCs w:val="1"/>
          <w:color w:val="auto"/>
        </w:rPr>
        <w:t xml:space="preserve"> </w:t>
      </w:r>
      <w:r>
        <w:rPr>
          <w:rFonts w:ascii="Arial" w:cs="Arial" w:eastAsia="Arial" w:hAnsi="Arial"/>
          <w:sz w:val="18"/>
          <w:szCs w:val="18"/>
          <w:color w:val="auto"/>
        </w:rPr>
        <w:t>personal computer cameras. Our highly integrated image sensors are designed to be cost-effective and to provide brighter, sharper, more colorful, and thus enhanced, image quality.</w:t>
      </w:r>
    </w:p>
    <w:p>
      <w:pPr>
        <w:spacing w:after="0" w:line="59" w:lineRule="exact"/>
        <w:rPr>
          <w:rFonts w:ascii="Arial" w:cs="Arial" w:eastAsia="Arial" w:hAnsi="Arial"/>
          <w:sz w:val="18"/>
          <w:szCs w:val="18"/>
          <w:color w:val="auto"/>
        </w:rPr>
      </w:pPr>
    </w:p>
    <w:p>
      <w:pPr>
        <w:ind w:left="780" w:right="20" w:hanging="326"/>
        <w:spacing w:after="0" w:line="259"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Display solutions: </w:t>
      </w:r>
      <w:r>
        <w:rPr>
          <w:rFonts w:ascii="Arial" w:cs="Arial" w:eastAsia="Arial" w:hAnsi="Arial"/>
          <w:sz w:val="18"/>
          <w:szCs w:val="18"/>
          <w:color w:val="auto"/>
        </w:rPr>
        <w:t>Our flat panel display drivers are used in several major types of large and small flat panel displays, including TFT-LCD, Color-STN</w:t>
      </w:r>
      <w:r>
        <w:rPr>
          <w:rFonts w:ascii="Arial" w:cs="Arial" w:eastAsia="Arial" w:hAnsi="Arial"/>
          <w:sz w:val="18"/>
          <w:szCs w:val="18"/>
          <w:i w:val="1"/>
          <w:iCs w:val="1"/>
          <w:color w:val="auto"/>
        </w:rPr>
        <w:t xml:space="preserve"> </w:t>
      </w:r>
      <w:r>
        <w:rPr>
          <w:rFonts w:ascii="Arial" w:cs="Arial" w:eastAsia="Arial" w:hAnsi="Arial"/>
          <w:sz w:val="18"/>
          <w:szCs w:val="18"/>
          <w:color w:val="auto"/>
        </w:rPr>
        <w:t>and OLED displays. Our flat panel display solutions are used in applications such as mobile handsets, flat panel televisions, displays for portable and desktop computers, handheld gaming devices and PDAs.</w:t>
      </w:r>
    </w:p>
    <w:p>
      <w:pPr>
        <w:spacing w:after="0" w:line="59" w:lineRule="exact"/>
        <w:rPr>
          <w:rFonts w:ascii="Arial" w:cs="Arial" w:eastAsia="Arial" w:hAnsi="Arial"/>
          <w:sz w:val="18"/>
          <w:szCs w:val="18"/>
          <w:color w:val="auto"/>
        </w:rPr>
      </w:pPr>
    </w:p>
    <w:p>
      <w:pPr>
        <w:ind w:left="780" w:right="260" w:hanging="326"/>
        <w:spacing w:after="0" w:line="256" w:lineRule="auto"/>
        <w:tabs>
          <w:tab w:leader="none" w:pos="780" w:val="left"/>
        </w:tabs>
        <w:numPr>
          <w:ilvl w:val="0"/>
          <w:numId w:val="6"/>
        </w:numPr>
        <w:rPr>
          <w:rFonts w:ascii="Arial" w:cs="Arial" w:eastAsia="Arial" w:hAnsi="Arial"/>
          <w:sz w:val="18"/>
          <w:szCs w:val="18"/>
          <w:color w:val="auto"/>
        </w:rPr>
      </w:pPr>
      <w:r>
        <w:rPr>
          <w:rFonts w:ascii="Arial" w:cs="Arial" w:eastAsia="Arial" w:hAnsi="Arial"/>
          <w:sz w:val="18"/>
          <w:szCs w:val="18"/>
          <w:i w:val="1"/>
          <w:iCs w:val="1"/>
          <w:color w:val="auto"/>
        </w:rPr>
        <w:t xml:space="preserve">Semiconductor manufacturing services: </w:t>
      </w:r>
      <w:r>
        <w:rPr>
          <w:rFonts w:ascii="Arial" w:cs="Arial" w:eastAsia="Arial" w:hAnsi="Arial"/>
          <w:sz w:val="18"/>
          <w:szCs w:val="18"/>
          <w:color w:val="auto"/>
        </w:rPr>
        <w:t>We use our process technology and manufacturing facilities to manufacture semiconductor wafers for third</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based on their designs. Our five fabs have a combined capacity of over 116,000 eight-inch equivalent wafers per month and are located in Cheongju and Gumi, Korea. Our fabs provide us with large scale, cost-effective and flexible capacity enabling us to rapidly scale to high volume to meet shifts in demand by our end customers.</w:t>
      </w:r>
    </w:p>
    <w:p>
      <w:pPr>
        <w:spacing w:after="0" w:line="143"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Our business was named MagnaChip Semiconductor when it was acquired from Hynix Semiconductor Inc. on October 6, 2004, by CVC, Francisco Partners, CVC Asia Pacific, certain members of management and other investors, following discussions with Hynix that began in late 2001 and the execution of a definitive agreement in June 2004. Previously, we were the System IC division within Hynix which, in 1999, had been formed from a merger between the Hyundai Electronics and LG Semiconductor System IC businesses and can trace its history back to the late 1970s. Although we were previously part of Hynix, our business had a history of operating autonomously within Hynix and had a separate global sales force and management structure.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620" w:type="dxa"/>
            <w:vAlign w:val="bottom"/>
            <w:gridSpan w:val="5"/>
          </w:tcPr>
          <w:p>
            <w:pPr>
              <w:jc w:val="right"/>
              <w:ind w:right="292"/>
              <w:spacing w:after="0"/>
              <w:rPr>
                <w:sz w:val="20"/>
                <w:szCs w:val="20"/>
                <w:color w:val="auto"/>
              </w:rPr>
            </w:pPr>
            <w:r>
              <w:rPr>
                <w:rFonts w:ascii="Arial" w:cs="Arial" w:eastAsia="Arial" w:hAnsi="Arial"/>
                <w:sz w:val="14"/>
                <w:szCs w:val="14"/>
                <w:b w:val="1"/>
                <w:bCs w:val="1"/>
                <w:color w:val="auto"/>
                <w:w w:val="90"/>
              </w:rPr>
              <w:t>Three months ended</w:t>
            </w:r>
          </w:p>
        </w:tc>
        <w:tc>
          <w:tcPr>
            <w:tcW w:w="16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w w:val="90"/>
              </w:rPr>
              <w:t>Three months ended</w:t>
            </w: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20" w:type="dxa"/>
            <w:vAlign w:val="bottom"/>
            <w:gridSpan w:val="4"/>
          </w:tcPr>
          <w:p>
            <w:pPr>
              <w:jc w:val="right"/>
              <w:ind w:right="512"/>
              <w:spacing w:after="0"/>
              <w:rPr>
                <w:sz w:val="20"/>
                <w:szCs w:val="20"/>
                <w:color w:val="auto"/>
              </w:rPr>
            </w:pPr>
            <w:r>
              <w:rPr>
                <w:rFonts w:ascii="Arial" w:cs="Arial" w:eastAsia="Arial" w:hAnsi="Arial"/>
                <w:sz w:val="14"/>
                <w:szCs w:val="14"/>
                <w:b w:val="1"/>
                <w:bCs w:val="1"/>
                <w:color w:val="auto"/>
              </w:rPr>
              <w:t>April 2, 2006</w:t>
            </w:r>
          </w:p>
        </w:tc>
        <w:tc>
          <w:tcPr>
            <w:tcW w:w="1620" w:type="dxa"/>
            <w:vAlign w:val="bottom"/>
            <w:gridSpan w:val="4"/>
          </w:tcPr>
          <w:p>
            <w:pPr>
              <w:jc w:val="right"/>
              <w:ind w:right="580"/>
              <w:spacing w:after="0"/>
              <w:rPr>
                <w:sz w:val="20"/>
                <w:szCs w:val="20"/>
                <w:color w:val="auto"/>
              </w:rPr>
            </w:pPr>
            <w:r>
              <w:rPr>
                <w:rFonts w:ascii="Arial" w:cs="Arial" w:eastAsia="Arial" w:hAnsi="Arial"/>
                <w:sz w:val="14"/>
                <w:szCs w:val="14"/>
                <w:b w:val="1"/>
                <w:bCs w:val="1"/>
                <w:color w:val="auto"/>
              </w:rPr>
              <w:t>April 3, 2005</w:t>
            </w:r>
          </w:p>
        </w:tc>
        <w:tc>
          <w:tcPr>
            <w:tcW w:w="120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96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35"/>
              <w:spacing w:after="0" w:line="129"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52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37"/>
              <w:spacing w:after="0" w:line="129" w:lineRule="exact"/>
              <w:rPr>
                <w:sz w:val="20"/>
                <w:szCs w:val="20"/>
                <w:color w:val="auto"/>
              </w:rPr>
            </w:pPr>
            <w:r>
              <w:rPr>
                <w:rFonts w:ascii="Arial" w:cs="Arial" w:eastAsia="Arial" w:hAnsi="Arial"/>
                <w:sz w:val="14"/>
                <w:szCs w:val="14"/>
                <w:b w:val="1"/>
                <w:bCs w:val="1"/>
                <w:color w:val="auto"/>
              </w:rPr>
              <w:t>% of</w:t>
            </w:r>
          </w:p>
        </w:tc>
        <w:tc>
          <w:tcPr>
            <w:tcW w:w="280" w:type="dxa"/>
            <w:vAlign w:val="bottom"/>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280" w:type="dxa"/>
            <w:vAlign w:val="bottom"/>
            <w:tcBorders>
              <w:top w:val="single" w:sz="8" w:color="auto"/>
            </w:tcBorders>
          </w:tcPr>
          <w:p>
            <w:pPr>
              <w:spacing w:after="0"/>
              <w:rPr>
                <w:sz w:val="11"/>
                <w:szCs w:val="11"/>
                <w:color w:val="auto"/>
              </w:rPr>
            </w:pPr>
          </w:p>
        </w:tc>
        <w:tc>
          <w:tcPr>
            <w:tcW w:w="380" w:type="dxa"/>
            <w:vAlign w:val="bottom"/>
            <w:tcBorders>
              <w:top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960" w:type="dxa"/>
            <w:vAlign w:val="bottom"/>
          </w:tcPr>
          <w:p>
            <w:pPr>
              <w:spacing w:after="0"/>
              <w:rPr>
                <w:sz w:val="14"/>
                <w:szCs w:val="14"/>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net sales</w:t>
            </w:r>
          </w:p>
        </w:tc>
        <w:tc>
          <w:tcPr>
            <w:tcW w:w="280" w:type="dxa"/>
            <w:vAlign w:val="bottom"/>
          </w:tcPr>
          <w:p>
            <w:pPr>
              <w:spacing w:after="0"/>
              <w:rPr>
                <w:sz w:val="14"/>
                <w:szCs w:val="1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Amount</w:t>
            </w:r>
          </w:p>
        </w:tc>
        <w:tc>
          <w:tcPr>
            <w:tcW w:w="280" w:type="dxa"/>
            <w:vAlign w:val="bottom"/>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net sales</w:t>
            </w:r>
          </w:p>
        </w:tc>
        <w:tc>
          <w:tcPr>
            <w:tcW w:w="280" w:type="dxa"/>
            <w:vAlign w:val="bottom"/>
          </w:tcPr>
          <w:p>
            <w:pPr>
              <w:spacing w:after="0"/>
              <w:rPr>
                <w:sz w:val="14"/>
                <w:szCs w:val="14"/>
                <w:color w:val="auto"/>
              </w:rPr>
            </w:pPr>
          </w:p>
        </w:tc>
        <w:tc>
          <w:tcPr>
            <w:tcW w:w="4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Amount</w:t>
            </w:r>
          </w:p>
        </w:tc>
        <w:tc>
          <w:tcPr>
            <w:tcW w:w="280" w:type="dxa"/>
            <w:vAlign w:val="bottom"/>
          </w:tcPr>
          <w:p>
            <w:pPr>
              <w:spacing w:after="0"/>
              <w:rPr>
                <w:sz w:val="14"/>
                <w:szCs w:val="14"/>
                <w:color w:val="auto"/>
              </w:rPr>
            </w:pPr>
          </w:p>
        </w:tc>
        <w:tc>
          <w:tcPr>
            <w:tcW w:w="3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80" w:type="dxa"/>
            <w:vAlign w:val="bottom"/>
          </w:tcPr>
          <w:p>
            <w:pPr>
              <w:jc w:val="right"/>
              <w:ind w:right="32"/>
              <w:spacing w:after="0" w:line="142" w:lineRule="exact"/>
              <w:rPr>
                <w:sz w:val="20"/>
                <w:szCs w:val="20"/>
                <w:color w:val="auto"/>
              </w:rPr>
            </w:pPr>
            <w:r>
              <w:rPr>
                <w:rFonts w:ascii="Arial" w:cs="Arial" w:eastAsia="Arial" w:hAnsi="Arial"/>
                <w:sz w:val="14"/>
                <w:szCs w:val="14"/>
                <w:b w:val="1"/>
                <w:bCs w:val="1"/>
                <w:i w:val="1"/>
                <w:iCs w:val="1"/>
                <w:color w:val="auto"/>
                <w:w w:val="93"/>
              </w:rPr>
              <w:t>(in</w:t>
            </w:r>
          </w:p>
        </w:tc>
        <w:tc>
          <w:tcPr>
            <w:tcW w:w="52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w w:val="71"/>
              </w:rPr>
              <w:t>millions of</w:t>
            </w:r>
          </w:p>
        </w:tc>
        <w:tc>
          <w:tcPr>
            <w:tcW w:w="280" w:type="dxa"/>
            <w:vAlign w:val="bottom"/>
          </w:tcPr>
          <w:p>
            <w:pPr>
              <w:jc w:val="right"/>
              <w:spacing w:after="0" w:line="142" w:lineRule="exact"/>
              <w:rPr>
                <w:sz w:val="20"/>
                <w:szCs w:val="20"/>
                <w:color w:val="auto"/>
              </w:rPr>
            </w:pPr>
            <w:r>
              <w:rPr>
                <w:rFonts w:ascii="Arial" w:cs="Arial" w:eastAsia="Arial" w:hAnsi="Arial"/>
                <w:sz w:val="14"/>
                <w:szCs w:val="14"/>
                <w:b w:val="1"/>
                <w:bCs w:val="1"/>
                <w:i w:val="1"/>
                <w:iCs w:val="1"/>
                <w:color w:val="auto"/>
              </w:rPr>
              <w:t>US</w:t>
            </w:r>
          </w:p>
        </w:tc>
        <w:tc>
          <w:tcPr>
            <w:tcW w:w="820" w:type="dxa"/>
            <w:vAlign w:val="bottom"/>
            <w:gridSpan w:val="2"/>
          </w:tcPr>
          <w:p>
            <w:pPr>
              <w:jc w:val="right"/>
              <w:ind w:right="240"/>
              <w:spacing w:after="0" w:line="142" w:lineRule="exact"/>
              <w:rPr>
                <w:sz w:val="20"/>
                <w:szCs w:val="20"/>
                <w:color w:val="auto"/>
              </w:rPr>
            </w:pPr>
            <w:r>
              <w:rPr>
                <w:rFonts w:ascii="Arial" w:cs="Arial" w:eastAsia="Arial" w:hAnsi="Arial"/>
                <w:sz w:val="14"/>
                <w:szCs w:val="14"/>
                <w:b w:val="1"/>
                <w:bCs w:val="1"/>
                <w:i w:val="1"/>
                <w:iCs w:val="1"/>
                <w:color w:val="auto"/>
                <w:w w:val="78"/>
              </w:rPr>
              <w:t>dollars; %)</w:t>
            </w:r>
          </w:p>
        </w:tc>
        <w:tc>
          <w:tcPr>
            <w:tcW w:w="4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213.1</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$ 213.4</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Cost of sales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8"/>
              </w:rPr>
              <w:t>172.8</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81.1</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187.4</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87.8</w:t>
            </w:r>
          </w:p>
        </w:tc>
        <w:tc>
          <w:tcPr>
            <w:tcW w:w="2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(14.6)</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40.3</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Selling, general and administrative expenses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10.1</w:t>
            </w:r>
          </w:p>
        </w:tc>
        <w:tc>
          <w:tcPr>
            <w:tcW w:w="280" w:type="dxa"/>
            <w:vAlign w:val="bottom"/>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vMerge w:val="restart"/>
          </w:tcPr>
          <w:p>
            <w:pPr>
              <w:jc w:val="right"/>
              <w:spacing w:after="0"/>
              <w:rPr>
                <w:sz w:val="20"/>
                <w:szCs w:val="20"/>
                <w:color w:val="auto"/>
              </w:rPr>
            </w:pPr>
            <w:r>
              <w:rPr>
                <w:rFonts w:ascii="Arial" w:cs="Arial" w:eastAsia="Arial" w:hAnsi="Arial"/>
                <w:sz w:val="18"/>
                <w:szCs w:val="18"/>
                <w:color w:val="auto"/>
              </w:rPr>
              <w:t>13.4</w:t>
            </w:r>
          </w:p>
        </w:tc>
        <w:tc>
          <w:tcPr>
            <w:tcW w:w="2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w w:val="89"/>
              </w:rPr>
              <w:t>(24.6)</w:t>
            </w:r>
          </w:p>
        </w:tc>
        <w:tc>
          <w:tcPr>
            <w:tcW w:w="0" w:type="dxa"/>
            <w:vAlign w:val="bottom"/>
          </w:tcPr>
          <w:p>
            <w:pPr>
              <w:spacing w:after="0" w:line="20" w:lineRule="exact"/>
              <w:rPr>
                <w:sz w:val="1"/>
                <w:szCs w:val="1"/>
                <w:color w:val="auto"/>
              </w:rPr>
            </w:pPr>
          </w:p>
        </w:tc>
      </w:tr>
      <w:tr>
        <w:trPr>
          <w:trHeight w:val="221"/>
        </w:trPr>
        <w:tc>
          <w:tcPr>
            <w:tcW w:w="6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21.5</w:t>
            </w:r>
          </w:p>
        </w:tc>
        <w:tc>
          <w:tcPr>
            <w:tcW w:w="2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28.5</w:t>
            </w:r>
          </w:p>
        </w:tc>
        <w:tc>
          <w:tcPr>
            <w:tcW w:w="280" w:type="dxa"/>
            <w:vAlign w:val="bottom"/>
          </w:tcPr>
          <w:p>
            <w:pPr>
              <w:spacing w:after="0"/>
              <w:rPr>
                <w:sz w:val="19"/>
                <w:szCs w:val="19"/>
                <w:color w:val="auto"/>
              </w:rPr>
            </w:pPr>
          </w:p>
        </w:tc>
        <w:tc>
          <w:tcPr>
            <w:tcW w:w="5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(7.0)</w:t>
            </w:r>
          </w:p>
        </w:tc>
        <w:tc>
          <w:tcPr>
            <w:tcW w:w="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 expenses</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w:t>
            </w:r>
          </w:p>
        </w:tc>
        <w:tc>
          <w:tcPr>
            <w:tcW w:w="28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28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28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980" w:type="dxa"/>
            <w:vAlign w:val="bottom"/>
            <w:gridSpan w:val="2"/>
            <w:vMerge w:val="restart"/>
          </w:tcPr>
          <w:p>
            <w:pPr>
              <w:spacing w:after="0"/>
              <w:rPr>
                <w:sz w:val="20"/>
                <w:szCs w:val="20"/>
                <w:color w:val="auto"/>
              </w:rPr>
            </w:pPr>
            <w:r>
              <w:rPr>
                <w:rFonts w:ascii="Arial" w:cs="Arial" w:eastAsia="Arial" w:hAnsi="Arial"/>
                <w:sz w:val="18"/>
                <w:szCs w:val="18"/>
                <w:color w:val="auto"/>
              </w:rPr>
              <w:t>Operating loss</w:t>
            </w:r>
          </w:p>
        </w:tc>
        <w:tc>
          <w:tcPr>
            <w:tcW w:w="10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vMerge w:val="restart"/>
          </w:tcPr>
          <w:p>
            <w:pPr>
              <w:jc w:val="right"/>
              <w:ind w:right="152"/>
              <w:spacing w:after="0"/>
              <w:rPr>
                <w:sz w:val="20"/>
                <w:szCs w:val="20"/>
                <w:color w:val="auto"/>
              </w:rPr>
            </w:pPr>
            <w:r>
              <w:rPr>
                <w:rFonts w:ascii="Arial" w:cs="Arial" w:eastAsia="Arial" w:hAnsi="Arial"/>
                <w:sz w:val="18"/>
                <w:szCs w:val="18"/>
                <w:color w:val="auto"/>
              </w:rPr>
              <w:t>(5.2)</w:t>
            </w:r>
          </w:p>
        </w:tc>
        <w:tc>
          <w:tcPr>
            <w:tcW w:w="5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(13.4)</w:t>
            </w:r>
          </w:p>
        </w:tc>
        <w:tc>
          <w:tcPr>
            <w:tcW w:w="4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gridSpan w:val="2"/>
            <w:vMerge w:val="restart"/>
          </w:tcPr>
          <w:p>
            <w:pPr>
              <w:jc w:val="right"/>
              <w:spacing w:after="0"/>
              <w:rPr>
                <w:sz w:val="20"/>
                <w:szCs w:val="20"/>
                <w:color w:val="auto"/>
              </w:rPr>
            </w:pPr>
            <w:r>
              <w:rPr>
                <w:rFonts w:ascii="Arial" w:cs="Arial" w:eastAsia="Arial" w:hAnsi="Arial"/>
                <w:sz w:val="18"/>
                <w:szCs w:val="18"/>
                <w:color w:val="auto"/>
                <w:w w:val="89"/>
              </w:rPr>
              <w:t>(61.2)</w:t>
            </w:r>
          </w:p>
        </w:tc>
        <w:tc>
          <w:tcPr>
            <w:tcW w:w="0" w:type="dxa"/>
            <w:vAlign w:val="bottom"/>
          </w:tcPr>
          <w:p>
            <w:pPr>
              <w:spacing w:after="0" w:line="20" w:lineRule="exact"/>
              <w:rPr>
                <w:sz w:val="1"/>
                <w:szCs w:val="1"/>
                <w:color w:val="auto"/>
              </w:rPr>
            </w:pPr>
          </w:p>
        </w:tc>
      </w:tr>
      <w:tr>
        <w:trPr>
          <w:trHeight w:val="221"/>
        </w:trPr>
        <w:tc>
          <w:tcPr>
            <w:tcW w:w="69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220"/>
              <w:spacing w:after="0"/>
              <w:rPr>
                <w:sz w:val="20"/>
                <w:szCs w:val="20"/>
                <w:color w:val="auto"/>
              </w:rPr>
            </w:pPr>
            <w:r>
              <w:rPr>
                <w:rFonts w:ascii="Arial" w:cs="Arial" w:eastAsia="Arial" w:hAnsi="Arial"/>
                <w:sz w:val="18"/>
                <w:szCs w:val="18"/>
                <w:color w:val="auto"/>
                <w:w w:val="97"/>
              </w:rPr>
              <w:t>(11.1)</w:t>
            </w:r>
          </w:p>
        </w:tc>
        <w:tc>
          <w:tcPr>
            <w:tcW w:w="820" w:type="dxa"/>
            <w:vAlign w:val="bottom"/>
            <w:gridSpan w:val="2"/>
            <w:vMerge w:val="continue"/>
          </w:tcPr>
          <w:p>
            <w:pPr>
              <w:spacing w:after="0"/>
              <w:rPr>
                <w:sz w:val="19"/>
                <w:szCs w:val="19"/>
                <w:color w:val="auto"/>
              </w:rPr>
            </w:pPr>
          </w:p>
        </w:tc>
        <w:tc>
          <w:tcPr>
            <w:tcW w:w="800" w:type="dxa"/>
            <w:vAlign w:val="bottom"/>
            <w:gridSpan w:val="2"/>
          </w:tcPr>
          <w:p>
            <w:pPr>
              <w:jc w:val="right"/>
              <w:ind w:right="152"/>
              <w:spacing w:after="0"/>
              <w:rPr>
                <w:sz w:val="20"/>
                <w:szCs w:val="20"/>
                <w:color w:val="auto"/>
              </w:rPr>
            </w:pPr>
            <w:r>
              <w:rPr>
                <w:rFonts w:ascii="Arial" w:cs="Arial" w:eastAsia="Arial" w:hAnsi="Arial"/>
                <w:sz w:val="18"/>
                <w:szCs w:val="18"/>
                <w:color w:val="auto"/>
              </w:rPr>
              <w:t>(28.6)</w:t>
            </w:r>
          </w:p>
        </w:tc>
        <w:tc>
          <w:tcPr>
            <w:tcW w:w="820" w:type="dxa"/>
            <w:vAlign w:val="bottom"/>
            <w:gridSpan w:val="2"/>
            <w:vMerge w:val="continue"/>
          </w:tcPr>
          <w:p>
            <w:pPr>
              <w:spacing w:after="0"/>
              <w:rPr>
                <w:sz w:val="19"/>
                <w:szCs w:val="19"/>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17.5</w:t>
            </w:r>
          </w:p>
        </w:tc>
        <w:tc>
          <w:tcPr>
            <w:tcW w:w="4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 net</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7"/>
              </w:rPr>
              <w:t>(14.7)</w:t>
            </w:r>
          </w:p>
        </w:tc>
        <w:tc>
          <w:tcPr>
            <w:tcW w:w="8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(6.9)</w:t>
            </w: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(13.9)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(6.5)</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(0.8)</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Foreign currency gain, net</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24.2</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11.4</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13.6</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6.4</w:t>
            </w:r>
          </w:p>
        </w:tc>
        <w:tc>
          <w:tcPr>
            <w:tcW w:w="280" w:type="dxa"/>
            <w:vAlign w:val="bottom"/>
          </w:tcPr>
          <w:p>
            <w:pPr>
              <w:spacing w:after="0"/>
              <w:rPr>
                <w:sz w:val="18"/>
                <w:szCs w:val="18"/>
                <w:color w:val="auto"/>
              </w:rPr>
            </w:pPr>
          </w:p>
        </w:tc>
        <w:tc>
          <w:tcPr>
            <w:tcW w:w="760" w:type="dxa"/>
            <w:vAlign w:val="bottom"/>
            <w:gridSpan w:val="2"/>
          </w:tcPr>
          <w:p>
            <w:pPr>
              <w:jc w:val="right"/>
              <w:ind w:right="280"/>
              <w:spacing w:after="0"/>
              <w:rPr>
                <w:sz w:val="20"/>
                <w:szCs w:val="20"/>
                <w:color w:val="auto"/>
              </w:rPr>
            </w:pPr>
            <w:r>
              <w:rPr>
                <w:rFonts w:ascii="Arial" w:cs="Arial" w:eastAsia="Arial" w:hAnsi="Arial"/>
                <w:sz w:val="18"/>
                <w:szCs w:val="18"/>
                <w:color w:val="auto"/>
              </w:rPr>
              <w:t>10.6</w:t>
            </w:r>
          </w:p>
        </w:tc>
        <w:tc>
          <w:tcPr>
            <w:tcW w:w="380" w:type="dxa"/>
            <w:vAlign w:val="bottom"/>
          </w:tcPr>
          <w:p>
            <w:pPr>
              <w:jc w:val="right"/>
              <w:spacing w:after="0"/>
              <w:rPr>
                <w:sz w:val="20"/>
                <w:szCs w:val="20"/>
                <w:color w:val="auto"/>
              </w:rPr>
            </w:pPr>
            <w:r>
              <w:rPr>
                <w:rFonts w:ascii="Arial" w:cs="Arial" w:eastAsia="Arial" w:hAnsi="Arial"/>
                <w:sz w:val="18"/>
                <w:szCs w:val="18"/>
                <w:color w:val="auto"/>
              </w:rPr>
              <w:t>77.9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Loss before income taxes</w:t>
            </w: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w:t>
            </w:r>
          </w:p>
        </w:tc>
        <w:tc>
          <w:tcPr>
            <w:tcW w:w="8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(0.7)</w:t>
            </w: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(28.9)</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(13.5)</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27.3</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960" w:type="dxa"/>
            <w:vAlign w:val="bottom"/>
          </w:tcPr>
          <w:p>
            <w:pPr>
              <w:spacing w:after="0"/>
              <w:rPr>
                <w:sz w:val="20"/>
                <w:szCs w:val="20"/>
                <w:color w:val="auto"/>
              </w:rPr>
            </w:pPr>
            <w:r>
              <w:rPr>
                <w:rFonts w:ascii="Arial" w:cs="Arial" w:eastAsia="Arial" w:hAnsi="Arial"/>
                <w:sz w:val="18"/>
                <w:szCs w:val="18"/>
                <w:color w:val="auto"/>
              </w:rPr>
              <w:t>Income tax expenses</w:t>
            </w: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1.1</w:t>
            </w:r>
          </w:p>
        </w:tc>
        <w:tc>
          <w:tcPr>
            <w:tcW w:w="280" w:type="dxa"/>
            <w:vAlign w:val="bottom"/>
          </w:tcPr>
          <w:p>
            <w:pPr>
              <w:spacing w:after="0"/>
              <w:rPr>
                <w:sz w:val="18"/>
                <w:szCs w:val="18"/>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(0.1)</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6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69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w:t>
            </w:r>
          </w:p>
        </w:tc>
        <w:tc>
          <w:tcPr>
            <w:tcW w:w="82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rPr>
              <w:t>(1.8)</w:t>
            </w:r>
          </w:p>
        </w:tc>
        <w:tc>
          <w:tcPr>
            <w:tcW w:w="800" w:type="dxa"/>
            <w:vAlign w:val="bottom"/>
            <w:gridSpan w:val="2"/>
            <w:shd w:val="clear" w:color="auto" w:fill="CCEEFF"/>
          </w:tcPr>
          <w:p>
            <w:pPr>
              <w:jc w:val="right"/>
              <w:ind w:right="152"/>
              <w:spacing w:after="0"/>
              <w:rPr>
                <w:sz w:val="20"/>
                <w:szCs w:val="20"/>
                <w:color w:val="auto"/>
              </w:rPr>
            </w:pPr>
            <w:r>
              <w:rPr>
                <w:rFonts w:ascii="Arial" w:cs="Arial" w:eastAsia="Arial" w:hAnsi="Arial"/>
                <w:sz w:val="18"/>
                <w:szCs w:val="18"/>
                <w:color w:val="auto"/>
                <w:w w:val="90"/>
              </w:rPr>
              <w:t>$ (31.3)</w:t>
            </w:r>
          </w:p>
        </w:tc>
        <w:tc>
          <w:tcPr>
            <w:tcW w:w="8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(14.6)</w:t>
            </w:r>
          </w:p>
        </w:tc>
        <w:tc>
          <w:tcPr>
            <w:tcW w:w="7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27.4</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(87.5)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7" w:lineRule="exact"/>
        <w:rPr>
          <w:sz w:val="20"/>
          <w:szCs w:val="20"/>
          <w:color w:val="auto"/>
        </w:rPr>
      </w:pPr>
    </w:p>
    <w:p>
      <w:pPr>
        <w:ind w:right="460" w:firstLine="456"/>
        <w:spacing w:after="0" w:line="332" w:lineRule="auto"/>
        <w:rPr>
          <w:sz w:val="20"/>
          <w:szCs w:val="20"/>
          <w:color w:val="auto"/>
        </w:rPr>
      </w:pPr>
      <w:r>
        <w:rPr>
          <w:rFonts w:ascii="Arial" w:cs="Arial" w:eastAsia="Arial" w:hAnsi="Arial"/>
          <w:sz w:val="16"/>
          <w:szCs w:val="16"/>
          <w:i w:val="1"/>
          <w:iCs w:val="1"/>
          <w:color w:val="auto"/>
        </w:rPr>
        <w:t>Net Sales</w:t>
      </w:r>
      <w:r>
        <w:rPr>
          <w:rFonts w:ascii="Arial" w:cs="Arial" w:eastAsia="Arial" w:hAnsi="Arial"/>
          <w:sz w:val="16"/>
          <w:szCs w:val="16"/>
          <w:color w:val="auto"/>
        </w:rPr>
        <w:t>. Net sales of $213.1 million for the three-month period ended April 2, 2006 were flat from $213.4 million for the three-month period ended</w:t>
      </w:r>
      <w:r>
        <w:rPr>
          <w:rFonts w:ascii="Arial" w:cs="Arial" w:eastAsia="Arial" w:hAnsi="Arial"/>
          <w:sz w:val="16"/>
          <w:szCs w:val="16"/>
          <w:i w:val="1"/>
          <w:iCs w:val="1"/>
          <w:color w:val="auto"/>
        </w:rPr>
        <w:t xml:space="preserve"> </w:t>
      </w:r>
      <w:r>
        <w:rPr>
          <w:rFonts w:ascii="Arial" w:cs="Arial" w:eastAsia="Arial" w:hAnsi="Arial"/>
          <w:sz w:val="16"/>
          <w:szCs w:val="16"/>
          <w:color w:val="auto"/>
        </w:rPr>
        <w:t>April 3, 2005. Most of our revenue is derived from consumer driven markets that have historically experienced seasonally slow first quarter demand.</w:t>
      </w:r>
    </w:p>
    <w:p>
      <w:pPr>
        <w:spacing w:after="0" w:line="85" w:lineRule="exact"/>
        <w:rPr>
          <w:sz w:val="20"/>
          <w:szCs w:val="20"/>
          <w:color w:val="auto"/>
        </w:rPr>
      </w:pPr>
    </w:p>
    <w:p>
      <w:pPr>
        <w:ind w:firstLine="456"/>
        <w:spacing w:after="0" w:line="335" w:lineRule="auto"/>
        <w:rPr>
          <w:sz w:val="20"/>
          <w:szCs w:val="20"/>
          <w:color w:val="auto"/>
        </w:rPr>
      </w:pPr>
      <w:r>
        <w:rPr>
          <w:rFonts w:ascii="Arial" w:cs="Arial" w:eastAsia="Arial" w:hAnsi="Arial"/>
          <w:sz w:val="15"/>
          <w:szCs w:val="15"/>
          <w:color w:val="auto"/>
        </w:rPr>
        <w:t>Revenues from our core business for the three months ended April 2, 2006 was $197.7 million, an increase of $19.8 million or 11.1% from $177.9 million for the three months ended April 3, 2005. This increase was driven primarily by semiconductor manufacturing services due to new customer design wins and overall increase in market demand. Our imaging solution revenue decreased year over year, as we repositioned our product mix from VGA to megapixel products.</w:t>
      </w:r>
    </w:p>
    <w:p>
      <w:pPr>
        <w:spacing w:after="0" w:line="8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Cost of Sales</w:t>
      </w:r>
      <w:r>
        <w:rPr>
          <w:rFonts w:ascii="Arial" w:cs="Arial" w:eastAsia="Arial" w:hAnsi="Arial"/>
          <w:sz w:val="16"/>
          <w:szCs w:val="16"/>
          <w:color w:val="auto"/>
        </w:rPr>
        <w:t>. Cost of sales was $172.8 million during the current quarter, a decrease of $14.6 million or 7.8% from $187.4 million in the prior-year quarter.</w:t>
      </w:r>
      <w:r>
        <w:rPr>
          <w:rFonts w:ascii="Arial" w:cs="Arial" w:eastAsia="Arial" w:hAnsi="Arial"/>
          <w:sz w:val="16"/>
          <w:szCs w:val="16"/>
          <w:i w:val="1"/>
          <w:iCs w:val="1"/>
          <w:color w:val="auto"/>
        </w:rPr>
        <w:t xml:space="preserve"> </w:t>
      </w:r>
      <w:r>
        <w:rPr>
          <w:rFonts w:ascii="Arial" w:cs="Arial" w:eastAsia="Arial" w:hAnsi="Arial"/>
          <w:sz w:val="16"/>
          <w:szCs w:val="16"/>
          <w:color w:val="auto"/>
        </w:rPr>
        <w:t>Cost of sales for the first quarter of 2005 included a non-cash charge of $4.5 million for the write up of inventory to fair market value associated with the Original Acquisition. Excluding this charge, the decrease in cost of sales in the current quarter was primarily due to reduction in variable costs as a result of ongoing cost control. Cost of sales as a percentage of net sales decreased by 670 basis points to 81.1% in the current-year period from 87.8% in the prior-year period.</w:t>
      </w:r>
    </w:p>
    <w:p>
      <w:pPr>
        <w:spacing w:after="0" w:line="113"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i w:val="1"/>
          <w:iCs w:val="1"/>
          <w:color w:val="auto"/>
        </w:rPr>
        <w:t xml:space="preserve">Selling, General and Administrative Expenses. </w:t>
      </w:r>
      <w:r>
        <w:rPr>
          <w:rFonts w:ascii="Arial" w:cs="Arial" w:eastAsia="Arial" w:hAnsi="Arial"/>
          <w:sz w:val="16"/>
          <w:szCs w:val="16"/>
          <w:color w:val="auto"/>
        </w:rPr>
        <w:t>Selling, general and administrative expenses were $21.5 million or 10.1% of net sales for the three months</w:t>
      </w:r>
      <w:r>
        <w:rPr>
          <w:rFonts w:ascii="Arial" w:cs="Arial" w:eastAsia="Arial" w:hAnsi="Arial"/>
          <w:sz w:val="16"/>
          <w:szCs w:val="16"/>
          <w:i w:val="1"/>
          <w:iCs w:val="1"/>
          <w:color w:val="auto"/>
        </w:rPr>
        <w:t xml:space="preserve"> </w:t>
      </w:r>
      <w:r>
        <w:rPr>
          <w:rFonts w:ascii="Arial" w:cs="Arial" w:eastAsia="Arial" w:hAnsi="Arial"/>
          <w:sz w:val="16"/>
          <w:szCs w:val="16"/>
          <w:color w:val="auto"/>
        </w:rPr>
        <w:t>ended April 2, 2006 compared to $28.5 million or 13.4% for the three months ended April 3, 2005. The decrease of $7.0 million or 24.6% from the prior year quarter was primarily attributable to lower amortization of intangible assets from the sale of our application processor business in the first quarter of 2006 as well as decreased professional service fees as a result of operational efficiency and infrastructure improvements.</w:t>
      </w:r>
    </w:p>
    <w:p>
      <w:pPr>
        <w:spacing w:after="0" w:line="113"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for the current quarter were $29.9 million, an increase of $3.8 million or 14.6%</w:t>
      </w:r>
      <w:r>
        <w:rPr>
          <w:rFonts w:ascii="Arial" w:cs="Arial" w:eastAsia="Arial" w:hAnsi="Arial"/>
          <w:sz w:val="16"/>
          <w:szCs w:val="16"/>
          <w:i w:val="1"/>
          <w:iCs w:val="1"/>
          <w:color w:val="auto"/>
        </w:rPr>
        <w:t xml:space="preserve"> </w:t>
      </w:r>
      <w:r>
        <w:rPr>
          <w:rFonts w:ascii="Arial" w:cs="Arial" w:eastAsia="Arial" w:hAnsi="Arial"/>
          <w:sz w:val="16"/>
          <w:szCs w:val="16"/>
          <w:color w:val="auto"/>
        </w:rPr>
        <w:t>from $26.1 million for the prior year quarter. This increase in research and development expenses was mainly attributable to our reinforcement of research and development activity worldwide through mergers and acquisitions to support next generation technology and product. As a percentage of net sales, research and development expense increased to 14.0% during the first quarter of 2006 from 12.2% in the first quarter of 2005.</w:t>
      </w:r>
    </w:p>
    <w:p>
      <w:pPr>
        <w:spacing w:after="0" w:line="11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i w:val="1"/>
          <w:iCs w:val="1"/>
          <w:color w:val="auto"/>
        </w:rPr>
        <w:t xml:space="preserve">Operating Loss. </w:t>
      </w:r>
      <w:r>
        <w:rPr>
          <w:rFonts w:ascii="Arial" w:cs="Arial" w:eastAsia="Arial" w:hAnsi="Arial"/>
          <w:sz w:val="18"/>
          <w:szCs w:val="18"/>
          <w:color w:val="auto"/>
        </w:rPr>
        <w:t>Operating loss for the three-month period ended April 2, 2006 was $11.1 million, a $17.5 million or 61.2% improvement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operating loss of $28.6 million for the three-month period ended April 3, 2005. Operating loss as a percentage of net sales was 5.2% and 13.4% in the first quarter of 2006 and 2005, respectively.</w:t>
      </w:r>
    </w:p>
    <w:p>
      <w:pPr>
        <w:spacing w:after="0" w:line="14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i w:val="1"/>
          <w:iCs w:val="1"/>
          <w:color w:val="auto"/>
        </w:rPr>
        <w:t xml:space="preserve">Net Interest Expense. </w:t>
      </w:r>
      <w:r>
        <w:rPr>
          <w:rFonts w:ascii="Arial" w:cs="Arial" w:eastAsia="Arial" w:hAnsi="Arial"/>
          <w:sz w:val="16"/>
          <w:szCs w:val="16"/>
          <w:color w:val="auto"/>
        </w:rPr>
        <w:t>Net interest expense was $14.7 million during the three-month period ended April 2, 2006, an increase of $0.8 million from $13.9</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three-month period ended April 3, 2005. The increase in net interest expense was primarily due to an increase in the interest rate on our floating rate second priority senior secured notes of $300.0 million. This floating interest rate was effectively converted to a fixed interest rate through an interest rate swap entered in the second quarter of 2005. As a result, we are not exposed to changes in interest rates with respect to such notes until the interest rate swap is unwound on June 15, 2008. Refer to “Note 5. Long-term Borrowings” for details.</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45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i w:val="1"/>
          <w:iCs w:val="1"/>
          <w:color w:val="auto"/>
        </w:rPr>
        <w:t>Income Tax Expense</w:t>
      </w:r>
      <w:r>
        <w:rPr>
          <w:rFonts w:ascii="Arial" w:cs="Arial" w:eastAsia="Arial" w:hAnsi="Arial"/>
          <w:sz w:val="16"/>
          <w:szCs w:val="16"/>
          <w:color w:val="auto"/>
        </w:rPr>
        <w:t>. Income tax expense for the current quarter was relatively flat at $2.3 million compared to income tax expense of $2.4 million for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quarter of 2005. Our income tax expense is mostly composed of withholding tax on the interest paid by one of our subsidiaries to its parent company. Due to the uncertainty of utilization for foreign tax credits, we treated this withholding tax as a current tax expense.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6"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Our principal capital requirements are to fund working capital needs, meet required debt payments, including debt service payments on the notes and, if drawn upon, the senior credit facility, to invest in research and development and capital equipment expenditures. We anticipate that operating cash flow, together with available borrowing capacity under our senior credit facility, will be sufficient to meet our working capital needs, our research and development, capital expenditures and service requirements on our debt obligations for the foreseeable future. As of April 2, 2006, we had total long-term debt outstanding of $750.0 million.</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During the three-month period ended April 2, 2006, we generated cash from operating activities of $8.5 million, a $2.4 million or 22.0% decrease from operating cash inflow of $10.9 million during the first quarter of 2005. The operating cash inflows for the current quarter reflected our net loss of $3.9 million adjusted by non-cash items of $28.5 million which included depreciation, amortization, and foreign currency gain. These inflows from such non-cash items were partially offset by cash outlays of $16.1 million mainly due to an increase in working capital during the current quarter.</w:t>
      </w:r>
    </w:p>
    <w:p>
      <w:pPr>
        <w:spacing w:after="0" w:line="113"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Our working capital balance was $157.9 million as of April 2, 2006 compared to $141.4 million as of December 31, 2005. The increase of $16.5 million or 11.7% was driven by a reduction of $29.1 million in accounts payable, representing a decline in the days of accounts payable from 63 to 49. This increase of working capital balance was partially offset by a decrease of $15.7 million in accounts receivable due to lower net sales in the current quarter.</w:t>
      </w:r>
    </w:p>
    <w:p>
      <w:pPr>
        <w:spacing w:after="0" w:line="107"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For investing activities, we used cash of approximately $8.0 million for the three months ended April 2, 2006. This cash outlay principally represented $14.2 million of capital expenditures on tangible and intangible assets, partially offset by a cash inflow from the sale of our application processor business. During the prior year quarter, the net cash outlay for investing activities was $21.7 million.</w:t>
      </w:r>
    </w:p>
    <w:p>
      <w:pPr>
        <w:spacing w:after="0" w:line="140"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For the three months ended April 2, 2006, there were no significant financing activities, while in the first quarter of 2005, we used approximately $13.9 million to repay short-term borrowings.</w:t>
      </w:r>
    </w:p>
    <w:p>
      <w:pPr>
        <w:spacing w:after="0" w:line="132"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i w:val="1"/>
          <w:iCs w:val="1"/>
          <w:color w:val="auto"/>
        </w:rPr>
        <w:t xml:space="preserve">Capital Expenditures. </w:t>
      </w:r>
      <w:r>
        <w:rPr>
          <w:rFonts w:ascii="Arial" w:cs="Arial" w:eastAsia="Arial" w:hAnsi="Arial"/>
          <w:sz w:val="18"/>
          <w:szCs w:val="18"/>
          <w:color w:val="auto"/>
        </w:rPr>
        <w:t>For the three months ended April 2, 2006, capital expenditures of $14.2 million was comparable to $13.0 million for the three</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April 3, 2005. We will continue to manage the timing of our capital expenditures to support the growth of business from new customers and to optimize return on our investment.</w:t>
      </w:r>
    </w:p>
    <w:p>
      <w:pPr>
        <w:spacing w:after="0" w:line="140"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i w:val="1"/>
          <w:iCs w:val="1"/>
          <w:color w:val="auto"/>
        </w:rPr>
        <w:t xml:space="preserve">Future Financing Activities. </w:t>
      </w:r>
      <w:r>
        <w:rPr>
          <w:rFonts w:ascii="Arial" w:cs="Arial" w:eastAsia="Arial" w:hAnsi="Arial"/>
          <w:sz w:val="16"/>
          <w:szCs w:val="16"/>
          <w:color w:val="auto"/>
        </w:rPr>
        <w:t>Our primary future capital requirements include funding of our working capital needs, meeting our required debt payments,</w:t>
      </w:r>
      <w:r>
        <w:rPr>
          <w:rFonts w:ascii="Arial" w:cs="Arial" w:eastAsia="Arial" w:hAnsi="Arial"/>
          <w:sz w:val="16"/>
          <w:szCs w:val="16"/>
          <w:i w:val="1"/>
          <w:iCs w:val="1"/>
          <w:color w:val="auto"/>
        </w:rPr>
        <w:t xml:space="preserve"> </w:t>
      </w:r>
      <w:r>
        <w:rPr>
          <w:rFonts w:ascii="Arial" w:cs="Arial" w:eastAsia="Arial" w:hAnsi="Arial"/>
          <w:sz w:val="16"/>
          <w:szCs w:val="16"/>
          <w:color w:val="auto"/>
        </w:rPr>
        <w:t>and funding of research and development as well as capital equipment expenditures. Going forward, we expect to expand our research and development headcount and make investments in advanced software and hardware design tools that will enhance our design productivity. In addition, we plan to add design centers in key geographical locations near our strategic customers. We anticipate that our operating cash flows, together with available borrowings under our senior credit facility, will be sufficient to meet these capital requirements for the foreseeable future.</w:t>
      </w:r>
    </w:p>
    <w:p>
      <w:pPr>
        <w:spacing w:after="0" w:line="116"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From time to time, we may need to incur additional debt or issue equity to make strategic acquisitions of investments. However, we cannot assure you that such financing will be available to us on acceptable terms or that such financing will be available at all.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96" w:lineRule="exact"/>
        <w:rPr>
          <w:sz w:val="20"/>
          <w:szCs w:val="20"/>
          <w:color w:val="auto"/>
        </w:rPr>
      </w:pPr>
    </w:p>
    <w:p>
      <w:pPr>
        <w:ind w:right="640" w:firstLine="456"/>
        <w:spacing w:after="0" w:line="268" w:lineRule="auto"/>
        <w:rPr>
          <w:sz w:val="20"/>
          <w:szCs w:val="20"/>
          <w:color w:val="auto"/>
        </w:rPr>
      </w:pPr>
      <w:r>
        <w:rPr>
          <w:rFonts w:ascii="Arial" w:cs="Arial" w:eastAsia="Arial" w:hAnsi="Arial"/>
          <w:sz w:val="18"/>
          <w:szCs w:val="18"/>
          <w:color w:val="auto"/>
        </w:rPr>
        <w:t>Summarized in the table below are our obligations and commitments to make future payments under debt obligations and minimum lease payment obligations as of April 2, 2006.</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40" w:type="dxa"/>
            <w:vAlign w:val="bottom"/>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520" w:type="dxa"/>
            <w:vAlign w:val="bottom"/>
            <w:tcBorders>
              <w:bottom w:val="single" w:sz="8" w:color="auto"/>
            </w:tcBorders>
            <w:gridSpan w:val="6"/>
          </w:tcPr>
          <w:p>
            <w:pPr>
              <w:ind w:left="60"/>
              <w:spacing w:after="0"/>
              <w:rPr>
                <w:sz w:val="20"/>
                <w:szCs w:val="20"/>
                <w:color w:val="auto"/>
              </w:rPr>
            </w:pPr>
            <w:r>
              <w:rPr>
                <w:rFonts w:ascii="Arial" w:cs="Arial" w:eastAsia="Arial" w:hAnsi="Arial"/>
                <w:sz w:val="14"/>
                <w:szCs w:val="14"/>
                <w:b w:val="1"/>
                <w:bCs w:val="1"/>
                <w:color w:val="auto"/>
                <w:w w:val="87"/>
              </w:rPr>
              <w:t>Payments Due by Period</w:t>
            </w:r>
          </w:p>
        </w:tc>
        <w:tc>
          <w:tcPr>
            <w:tcW w:w="22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29"/>
        </w:trPr>
        <w:tc>
          <w:tcPr>
            <w:tcW w:w="6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60" w:type="dxa"/>
            <w:vAlign w:val="bottom"/>
          </w:tcPr>
          <w:p>
            <w:pPr>
              <w:spacing w:after="0" w:line="129" w:lineRule="exact"/>
              <w:rPr>
                <w:sz w:val="20"/>
                <w:szCs w:val="20"/>
                <w:color w:val="auto"/>
              </w:rPr>
            </w:pPr>
            <w:r>
              <w:rPr>
                <w:rFonts w:ascii="Arial" w:cs="Arial" w:eastAsia="Arial" w:hAnsi="Arial"/>
                <w:sz w:val="14"/>
                <w:szCs w:val="14"/>
                <w:b w:val="1"/>
                <w:bCs w:val="1"/>
                <w:color w:val="auto"/>
                <w:w w:val="86"/>
              </w:rPr>
              <w:t>Interest</w:t>
            </w:r>
          </w:p>
        </w:tc>
        <w:tc>
          <w:tcPr>
            <w:tcW w:w="60" w:type="dxa"/>
            <w:vAlign w:val="bottom"/>
          </w:tcPr>
          <w:p>
            <w:pPr>
              <w:spacing w:after="0"/>
              <w:rPr>
                <w:sz w:val="11"/>
                <w:szCs w:val="11"/>
                <w:color w:val="auto"/>
              </w:rPr>
            </w:pPr>
          </w:p>
        </w:tc>
      </w:tr>
      <w:tr>
        <w:trPr>
          <w:trHeight w:val="161"/>
        </w:trPr>
        <w:tc>
          <w:tcPr>
            <w:tcW w:w="6840" w:type="dxa"/>
            <w:vAlign w:val="bottom"/>
          </w:tcPr>
          <w:p>
            <w:pPr>
              <w:spacing w:after="0"/>
              <w:rPr>
                <w:sz w:val="14"/>
                <w:szCs w:val="14"/>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2006</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3"/>
              </w:rPr>
              <w:t>2008</w:t>
            </w:r>
          </w:p>
        </w:tc>
        <w:tc>
          <w:tcPr>
            <w:tcW w:w="22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2009</w:t>
            </w:r>
          </w:p>
        </w:tc>
        <w:tc>
          <w:tcPr>
            <w:tcW w:w="200" w:type="dxa"/>
            <w:vAlign w:val="bottom"/>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2010</w:t>
            </w:r>
          </w:p>
        </w:tc>
        <w:tc>
          <w:tcPr>
            <w:tcW w:w="22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Thereafter</w:t>
            </w:r>
          </w:p>
        </w:tc>
        <w:tc>
          <w:tcPr>
            <w:tcW w:w="220" w:type="dxa"/>
            <w:vAlign w:val="bottom"/>
          </w:tcPr>
          <w:p>
            <w:pPr>
              <w:spacing w:after="0"/>
              <w:rPr>
                <w:sz w:val="14"/>
                <w:szCs w:val="14"/>
                <w:color w:val="auto"/>
              </w:rPr>
            </w:pPr>
          </w:p>
        </w:tc>
        <w:tc>
          <w:tcPr>
            <w:tcW w:w="4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78"/>
              </w:rPr>
              <w:t>expense</w:t>
            </w:r>
          </w:p>
        </w:tc>
        <w:tc>
          <w:tcPr>
            <w:tcW w:w="60" w:type="dxa"/>
            <w:vAlign w:val="bottom"/>
          </w:tcPr>
          <w:p>
            <w:pPr>
              <w:spacing w:after="0"/>
              <w:rPr>
                <w:sz w:val="14"/>
                <w:szCs w:val="14"/>
                <w:color w:val="auto"/>
              </w:rPr>
            </w:pPr>
          </w:p>
        </w:tc>
      </w:tr>
      <w:tr>
        <w:trPr>
          <w:trHeight w:val="142"/>
        </w:trPr>
        <w:tc>
          <w:tcPr>
            <w:tcW w:w="684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20" w:type="dxa"/>
            <w:vAlign w:val="bottom"/>
            <w:gridSpan w:val="6"/>
          </w:tcPr>
          <w:p>
            <w:pPr>
              <w:ind w:left="40"/>
              <w:spacing w:after="0" w:line="142" w:lineRule="exact"/>
              <w:rPr>
                <w:sz w:val="20"/>
                <w:szCs w:val="20"/>
                <w:color w:val="auto"/>
              </w:rPr>
            </w:pPr>
            <w:r>
              <w:rPr>
                <w:rFonts w:ascii="Arial" w:cs="Arial" w:eastAsia="Arial" w:hAnsi="Arial"/>
                <w:sz w:val="14"/>
                <w:szCs w:val="14"/>
                <w:b w:val="1"/>
                <w:bCs w:val="1"/>
                <w:i w:val="1"/>
                <w:iCs w:val="1"/>
                <w:color w:val="auto"/>
                <w:w w:val="86"/>
              </w:rPr>
              <w:t>(in millions of US dollars)</w:t>
            </w: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Revolving credit facility</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88"/>
              </w:rPr>
              <w:t>—</w:t>
            </w:r>
          </w:p>
        </w:tc>
        <w:tc>
          <w:tcPr>
            <w:tcW w:w="2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ind w:left="6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840" w:type="dxa"/>
            <w:vAlign w:val="bottom"/>
          </w:tcPr>
          <w:p>
            <w:pPr>
              <w:spacing w:after="0"/>
              <w:rPr>
                <w:sz w:val="20"/>
                <w:szCs w:val="20"/>
                <w:color w:val="auto"/>
              </w:rPr>
            </w:pPr>
            <w:r>
              <w:rPr>
                <w:rFonts w:ascii="Arial" w:cs="Arial" w:eastAsia="Arial" w:hAnsi="Arial"/>
                <w:sz w:val="18"/>
                <w:szCs w:val="18"/>
                <w:color w:val="auto"/>
              </w:rPr>
              <w:t>Secured notes and subordinated notes(*)</w:t>
            </w:r>
          </w:p>
        </w:tc>
        <w:tc>
          <w:tcPr>
            <w:tcW w:w="400" w:type="dxa"/>
            <w:vAlign w:val="bottom"/>
          </w:tcPr>
          <w:p>
            <w:pPr>
              <w:jc w:val="right"/>
              <w:spacing w:after="0"/>
              <w:rPr>
                <w:sz w:val="20"/>
                <w:szCs w:val="20"/>
                <w:color w:val="auto"/>
              </w:rPr>
            </w:pPr>
            <w:r>
              <w:rPr>
                <w:rFonts w:ascii="Arial" w:cs="Arial" w:eastAsia="Arial" w:hAnsi="Arial"/>
                <w:sz w:val="18"/>
                <w:szCs w:val="18"/>
                <w:color w:val="auto"/>
                <w:w w:val="84"/>
              </w:rPr>
              <w:t>750.0</w:t>
            </w:r>
          </w:p>
        </w:tc>
        <w:tc>
          <w:tcPr>
            <w:tcW w:w="220" w:type="dxa"/>
            <w:vAlign w:val="bottom"/>
          </w:tcPr>
          <w:p>
            <w:pPr>
              <w:spacing w:after="0"/>
              <w:rPr>
                <w:sz w:val="18"/>
                <w:szCs w:val="18"/>
                <w:color w:val="auto"/>
              </w:rPr>
            </w:pPr>
          </w:p>
        </w:tc>
        <w:tc>
          <w:tcPr>
            <w:tcW w:w="280" w:type="dxa"/>
            <w:vAlign w:val="bottom"/>
          </w:tcPr>
          <w:p>
            <w:pPr>
              <w:jc w:val="right"/>
              <w:ind w:right="19"/>
              <w:spacing w:after="0"/>
              <w:rPr>
                <w:sz w:val="20"/>
                <w:szCs w:val="20"/>
                <w:color w:val="auto"/>
              </w:rPr>
            </w:pPr>
            <w:r>
              <w:rPr>
                <w:rFonts w:ascii="Arial" w:cs="Arial" w:eastAsia="Arial" w:hAnsi="Arial"/>
                <w:sz w:val="18"/>
                <w:szCs w:val="18"/>
                <w:color w:val="auto"/>
                <w:w w:val="88"/>
              </w:rPr>
              <w:t>—</w:t>
            </w:r>
          </w:p>
        </w:tc>
        <w:tc>
          <w:tcPr>
            <w:tcW w:w="200" w:type="dxa"/>
            <w:vAlign w:val="bottom"/>
          </w:tcPr>
          <w:p>
            <w:pPr>
              <w:spacing w:after="0"/>
              <w:rPr>
                <w:sz w:val="18"/>
                <w:szCs w:val="18"/>
                <w:color w:val="auto"/>
              </w:rPr>
            </w:pPr>
          </w:p>
        </w:tc>
        <w:tc>
          <w:tcPr>
            <w:tcW w:w="38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center"/>
              <w:ind w:left="132"/>
              <w:spacing w:after="0"/>
              <w:rPr>
                <w:sz w:val="20"/>
                <w:szCs w:val="20"/>
                <w:color w:val="auto"/>
              </w:rPr>
            </w:pPr>
            <w:r>
              <w:rPr>
                <w:rFonts w:ascii="Arial" w:cs="Arial" w:eastAsia="Arial" w:hAnsi="Arial"/>
                <w:sz w:val="18"/>
                <w:szCs w:val="18"/>
                <w:color w:val="auto"/>
                <w:w w:val="88"/>
              </w:rPr>
              <w:t>750.0</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84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5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12.1</w:t>
            </w:r>
          </w:p>
        </w:tc>
        <w:tc>
          <w:tcPr>
            <w:tcW w:w="74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12.1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12.1</w:t>
            </w:r>
          </w:p>
        </w:tc>
        <w:tc>
          <w:tcPr>
            <w:tcW w:w="2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center"/>
              <w:spacing w:after="0"/>
              <w:rPr>
                <w:sz w:val="20"/>
                <w:szCs w:val="20"/>
                <w:color w:val="auto"/>
              </w:rPr>
            </w:pPr>
            <w:r>
              <w:rPr>
                <w:rFonts w:ascii="Arial" w:cs="Arial" w:eastAsia="Arial" w:hAnsi="Arial"/>
                <w:sz w:val="18"/>
                <w:szCs w:val="18"/>
                <w:color w:val="auto"/>
                <w:w w:val="88"/>
              </w:rPr>
              <w:t>—</w:t>
            </w: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6840" w:type="dxa"/>
            <w:vAlign w:val="bottom"/>
          </w:tcPr>
          <w:p>
            <w:pPr>
              <w:spacing w:after="0"/>
              <w:rPr>
                <w:sz w:val="20"/>
                <w:szCs w:val="20"/>
                <w:color w:val="auto"/>
              </w:rPr>
            </w:pPr>
            <w:r>
              <w:rPr>
                <w:rFonts w:ascii="Arial" w:cs="Arial" w:eastAsia="Arial" w:hAnsi="Arial"/>
                <w:sz w:val="18"/>
                <w:szCs w:val="18"/>
                <w:color w:val="auto"/>
              </w:rPr>
              <w:t>Others</w:t>
            </w:r>
          </w:p>
        </w:tc>
        <w:tc>
          <w:tcPr>
            <w:tcW w:w="400" w:type="dxa"/>
            <w:vAlign w:val="bottom"/>
          </w:tcPr>
          <w:p>
            <w:pPr>
              <w:jc w:val="right"/>
              <w:spacing w:after="0"/>
              <w:rPr>
                <w:sz w:val="20"/>
                <w:szCs w:val="20"/>
                <w:color w:val="auto"/>
              </w:rPr>
            </w:pPr>
            <w:r>
              <w:rPr>
                <w:rFonts w:ascii="Arial" w:cs="Arial" w:eastAsia="Arial" w:hAnsi="Arial"/>
                <w:sz w:val="18"/>
                <w:szCs w:val="18"/>
                <w:color w:val="auto"/>
              </w:rPr>
              <w:t>11.8</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580" w:type="dxa"/>
            <w:vAlign w:val="bottom"/>
            <w:gridSpan w:val="3"/>
          </w:tcPr>
          <w:p>
            <w:pPr>
              <w:jc w:val="right"/>
              <w:ind w:right="60"/>
              <w:spacing w:after="0"/>
              <w:rPr>
                <w:sz w:val="20"/>
                <w:szCs w:val="20"/>
                <w:color w:val="auto"/>
              </w:rPr>
            </w:pPr>
            <w:r>
              <w:rPr>
                <w:rFonts w:ascii="Arial" w:cs="Arial" w:eastAsia="Arial" w:hAnsi="Arial"/>
                <w:sz w:val="18"/>
                <w:szCs w:val="18"/>
                <w:color w:val="auto"/>
              </w:rPr>
              <w:t>5.4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220" w:type="dxa"/>
            <w:vAlign w:val="bottom"/>
          </w:tcPr>
          <w:p>
            <w:pPr>
              <w:spacing w:after="0"/>
              <w:rPr>
                <w:sz w:val="19"/>
                <w:szCs w:val="19"/>
                <w:color w:val="auto"/>
              </w:rPr>
            </w:pPr>
          </w:p>
        </w:tc>
        <w:tc>
          <w:tcPr>
            <w:tcW w:w="520" w:type="dxa"/>
            <w:vAlign w:val="bottom"/>
            <w:gridSpan w:val="2"/>
          </w:tcPr>
          <w:p>
            <w:pPr>
              <w:ind w:left="40"/>
              <w:spacing w:after="0"/>
              <w:rPr>
                <w:sz w:val="20"/>
                <w:szCs w:val="20"/>
                <w:color w:val="auto"/>
              </w:rPr>
            </w:pPr>
            <w:r>
              <w:rPr>
                <w:rFonts w:ascii="Arial" w:cs="Arial" w:eastAsia="Arial" w:hAnsi="Arial"/>
                <w:sz w:val="18"/>
                <w:szCs w:val="18"/>
                <w:color w:val="auto"/>
              </w:rPr>
              <w:t>—</w:t>
            </w:r>
          </w:p>
        </w:tc>
        <w:tc>
          <w:tcPr>
            <w:tcW w:w="320" w:type="dxa"/>
            <w:vAlign w:val="bottom"/>
          </w:tcPr>
          <w:p>
            <w:pPr>
              <w:ind w:left="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gridSpan w:val="2"/>
          </w:tcPr>
          <w:p>
            <w:pPr>
              <w:jc w:val="center"/>
              <w:spacing w:after="0"/>
              <w:rPr>
                <w:sz w:val="20"/>
                <w:szCs w:val="20"/>
                <w:color w:val="auto"/>
              </w:rPr>
            </w:pPr>
            <w:r>
              <w:rPr>
                <w:rFonts w:ascii="Arial" w:cs="Arial" w:eastAsia="Arial" w:hAnsi="Arial"/>
                <w:sz w:val="18"/>
                <w:szCs w:val="18"/>
                <w:color w:val="auto"/>
                <w:w w:val="88"/>
              </w:rPr>
              <w:t>—</w:t>
            </w: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hanging="452"/>
        <w:spacing w:after="0"/>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Excludes interest obligations on notes.</w:t>
      </w:r>
    </w:p>
    <w:p>
      <w:pPr>
        <w:spacing w:after="0" w:line="171" w:lineRule="exact"/>
        <w:rPr>
          <w:sz w:val="20"/>
          <w:szCs w:val="20"/>
          <w:color w:val="auto"/>
        </w:rPr>
      </w:pPr>
    </w:p>
    <w:p>
      <w:pPr>
        <w:jc w:val="both"/>
        <w:ind w:right="100" w:firstLine="456"/>
        <w:spacing w:after="0" w:line="235" w:lineRule="auto"/>
        <w:rPr>
          <w:sz w:val="20"/>
          <w:szCs w:val="20"/>
          <w:color w:val="auto"/>
        </w:rPr>
      </w:pPr>
      <w:r>
        <w:rPr>
          <w:rFonts w:ascii="Arial" w:cs="Arial" w:eastAsia="Arial" w:hAnsi="Arial"/>
          <w:sz w:val="18"/>
          <w:szCs w:val="18"/>
          <w:color w:val="auto"/>
        </w:rPr>
        <w:t xml:space="preserve">The Floating Rate Second Priority Senior Secured Notes of $300 million and Second Priority Senior Secured Notes of $200 million mature in 2011, while the Senior Subordinated Notes of $250 million mature in 2014. Interest rates are 3 month LIBOR + 3.25%, 6 </w:t>
      </w:r>
      <w:r>
        <w:rPr>
          <w:rFonts w:ascii="Arial" w:cs="Arial" w:eastAsia="Arial" w:hAnsi="Arial"/>
          <w:sz w:val="22"/>
          <w:szCs w:val="22"/>
          <w:color w:val="auto"/>
          <w:vertAlign w:val="superscript"/>
        </w:rPr>
        <w:t>7</w:t>
      </w:r>
      <w:r>
        <w:rPr>
          <w:rFonts w:ascii="Arial" w:cs="Arial" w:eastAsia="Arial" w:hAnsi="Arial"/>
          <w:sz w:val="18"/>
          <w:szCs w:val="18"/>
          <w:color w:val="auto"/>
        </w:rPr>
        <w:t>/8% and 8%, respectively. These notes will be paid in full upon maturity.</w:t>
      </w:r>
    </w:p>
    <w:p>
      <w:pPr>
        <w:spacing w:after="0" w:line="15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Each indenture governing the notes contains covenants that limit the ability of the Company and its subsidiaries to (i) incur additional indebtedness, (ii) pay dividends or make other distributions on its capital stock or repurchase, repay or redeem its capital stock, (iii) make certain investments, (iv) incur liens, (v) enter into certain types of transactions with affiliates, (vi) create restrictions on the payment of dividends or other amounts to the Company by its subsidiaries, and (vii) sell all or substantially all of its assets or merge with or into other companies.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Unit-based Compensation Expense</w:t>
      </w:r>
    </w:p>
    <w:p>
      <w:pPr>
        <w:spacing w:after="0" w:line="96" w:lineRule="exact"/>
        <w:rPr>
          <w:sz w:val="20"/>
          <w:szCs w:val="20"/>
          <w:color w:val="auto"/>
        </w:rPr>
      </w:pPr>
    </w:p>
    <w:p>
      <w:pPr>
        <w:ind w:right="160" w:firstLine="456"/>
        <w:spacing w:after="0" w:line="291" w:lineRule="auto"/>
        <w:rPr>
          <w:sz w:val="20"/>
          <w:szCs w:val="20"/>
          <w:color w:val="auto"/>
        </w:rPr>
      </w:pPr>
      <w:r>
        <w:rPr>
          <w:rFonts w:ascii="Arial" w:cs="Arial" w:eastAsia="Arial" w:hAnsi="Arial"/>
          <w:sz w:val="16"/>
          <w:szCs w:val="16"/>
          <w:color w:val="auto"/>
        </w:rPr>
        <w:t xml:space="preserve">Effective January 1, 2006, the Company adopted SFAS 123(R), </w:t>
      </w:r>
      <w:r>
        <w:rPr>
          <w:rFonts w:ascii="Arial" w:cs="Arial" w:eastAsia="Arial" w:hAnsi="Arial"/>
          <w:sz w:val="16"/>
          <w:szCs w:val="16"/>
          <w:i w:val="1"/>
          <w:iCs w:val="1"/>
          <w:color w:val="auto"/>
        </w:rPr>
        <w:t>Share-Based Payment (revised 2004).</w:t>
      </w:r>
      <w:r>
        <w:rPr>
          <w:rFonts w:ascii="Arial" w:cs="Arial" w:eastAsia="Arial" w:hAnsi="Arial"/>
          <w:sz w:val="16"/>
          <w:szCs w:val="16"/>
          <w:color w:val="auto"/>
        </w:rPr>
        <w:t xml:space="preserve"> As the Company elected to use the modified prospective application method, no restatement was made to our consolidated statements of operations for prior interim periods or fiscal years. Under SFAS 123(R), the Company is required to measure compensation costs for all unit-based awards at fair value on the date of grant and recognize associated compensation expense over the grantee’s requisite service period. As permitted under SFAS No. 123(R), the Company elected to recognize compensation expenses for all options with graded vesting using a graded attrition method. Total compensation expense for the Company’s unit options during the first quarter of 2006 was $74 thousand. Total pro forma compensation expense during the prior year quarter was $134 thousand.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96" w:lineRule="exact"/>
        <w:rPr>
          <w:sz w:val="20"/>
          <w:szCs w:val="20"/>
          <w:color w:val="auto"/>
        </w:rPr>
      </w:pPr>
    </w:p>
    <w:p>
      <w:pPr>
        <w:ind w:right="260" w:firstLine="456"/>
        <w:spacing w:after="0" w:line="298" w:lineRule="auto"/>
        <w:rPr>
          <w:sz w:val="20"/>
          <w:szCs w:val="20"/>
          <w:color w:val="auto"/>
        </w:rPr>
      </w:pPr>
      <w:r>
        <w:rPr>
          <w:rFonts w:ascii="Arial" w:cs="Arial" w:eastAsia="Arial" w:hAnsi="Arial"/>
          <w:sz w:val="16"/>
          <w:szCs w:val="16"/>
          <w:color w:val="auto"/>
        </w:rPr>
        <w:t>On December 23, 2004, two of the Company’s subsidiaries, MagnaChip Semiconductor S.A. and MagnaChip Semiconductor Finance Company entered into a senior credit agreement with a syndicate of banks, financial institutions and other entities providing for a $100 million senior secured revolving credit facility. The undrawn portion of such senior secured credit line as of April 2, 2006 and December 31, 2005 were $85.9 million and $83.0 million, respectively. The utilized portions of the credit line are related to the issuance of letters of credit rather than cash drawdowns.</w:t>
      </w:r>
    </w:p>
    <w:p>
      <w:pPr>
        <w:spacing w:after="0" w:line="11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Other than the senior credit facility, there are no material off-balance sheet arrangements that have or are reasonably likely to have a current or future effect on our financial condition, changes in financial condition, revenues or expenses, results of operations, liquidity, capital expenditures or capital resources that is material to investors.</w:t>
      </w:r>
    </w:p>
    <w:p>
      <w:pPr>
        <w:spacing w:after="0" w:line="21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Recent accounting pronouncements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In February 2006, the FASB issued Statements of Financial Accounting Standards (“SFAS”) No. 155, </w:t>
      </w:r>
      <w:r>
        <w:rPr>
          <w:rFonts w:ascii="Arial" w:cs="Arial" w:eastAsia="Arial" w:hAnsi="Arial"/>
          <w:sz w:val="16"/>
          <w:szCs w:val="16"/>
          <w:i w:val="1"/>
          <w:iCs w:val="1"/>
          <w:color w:val="auto"/>
        </w:rPr>
        <w:t>Accounting for Certain Hybrid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Instruments – an amendment of FASB Statements No. 133 and 140. </w:t>
      </w:r>
      <w:r>
        <w:rPr>
          <w:rFonts w:ascii="Arial" w:cs="Arial" w:eastAsia="Arial" w:hAnsi="Arial"/>
          <w:sz w:val="16"/>
          <w:szCs w:val="16"/>
          <w:color w:val="auto"/>
        </w:rPr>
        <w:t>This Statement amends SFAS No. 133 and SFAS No. 140, and improves the financial</w:t>
      </w:r>
      <w:r>
        <w:rPr>
          <w:rFonts w:ascii="Arial" w:cs="Arial" w:eastAsia="Arial" w:hAnsi="Arial"/>
          <w:sz w:val="16"/>
          <w:szCs w:val="16"/>
          <w:i w:val="1"/>
          <w:iCs w:val="1"/>
          <w:color w:val="auto"/>
        </w:rPr>
        <w:t xml:space="preserve"> </w:t>
      </w:r>
      <w:r>
        <w:rPr>
          <w:rFonts w:ascii="Arial" w:cs="Arial" w:eastAsia="Arial" w:hAnsi="Arial"/>
          <w:sz w:val="16"/>
          <w:szCs w:val="16"/>
          <w:color w:val="auto"/>
        </w:rPr>
        <w:t>reporting of certain hybrid financial instruments by requiring more consistent accounting. Specifically, this Statement allows fair value remeasurement for any hybrid financial instrument that contains an embedded derivative that otherwise would require bifurcation. This Statement is effective for all financial instruments acquired or issued after the beginning of an entity’s first fiscal year that begins after September 15, 2006. The Company does not expect that adoption of this Statement will have a material impact on its financial statements.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In May 2005, the FASB issued SFAS 154, </w:t>
      </w:r>
      <w:r>
        <w:rPr>
          <w:rFonts w:ascii="Arial" w:cs="Arial" w:eastAsia="Arial" w:hAnsi="Arial"/>
          <w:sz w:val="16"/>
          <w:szCs w:val="16"/>
          <w:i w:val="1"/>
          <w:iCs w:val="1"/>
          <w:color w:val="auto"/>
        </w:rPr>
        <w:t>Accounting Changes and Error Corrections</w:t>
      </w:r>
      <w:r>
        <w:rPr>
          <w:rFonts w:ascii="Arial" w:cs="Arial" w:eastAsia="Arial" w:hAnsi="Arial"/>
          <w:sz w:val="16"/>
          <w:szCs w:val="16"/>
          <w:color w:val="auto"/>
        </w:rPr>
        <w:t xml:space="preserve">—a replacement of APB Opinion No. 20 and FASB Statement No. 3. This Statement supersedes APB Opinion No. 20, </w:t>
      </w:r>
      <w:r>
        <w:rPr>
          <w:rFonts w:ascii="Arial" w:cs="Arial" w:eastAsia="Arial" w:hAnsi="Arial"/>
          <w:sz w:val="16"/>
          <w:szCs w:val="16"/>
          <w:i w:val="1"/>
          <w:iCs w:val="1"/>
          <w:color w:val="auto"/>
        </w:rPr>
        <w:t>Accounting Changes</w:t>
      </w:r>
      <w:r>
        <w:rPr>
          <w:rFonts w:ascii="Arial" w:cs="Arial" w:eastAsia="Arial" w:hAnsi="Arial"/>
          <w:sz w:val="16"/>
          <w:szCs w:val="16"/>
          <w:color w:val="auto"/>
        </w:rPr>
        <w:t xml:space="preserve"> and FASB Statement No. 3, </w:t>
      </w:r>
      <w:r>
        <w:rPr>
          <w:rFonts w:ascii="Arial" w:cs="Arial" w:eastAsia="Arial" w:hAnsi="Arial"/>
          <w:sz w:val="16"/>
          <w:szCs w:val="16"/>
          <w:i w:val="1"/>
          <w:iCs w:val="1"/>
          <w:color w:val="auto"/>
        </w:rPr>
        <w:t>Reporting Accounting Changes in Interim Financial</w:t>
      </w:r>
      <w:r>
        <w:rPr>
          <w:rFonts w:ascii="Arial" w:cs="Arial" w:eastAsia="Arial" w:hAnsi="Arial"/>
          <w:sz w:val="16"/>
          <w:szCs w:val="16"/>
          <w:color w:val="auto"/>
        </w:rPr>
        <w:t xml:space="preserve"> </w:t>
      </w:r>
      <w:r>
        <w:rPr>
          <w:rFonts w:ascii="Arial" w:cs="Arial" w:eastAsia="Arial" w:hAnsi="Arial"/>
          <w:sz w:val="16"/>
          <w:szCs w:val="16"/>
          <w:i w:val="1"/>
          <w:iCs w:val="1"/>
          <w:color w:val="auto"/>
        </w:rPr>
        <w:t>Statements</w:t>
      </w:r>
      <w:r>
        <w:rPr>
          <w:rFonts w:ascii="Arial" w:cs="Arial" w:eastAsia="Arial" w:hAnsi="Arial"/>
          <w:sz w:val="16"/>
          <w:szCs w:val="16"/>
          <w:color w:val="auto"/>
        </w:rPr>
        <w:t>, and changes the requirements for the accounting and reporting for a change in accounting principle. This statement requires retrospective application</w:t>
      </w:r>
      <w:r>
        <w:rPr>
          <w:rFonts w:ascii="Arial" w:cs="Arial" w:eastAsia="Arial" w:hAnsi="Arial"/>
          <w:sz w:val="16"/>
          <w:szCs w:val="16"/>
          <w:i w:val="1"/>
          <w:iCs w:val="1"/>
          <w:color w:val="auto"/>
        </w:rPr>
        <w:t xml:space="preserve"> </w:t>
      </w:r>
      <w:r>
        <w:rPr>
          <w:rFonts w:ascii="Arial" w:cs="Arial" w:eastAsia="Arial" w:hAnsi="Arial"/>
          <w:sz w:val="16"/>
          <w:szCs w:val="16"/>
          <w:color w:val="auto"/>
        </w:rPr>
        <w:t>to prior periods’ financial statements of changes in accounting principle, unless it is impracticable to determine either the period-specific effects or the cumulative effect of the change. This standard is effective for accounting changes and corrections of errors made in fiscal years beginning after December 15, 2005. The adoption of this standard has no impact on our financial statements.</w:t>
      </w:r>
    </w:p>
    <w:p>
      <w:pPr>
        <w:spacing w:after="0" w:line="120"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In March 2005, the SEC issued SAB 107, which offers guidance on SFAS No. 123(R). SAB 107 was issued to assist preparers by simplifying some of the implementation challenges of SFAS No. 123(R) while enhancing the information that investors receive. SAB 107 creates a framework that is premised on two overarching themes: (a) considerable judgment will be required by preparers to successfully implement FAS No. 123(R), specifically when valuing employee stock options; and (b) reasonable individuals, acting in good faith, may conclude differently on the fair value of employee stock options. Key topics covered by SAB 107 include valuation models, expected volatility and expected term.</w:t>
      </w:r>
    </w:p>
    <w:p>
      <w:pPr>
        <w:spacing w:after="0" w:line="116"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 xml:space="preserve">In December 2004, the FASB issued SFAS 123(R), </w:t>
      </w:r>
      <w:r>
        <w:rPr>
          <w:rFonts w:ascii="Arial" w:cs="Arial" w:eastAsia="Arial" w:hAnsi="Arial"/>
          <w:sz w:val="16"/>
          <w:szCs w:val="16"/>
          <w:i w:val="1"/>
          <w:iCs w:val="1"/>
          <w:color w:val="auto"/>
        </w:rPr>
        <w:t>Share-Based Payment (revised 2004)</w:t>
      </w:r>
      <w:r>
        <w:rPr>
          <w:rFonts w:ascii="Arial" w:cs="Arial" w:eastAsia="Arial" w:hAnsi="Arial"/>
          <w:sz w:val="16"/>
          <w:szCs w:val="16"/>
          <w:color w:val="auto"/>
        </w:rPr>
        <w:t>. This revision affects current practice in a number of ways, including the elimination of the alternative to use the intrinsic value method of accounting from Accounting Principles Board (“APB”) Opinion No. 25 that was provided in FASB Statement No.123 as originally issued. Pursuant to this statement, companies are required to record stock option expenses in its financial statements based on a fair value methodology. This statement became effective and impacted the Company on January 1, 2006. The Company has determined there are no material impacts on its financial statements as a result of the adoption of this FASB Statement.</w:t>
      </w:r>
    </w:p>
    <w:p>
      <w:pPr>
        <w:spacing w:after="0" w:line="116" w:lineRule="exact"/>
        <w:rPr>
          <w:sz w:val="20"/>
          <w:szCs w:val="20"/>
          <w:color w:val="auto"/>
        </w:rPr>
      </w:pPr>
    </w:p>
    <w:p>
      <w:pPr>
        <w:ind w:right="260" w:firstLine="456"/>
        <w:spacing w:after="0" w:line="255" w:lineRule="auto"/>
        <w:rPr>
          <w:sz w:val="20"/>
          <w:szCs w:val="20"/>
          <w:color w:val="auto"/>
        </w:rPr>
      </w:pPr>
      <w:r>
        <w:rPr>
          <w:rFonts w:ascii="Arial" w:cs="Arial" w:eastAsia="Arial" w:hAnsi="Arial"/>
          <w:sz w:val="18"/>
          <w:szCs w:val="18"/>
          <w:color w:val="auto"/>
        </w:rPr>
        <w:t xml:space="preserve">In November 2004, the FASB issued SFAS No. 151, </w:t>
      </w:r>
      <w:r>
        <w:rPr>
          <w:rFonts w:ascii="Arial" w:cs="Arial" w:eastAsia="Arial" w:hAnsi="Arial"/>
          <w:sz w:val="18"/>
          <w:szCs w:val="18"/>
          <w:i w:val="1"/>
          <w:iCs w:val="1"/>
          <w:color w:val="auto"/>
        </w:rPr>
        <w:t>Inventory Costs,</w:t>
      </w:r>
      <w:r>
        <w:rPr>
          <w:rFonts w:ascii="Arial" w:cs="Arial" w:eastAsia="Arial" w:hAnsi="Arial"/>
          <w:sz w:val="18"/>
          <w:szCs w:val="18"/>
          <w:color w:val="auto"/>
        </w:rPr>
        <w:t xml:space="preserve"> an amendment of ARB No. 43, Chapter 4. This Statement amends the guidance in Accounting Research Bulletin (“ARB”) No. 43, Chapter 4, </w:t>
      </w:r>
      <w:r>
        <w:rPr>
          <w:rFonts w:ascii="Arial" w:cs="Arial" w:eastAsia="Arial" w:hAnsi="Arial"/>
          <w:sz w:val="18"/>
          <w:szCs w:val="18"/>
          <w:i w:val="1"/>
          <w:iCs w:val="1"/>
          <w:color w:val="auto"/>
        </w:rPr>
        <w:t>Inventory Pricing</w:t>
      </w:r>
      <w:r>
        <w:rPr>
          <w:rFonts w:ascii="Arial" w:cs="Arial" w:eastAsia="Arial" w:hAnsi="Arial"/>
          <w:sz w:val="18"/>
          <w:szCs w:val="18"/>
          <w:color w:val="auto"/>
        </w:rPr>
        <w:t>, to clarify the accounting for abnormal amounts of idle facility expense, freight, handling costs, and wasted material (spoilage), and requires that allocation of fixed production overheads to the costs of conversion be based on the normal capacity of the production facilities. The effective date for the Company was January 1, 2005, and there was no material impact on its financial statements resulting from this FASB Statement.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preparation of financial statements and related disclosures in conformity with U.S. GAAP requires our management to make significant judgments and estimates that affect our financial position and results of operations.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9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Our revenue is derived from the sale of semiconductor products we design and the manufacture of semiconductor wafers for third parties. We recognize revenue when persuasive evidence of an arrangement exists, the product has been delivered and title and risk of loss have transferred, the price is fixed and determinable, and collection of resulting receivables is reasonably assured. For certain distributors, standard products are sold to the distributors without rights to return products or stock rotation or price protection rights. We recognize revenue on shipment to the distributor or drop shipment to the end customer. Specialty foundry services are performed pursuant to manufacturing agreements and purchase orders. Standard products are shipped and sold based upon purchase orders from customers. All amounts billed to a customer related to shipping and handling are classified as sales, while all costs incurred by us for shipping and handling are classified as expenses. We currently manufacture a substantial portion of our products internally at our five wafer fabrication facilities. In the future, we expect to rely, to some extent, on outside wafer foundries for additional capacity and advanced technologies.</w:t>
      </w:r>
    </w:p>
    <w:p>
      <w:pPr>
        <w:spacing w:after="0" w:line="118"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We maintain allowances for doubtful accounts for estimated losses resulting from the inability of our customers to make payment. If the financial condition of our customers were to deteriorate, additional allowances may be required. The establishment of reserves for sales discounts is based on management judgment that requires significant estimates of a variety of factors, including forecasted demand, returns and industry pricing assumptions. We record warranty liabilities for the estimated costs that may be incurred under our limited warranty. This warranty covers product defects based on compliance to our specifications and is normally applicable for twelve months from the date of purchase. These liabilities are recorded when related revenue is recognized. Warranty costs include the costs to replace the defective product. Factors that affect our warranty liability include the historical and anticipated rate of warranty claims on those repairs and the cost per claim to</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45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satisfy our warranty obligations. As these factors are impacted by actual experience and future expectations, we periodically assess the adequacy of our recorded warranty liabilities and adjust the amounts as necessary.</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Inventory Valuation</w:t>
      </w:r>
    </w:p>
    <w:p>
      <w:pPr>
        <w:spacing w:after="0" w:line="90"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Inventories are stated at the lower of cost or market, using the average cost method, which approximates the first in, first out method. If net realizable value is less than cost at the balance sheet date, the carrying amount is reduced to the realizable value, and the difference is recognized as a loss on valuation of inventories under cost of sales. We estimate the net realizable value for such finished goods and work-in-progress based on current invoice prices. Inventory reserves are established when conditions indicate that the net realizable value is less than cost due to physical deterioration, obsolescence, changes in price levels, or other causes. Reserves are also established for excess inventory based on inventory levels in excess of six months of projected demand, as judged by management, for each specific product.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Useful Lives of Tangible and Intangible Assets</w:t>
      </w:r>
    </w:p>
    <w:p>
      <w:pPr>
        <w:spacing w:after="0" w:line="9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Property, plant and equipment are stated at cost, less accumulated depreciation. Depreciation is computed using the straight-line method over the estimated useful lives of the assets. Buildings and related structures are depreciated over the 10 to 40 year periods. Machinery, equipment and other assets including vehicles are depreciated over the estimated useful lives ranging 5 to 10 years.</w:t>
      </w:r>
    </w:p>
    <w:p>
      <w:pPr>
        <w:spacing w:after="0" w:line="14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Our intellectual property assets represent rights under patents, trademarks and property use rights and are amortized over the periods of benefit, ranging up to 10 years, on a straight-line basis.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The Company reviews property, plant and equipment and other long-lived assets for impairment whenever events or changes in circumstances indicate that the carrying amount may not be recoverable. Recoverability is measured by comparison of its carrying amount with the future net cash flows the assets are expected to generate. If such assets are considered to be impaired, the impaired amount is measured as the amount by which the carrying amount of the asset exceeds the present value of the future net cash flows generated by the respective long-lived assets. The Company performs reviews for possible impairment of its wafer fabrication facilities and related asset group.</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90"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 xml:space="preserve">We account for income taxes in accordance with SFAS No. 109, </w:t>
      </w:r>
      <w:r>
        <w:rPr>
          <w:rFonts w:ascii="Arial" w:cs="Arial" w:eastAsia="Arial" w:hAnsi="Arial"/>
          <w:sz w:val="18"/>
          <w:szCs w:val="18"/>
          <w:i w:val="1"/>
          <w:iCs w:val="1"/>
          <w:color w:val="auto"/>
        </w:rPr>
        <w:t>Accounting for Income Taxes</w:t>
      </w:r>
      <w:r>
        <w:rPr>
          <w:rFonts w:ascii="Arial" w:cs="Arial" w:eastAsia="Arial" w:hAnsi="Arial"/>
          <w:sz w:val="18"/>
          <w:szCs w:val="18"/>
          <w:color w:val="auto"/>
        </w:rPr>
        <w:t>. SFAS No. 109 requires recognition of deferred tax assets and liabilities for the expected future tax consequences of events that have been recognized in a company’s financial statements or tax returns. Under this method, deferred tax assets and liabilities are determined based on the difference between the financial statement carrying amounts and the tax bases of assets and liabilities using enacted tax rates in effect in the years in which the differences are expected to reverse. Valuation allowances are established when necessary to reduce deferred tax assets to the amount expected to be realized. Income tax expense is the tax payable for the period and the change during the period in deferred tax assets and liabilities.</w:t>
      </w:r>
    </w:p>
    <w:p>
      <w:pPr>
        <w:spacing w:after="0" w:line="144" w:lineRule="exact"/>
        <w:rPr>
          <w:sz w:val="20"/>
          <w:szCs w:val="20"/>
          <w:color w:val="auto"/>
        </w:rPr>
      </w:pPr>
    </w:p>
    <w:p>
      <w:pPr>
        <w:jc w:val="both"/>
        <w:ind w:right="200" w:firstLine="456"/>
        <w:spacing w:after="0" w:line="306" w:lineRule="auto"/>
        <w:rPr>
          <w:sz w:val="20"/>
          <w:szCs w:val="20"/>
          <w:color w:val="auto"/>
        </w:rPr>
      </w:pPr>
      <w:r>
        <w:rPr>
          <w:rFonts w:ascii="Arial" w:cs="Arial" w:eastAsia="Arial" w:hAnsi="Arial"/>
          <w:sz w:val="16"/>
          <w:szCs w:val="16"/>
          <w:color w:val="auto"/>
        </w:rPr>
        <w:t>We established valuation allowances for deferred tax assets at most of our subsidiaries since, other than with respect to one particular subsidiary, it is not probable that a majority of the deferred tax assets will be realizable. The valuation allowance at this particular subsidiary was not set up since it is expected that the deferred tax assets at this subsidiary will be deemed realizable based on the current prospects for its future taxable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Unit-based Compensation</w:t>
      </w:r>
    </w:p>
    <w:p>
      <w:pPr>
        <w:spacing w:after="0" w:line="90" w:lineRule="exact"/>
        <w:rPr>
          <w:sz w:val="20"/>
          <w:szCs w:val="20"/>
          <w:color w:val="auto"/>
        </w:rPr>
      </w:pPr>
    </w:p>
    <w:p>
      <w:pPr>
        <w:ind w:right="120" w:firstLine="456"/>
        <w:spacing w:after="0" w:line="254" w:lineRule="auto"/>
        <w:rPr>
          <w:sz w:val="20"/>
          <w:szCs w:val="20"/>
          <w:color w:val="auto"/>
        </w:rPr>
      </w:pPr>
      <w:r>
        <w:rPr>
          <w:rFonts w:ascii="Arial" w:cs="Arial" w:eastAsia="Arial" w:hAnsi="Arial"/>
          <w:sz w:val="18"/>
          <w:szCs w:val="18"/>
          <w:color w:val="auto"/>
        </w:rPr>
        <w:t>In 2006, we adopted SFAS No. 123(R) using the modified prospective application method and began to account for unit-based compensation based on a fair value method. Under the provision of SFAS No. 123(R), unit-based compensation cost is estimated at the grant date based on the fair-value of the award and is recognized as expense over the requisite service period of the award. Consistent with prior-period pro forma presentation under SFAS No. 123, we use the Black-Scholes option pricing model to value options. In developing assumptions for fair value calculation under SFAS No. 123(R), we use estimates based on historical data and market information. A small change in the assumptions used in the estimate can cause a relatively significant change in the fair value calculation.</w:t>
      </w:r>
    </w:p>
    <w:p>
      <w:pPr>
        <w:spacing w:after="0" w:line="144"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The valuation of our common unit is based on an independent appraisal from a third party and updated reflecting the changes in our financial results and prospects. Determination of the fair value of our common units involves complex and subjective judgments. If we make different judgment or adopt different assumptions, material differences could result in the timing and amount of the unit-based compensation expenses recorded because the estimated fair value of the underlying units for the options granted would be different.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 and Litigation</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are subject to the possibility of losses from various contingencies. Considerable judgment is necessary to estimate the probability and amount of any loss from such contingencies. An accrual is made when it is probable that a liability has been incurred or an asset has been impaired and the amount of loss can be reasonably estimated. In such case, we accrue a liability and charge operations for the estimated costs of adjudication or settlement of the applicable asserted and unasserted claims existing as of the balance sheet date.</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459" w:right="25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96" w:lineRule="exact"/>
        <w:rPr>
          <w:sz w:val="20"/>
          <w:szCs w:val="20"/>
          <w:color w:val="auto"/>
        </w:rPr>
      </w:pPr>
    </w:p>
    <w:p>
      <w:pPr>
        <w:ind w:right="180" w:firstLine="456"/>
        <w:spacing w:after="0" w:line="259" w:lineRule="auto"/>
        <w:rPr>
          <w:sz w:val="20"/>
          <w:szCs w:val="20"/>
          <w:color w:val="auto"/>
        </w:rPr>
      </w:pPr>
      <w:r>
        <w:rPr>
          <w:rFonts w:ascii="Arial" w:cs="Arial" w:eastAsia="Arial" w:hAnsi="Arial"/>
          <w:sz w:val="18"/>
          <w:szCs w:val="18"/>
          <w:color w:val="auto"/>
        </w:rPr>
        <w:t>Market risk is the risk that the value of a financial instrument will fluctuate due to changes in market conditions, including changes in interest rates and foreign exchange rates. In the normal course of our business, we are subject to market risk associated with interest rate movements and currency movements on our assets and liabilities.</w:t>
      </w:r>
    </w:p>
    <w:p>
      <w:pPr>
        <w:spacing w:after="0" w:line="14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i w:val="1"/>
          <w:iCs w:val="1"/>
          <w:color w:val="auto"/>
        </w:rPr>
        <w:t xml:space="preserve">Foreign Currency Risk. </w:t>
      </w:r>
      <w:r>
        <w:rPr>
          <w:rFonts w:ascii="Arial" w:cs="Arial" w:eastAsia="Arial" w:hAnsi="Arial"/>
          <w:sz w:val="18"/>
          <w:szCs w:val="18"/>
          <w:color w:val="auto"/>
        </w:rPr>
        <w:t>We have exposure to foreign currency exchange-rate fluctuations on net income from our subsidiaries denominated in currencies</w:t>
      </w:r>
      <w:r>
        <w:rPr>
          <w:rFonts w:ascii="Arial" w:cs="Arial" w:eastAsia="Arial" w:hAnsi="Arial"/>
          <w:sz w:val="18"/>
          <w:szCs w:val="18"/>
          <w:i w:val="1"/>
          <w:iCs w:val="1"/>
          <w:color w:val="auto"/>
        </w:rPr>
        <w:t xml:space="preserve"> </w:t>
      </w:r>
      <w:r>
        <w:rPr>
          <w:rFonts w:ascii="Arial" w:cs="Arial" w:eastAsia="Arial" w:hAnsi="Arial"/>
          <w:sz w:val="18"/>
          <w:szCs w:val="18"/>
          <w:color w:val="auto"/>
        </w:rPr>
        <w:t>other than U.S. dollars, as our foreign subsidiaries in Korea, Taiwan, China, Japan and Hong Kong use local currency as their functional currency. From time to time these subsidiaries have cash and financial instruments in local currency. The amounts held in Japan, Taiwan, Hong Kong and China are not material in regards to foreign currency movements. However, based on the cash and financial instruments balance at April 2, 2006 for our Korean subsidiary, a 10% devaluation of the Korean Won against the U.S. dollar would have resulted in a decrease of $5.0 million in our U.S. dollar financial instruments balance and cash balance.</w:t>
      </w:r>
    </w:p>
    <w:p>
      <w:pPr>
        <w:spacing w:after="0" w:line="144" w:lineRule="exact"/>
        <w:rPr>
          <w:sz w:val="20"/>
          <w:szCs w:val="20"/>
          <w:color w:val="auto"/>
        </w:rPr>
      </w:pPr>
    </w:p>
    <w:p>
      <w:pPr>
        <w:ind w:firstLine="456"/>
        <w:spacing w:after="0" w:line="241" w:lineRule="auto"/>
        <w:rPr>
          <w:sz w:val="20"/>
          <w:szCs w:val="20"/>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$200 million 6</w:t>
      </w:r>
      <w:r>
        <w:rPr>
          <w:rFonts w:ascii="Arial" w:cs="Arial" w:eastAsia="Arial" w:hAnsi="Arial"/>
          <w:sz w:val="18"/>
          <w:szCs w:val="18"/>
          <w:i w:val="1"/>
          <w:iCs w:val="1"/>
          <w:color w:val="auto"/>
        </w:rPr>
        <w:t xml:space="preserve"> </w:t>
      </w:r>
      <w:r>
        <w:rPr>
          <w:rFonts w:ascii="Arial" w:cs="Arial" w:eastAsia="Arial" w:hAnsi="Arial"/>
          <w:sz w:val="22"/>
          <w:szCs w:val="22"/>
          <w:color w:val="auto"/>
          <w:vertAlign w:val="superscript"/>
        </w:rPr>
        <w:t>7</w:t>
      </w:r>
      <w:r>
        <w:rPr>
          <w:rFonts w:ascii="Arial" w:cs="Arial" w:eastAsia="Arial" w:hAnsi="Arial"/>
          <w:sz w:val="18"/>
          <w:szCs w:val="18"/>
          <w:color w:val="auto"/>
        </w:rPr>
        <w:t>/8% Second Priority Senior Secured Notes due 2011 and the $250 million 8% Senior Subordinated Notes due 2014</w:t>
      </w:r>
      <w:r>
        <w:rPr>
          <w:rFonts w:ascii="Arial" w:cs="Arial" w:eastAsia="Arial" w:hAnsi="Arial"/>
          <w:sz w:val="18"/>
          <w:szCs w:val="18"/>
          <w:i w:val="1"/>
          <w:iCs w:val="1"/>
          <w:color w:val="auto"/>
        </w:rPr>
        <w:t xml:space="preserve"> </w:t>
      </w:r>
      <w:r>
        <w:rPr>
          <w:rFonts w:ascii="Arial" w:cs="Arial" w:eastAsia="Arial" w:hAnsi="Arial"/>
          <w:sz w:val="18"/>
          <w:szCs w:val="18"/>
          <w:color w:val="auto"/>
        </w:rPr>
        <w:t>are subject to changes in fair value due to interest rate changes. If the market interest rate had decreased by 10% and all other variables were held constant from their levels at April 2, 2006, we estimate that we would have additional interest expense costs over the market rate of $2.7 million for the three months ended April 2, 2006. . The fair value of these fixed rate notes would have decreased by $9.8 million or increased by $10.2 million with a 10% increase or decrease in the interest rate, respectively.</w:t>
      </w:r>
    </w:p>
    <w:p>
      <w:pPr>
        <w:spacing w:after="0" w:line="157" w:lineRule="exact"/>
        <w:rPr>
          <w:sz w:val="20"/>
          <w:szCs w:val="20"/>
          <w:color w:val="auto"/>
        </w:rPr>
      </w:pPr>
    </w:p>
    <w:p>
      <w:pPr>
        <w:jc w:val="both"/>
        <w:ind w:right="40" w:firstLine="456"/>
        <w:spacing w:after="0" w:line="306" w:lineRule="auto"/>
        <w:rPr>
          <w:sz w:val="20"/>
          <w:szCs w:val="20"/>
          <w:color w:val="auto"/>
        </w:rPr>
      </w:pPr>
      <w:r>
        <w:rPr>
          <w:rFonts w:ascii="Arial" w:cs="Arial" w:eastAsia="Arial" w:hAnsi="Arial"/>
          <w:sz w:val="16"/>
          <w:szCs w:val="16"/>
          <w:i w:val="1"/>
          <w:iCs w:val="1"/>
          <w:color w:val="auto"/>
        </w:rPr>
        <w:t>Cash Flow Interest Rate Risk</w:t>
      </w:r>
      <w:r>
        <w:rPr>
          <w:rFonts w:ascii="Arial" w:cs="Arial" w:eastAsia="Arial" w:hAnsi="Arial"/>
          <w:sz w:val="16"/>
          <w:szCs w:val="16"/>
          <w:color w:val="auto"/>
        </w:rPr>
        <w:t>. In 2005, the Company entered into an interest rate swap agreement to convert the variable interest rate on our Floating Rate</w:t>
      </w:r>
      <w:r>
        <w:rPr>
          <w:rFonts w:ascii="Arial" w:cs="Arial" w:eastAsia="Arial" w:hAnsi="Arial"/>
          <w:sz w:val="16"/>
          <w:szCs w:val="16"/>
          <w:i w:val="1"/>
          <w:iCs w:val="1"/>
          <w:color w:val="auto"/>
        </w:rPr>
        <w:t xml:space="preserve"> </w:t>
      </w:r>
      <w:r>
        <w:rPr>
          <w:rFonts w:ascii="Arial" w:cs="Arial" w:eastAsia="Arial" w:hAnsi="Arial"/>
          <w:sz w:val="16"/>
          <w:szCs w:val="16"/>
          <w:color w:val="auto"/>
        </w:rPr>
        <w:t>Second Priority Senior Secured Notes to a fixed interest rate for the periods to maturity date of June 2008. With this interest rate swap, cash flow interest rate risk was replaced with exposure to interest rate risk. For details, refer to “Note 5. Long-term Borrowings.”</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96"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As required by the Securities Exchange Act of 1934, as amended (the “Exchange Act”), our management, including our Chief Executive Officer (“CEO”) and our Chief Financial Officer (“CFO”), conducted an evaluation of the effectiveness of the design and operation of our disclosure controls and procedures as of the end of the period covered by this report. As defined in Rule 13a-15(e) and 15d-15(e) under the Exchange Act, disclosure controls and procedures are controls and other procedures that we use that are designed to ensure that information required to be disclosed by us in the reports we file or submit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us in the reports we file or submit under the Exchange Act is accumulated and communicated to our management, including our CEO and our CFO, as appropriate, to allow timely decisions regarding required disclosure.</w:t>
      </w:r>
    </w:p>
    <w:p>
      <w:pPr>
        <w:spacing w:after="0" w:line="118"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Based upon that evaluation, our CEO and our CFO concluded that our disclosure controls and procedures were effective as of the end of the period covered by this report.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96" w:lineRule="exact"/>
        <w:rPr>
          <w:sz w:val="20"/>
          <w:szCs w:val="20"/>
          <w:color w:val="auto"/>
        </w:rPr>
      </w:pPr>
    </w:p>
    <w:p>
      <w:pPr>
        <w:ind w:right="340" w:firstLine="456"/>
        <w:spacing w:after="0" w:line="268" w:lineRule="auto"/>
        <w:rPr>
          <w:sz w:val="20"/>
          <w:szCs w:val="20"/>
          <w:color w:val="auto"/>
        </w:rPr>
      </w:pPr>
      <w:r>
        <w:rPr>
          <w:rFonts w:ascii="Arial" w:cs="Arial" w:eastAsia="Arial" w:hAnsi="Arial"/>
          <w:sz w:val="18"/>
          <w:szCs w:val="18"/>
          <w:color w:val="auto"/>
        </w:rPr>
        <w:t>There has been no change in our internal controls over financial reporting during our current fiscal quarter that has materially affected, or is reasonably likely to materially affect, our internal controls over financial reporting.</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459" w:right="25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9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color w:val="auto"/>
        </w:rPr>
        <w:t>Risk Factors</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The cyclical nature of the semiconductor industry may limit our ability to maintain or increase net sales and profit levels during industry downturns.</w:t>
      </w:r>
    </w:p>
    <w:p>
      <w:pPr>
        <w:spacing w:after="0" w:line="119"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The semiconductor industry is highly cyclical and periodically experiences significant economic downturns characterized by diminished product demand, resulting in production overcapacity and excess inventory in the markets we serve, which can result in rapid erosion of average selling prices. The industry has experienced significant downturns, often in connection with, or in anticipation of, maturing product cycles of both semiconductor companies’ and their customers’ products and the decline in general economic conditions.</w:t>
      </w:r>
    </w:p>
    <w:p>
      <w:pPr>
        <w:spacing w:after="0" w:line="14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have experienced these conditions in our business in the past and may experience renewed, and possibly more severe and prolonged, downturns in the future as a result of such cyclical changes. This may reduce our profitability and the value of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Customer demand is difficult to accurately forecast.</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make significant decisions, including determining the levels of business that we will seek and accept, production schedules, component procurement commitments, personnel needs and other resource requirements, based on our estimates of customer requirements. The short-term nature of commitments by many of our customers and the possibility of rapid changes in demand for their products reduces our ability to accurately estimate future customer demand. On occasion, customers may require rapid increases in production, which can challenge our resources and reduce margins. We may not have sufficient capacity at any given time to meet our customers’ increased demand for our product. Conversely, downturns in the semiconductor industry may cause and have caused our customers to significantly reduce the amount of products ordered from us. Because many of our costs and operating expenses are relatively fixed, a reduction in customer demand may decrease our gross margins and operating income.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customers may cancel their orders, change production quantities or delay production.</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generally do not obtain firm, long-term purchase commitments from our customers. Customers may cancel their orders, change production quantities or delay production for a number of reasons. Cancellations, reductions or delays by a significant customer or by a group of customers, which we have experienced as a result of the recent downturn in the semiconductor industry, have adversely affected and may continue to adversely affect our results of operations. In addition, while we do not obtain long-term purchase commitments, we generally agree to the pricing of a particular product for the entire lifecycle of the product, which can extend over a number of years. If we underestimate our costs when determining the pricing, our margins and results of operations would be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significant portion of our sales comes from a relatively limited number of customers.</w:t>
      </w:r>
    </w:p>
    <w:p>
      <w:pPr>
        <w:spacing w:after="0" w:line="96" w:lineRule="exact"/>
        <w:rPr>
          <w:sz w:val="20"/>
          <w:szCs w:val="20"/>
          <w:color w:val="auto"/>
        </w:rPr>
      </w:pPr>
    </w:p>
    <w:p>
      <w:pPr>
        <w:jc w:val="both"/>
        <w:ind w:right="80" w:firstLine="456"/>
        <w:spacing w:after="0" w:line="294" w:lineRule="auto"/>
        <w:rPr>
          <w:sz w:val="20"/>
          <w:szCs w:val="20"/>
          <w:color w:val="auto"/>
        </w:rPr>
      </w:pPr>
      <w:r>
        <w:rPr>
          <w:rFonts w:ascii="Arial" w:cs="Arial" w:eastAsia="Arial" w:hAnsi="Arial"/>
          <w:sz w:val="16"/>
          <w:szCs w:val="16"/>
          <w:color w:val="auto"/>
        </w:rPr>
        <w:t>If we were to lose key customers or if customers cease to place orders for our high volume devices, our financial results will be adversely affected. While we served more than 200 customers in the three-month period ended April 2, 2006, net sales to our 10 largest customers represented approximately 60.4% of our net sales for the period. We had one individual customer and one group of affiliated customers that each represented greater than 10% of our net sales during the three-month period ended April 2, 2006. Significant reductions in sales to any of these customers, the loss of major customers or the curtailment of orders for our high-volume devices within a short period of time would adversely affect our business.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industry is highly competitive.</w:t>
      </w:r>
    </w:p>
    <w:p>
      <w:pPr>
        <w:spacing w:after="0" w:line="9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The semiconductor industry is highly competitive and includes hundreds of companies, a number of which have achieved substantial market share. Current and prospective customers for our products evaluate our capabilities against the merits of our direct competitors. Some of our competitors are well-established as independent companies and have substantially greater market share and manufacturing, financial, research and development and marketing resources than we do. We also compete with emerging companies that are attempting to sell their products in specialized markets, and with the internal capabilities of many of our significant customers. We expect to experience continuing competitive pressures in our markets from existing competitors and new entrants. Any consolidation among our competitors could enhance their product offerings and financial resources, further enhancing their competitive position. Our ability to compete successfully depends on a number of factors, including the following: our ability to offer cost effective products on a timely basis using our technologies; our ability to accurately identify and respond to emerging technological trends and demand for product features and performance characteristics; product introductions by our competitors; our ability to adopt or adapt to emerging industry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standards; and the number and nature of our competitors in a given market. Many of these factors are outside of our control. In the future, our competitors may capture our existing or potential customers and our customers may satisfy more of their requirements internally. As a result, we may experience declining revenues and profits.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decline in average selling prices could decrease our profits.</w:t>
      </w:r>
    </w:p>
    <w:p>
      <w:pPr>
        <w:spacing w:after="0" w:line="96" w:lineRule="exact"/>
        <w:rPr>
          <w:sz w:val="20"/>
          <w:szCs w:val="20"/>
          <w:color w:val="auto"/>
        </w:rPr>
      </w:pPr>
    </w:p>
    <w:p>
      <w:pPr>
        <w:jc w:val="both"/>
        <w:ind w:right="40" w:firstLine="456"/>
        <w:spacing w:after="0" w:line="259" w:lineRule="auto"/>
        <w:rPr>
          <w:sz w:val="20"/>
          <w:szCs w:val="20"/>
          <w:color w:val="auto"/>
        </w:rPr>
      </w:pPr>
      <w:r>
        <w:rPr>
          <w:rFonts w:ascii="Arial" w:cs="Arial" w:eastAsia="Arial" w:hAnsi="Arial"/>
          <w:sz w:val="18"/>
          <w:szCs w:val="18"/>
          <w:color w:val="auto"/>
        </w:rPr>
        <w:t>In the past, our industry has experienced a decline in average selling prices. A decline in average selling prices for our products, if not offset by reductions in the costs of producing such products, would decrease our gross profits and could have a material adverse effect on our business, financial condition and results of operations.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Growth in the consumer electronics and other end markets for our products is an important component in our success.</w:t>
      </w:r>
    </w:p>
    <w:p>
      <w:pPr>
        <w:spacing w:after="0" w:line="96"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Our continued success will depend in part on the growth of various consumer electronics markets and other end markets that use our semiconductors and on general economic growth. To the extent that we cannot offset recessionary periods or periods of reduced growth that may occur in these markets through greater penetration of these markets, our sales may decline and our business, financial condition and results of operations may suffer as a result.</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technological advances for growth.</w:t>
      </w:r>
    </w:p>
    <w:p>
      <w:pPr>
        <w:spacing w:after="0" w:line="96" w:lineRule="exact"/>
        <w:rPr>
          <w:sz w:val="20"/>
          <w:szCs w:val="20"/>
          <w:color w:val="auto"/>
        </w:rPr>
      </w:pPr>
    </w:p>
    <w:p>
      <w:pPr>
        <w:ind w:right="140" w:firstLine="456"/>
        <w:spacing w:after="0" w:line="294" w:lineRule="auto"/>
        <w:rPr>
          <w:sz w:val="20"/>
          <w:szCs w:val="20"/>
          <w:color w:val="auto"/>
        </w:rPr>
      </w:pPr>
      <w:r>
        <w:rPr>
          <w:rFonts w:ascii="Arial" w:cs="Arial" w:eastAsia="Arial" w:hAnsi="Arial"/>
          <w:sz w:val="16"/>
          <w:szCs w:val="16"/>
          <w:color w:val="auto"/>
        </w:rPr>
        <w:t>Our industry is subject to rapid technological change and product obsolescence as customers and competitors create new and innovative products and technologies. Products or technologies developed by other companies may render our products or technologies obsolete or noncompetitive and we may not be able to access leading edge process technologies or to license or otherwise obtain essential intellectual property required by our customers. Our inability to continue identifying new product opportunities, or manufacturing technologically advanced products on a cost-effective basis, may result in decreased revenues and a loss of market share to our competitors.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be able to attract or retain the technical or management employees necessary to remain competitive in our industry.</w:t>
      </w:r>
    </w:p>
    <w:p>
      <w:pPr>
        <w:spacing w:after="0" w:line="96"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We depend on our ability to attract and retain skilled technical and managerial personnel. We could lose the services of, or fail to recruit, skilled personnel, which could hinder our research and product development programs or otherwise have a material adverse effect on our business.</w:t>
      </w:r>
    </w:p>
    <w:p>
      <w:pPr>
        <w:spacing w:after="0" w:line="160" w:lineRule="exact"/>
        <w:rPr>
          <w:sz w:val="20"/>
          <w:szCs w:val="20"/>
          <w:color w:val="auto"/>
        </w:rPr>
      </w:pPr>
    </w:p>
    <w:p>
      <w:pPr>
        <w:ind w:right="840"/>
        <w:spacing w:after="0" w:line="275" w:lineRule="auto"/>
        <w:rPr>
          <w:sz w:val="20"/>
          <w:szCs w:val="20"/>
          <w:color w:val="auto"/>
        </w:rPr>
      </w:pPr>
      <w:r>
        <w:rPr>
          <w:rFonts w:ascii="Arial" w:cs="Arial" w:eastAsia="Arial" w:hAnsi="Arial"/>
          <w:sz w:val="18"/>
          <w:szCs w:val="18"/>
          <w:b w:val="1"/>
          <w:bCs w:val="1"/>
          <w:color w:val="auto"/>
        </w:rPr>
        <w:t>If we encounter future labor problems, we may fail to deliver our products in a timely manner which could adversely affect our revenues and profitability.</w:t>
      </w:r>
    </w:p>
    <w:p>
      <w:pPr>
        <w:spacing w:after="0" w:line="45" w:lineRule="exact"/>
        <w:rPr>
          <w:sz w:val="20"/>
          <w:szCs w:val="20"/>
          <w:color w:val="auto"/>
        </w:rPr>
      </w:pPr>
    </w:p>
    <w:p>
      <w:pPr>
        <w:ind w:right="60" w:firstLine="456"/>
        <w:spacing w:after="0" w:line="335" w:lineRule="auto"/>
        <w:rPr>
          <w:sz w:val="20"/>
          <w:szCs w:val="20"/>
          <w:color w:val="auto"/>
        </w:rPr>
      </w:pPr>
      <w:r>
        <w:rPr>
          <w:rFonts w:ascii="Arial" w:cs="Arial" w:eastAsia="Arial" w:hAnsi="Arial"/>
          <w:sz w:val="15"/>
          <w:szCs w:val="15"/>
          <w:color w:val="auto"/>
        </w:rPr>
        <w:t>As of May 1, 2006, approximately 62% of our employees were represented by the MagnaChip Semiconductor Labor Union, which is a member of the Federation of Korean Metal Workers Trade Unions. We cannot assure you that issues with the labor union and other employees will be resolved favorably for us in the future, that we will not experience significant work stoppages in future years or that we will not record significant charges related to those work stoppages.</w:t>
      </w:r>
    </w:p>
    <w:p>
      <w:pPr>
        <w:spacing w:after="0" w:line="163" w:lineRule="exact"/>
        <w:rPr>
          <w:sz w:val="20"/>
          <w:szCs w:val="20"/>
          <w:color w:val="auto"/>
        </w:rPr>
      </w:pPr>
    </w:p>
    <w:p>
      <w:pPr>
        <w:ind w:right="340"/>
        <w:spacing w:after="0" w:line="275" w:lineRule="auto"/>
        <w:rPr>
          <w:sz w:val="20"/>
          <w:szCs w:val="20"/>
          <w:color w:val="auto"/>
        </w:rPr>
      </w:pPr>
      <w:r>
        <w:rPr>
          <w:rFonts w:ascii="Arial" w:cs="Arial" w:eastAsia="Arial" w:hAnsi="Arial"/>
          <w:sz w:val="18"/>
          <w:szCs w:val="18"/>
          <w:b w:val="1"/>
          <w:bCs w:val="1"/>
          <w:color w:val="auto"/>
        </w:rPr>
        <w:t>We may incur costs to engage in future business combinations or strategic investments and the anticipated benefits of those transactions may not be realized.</w:t>
      </w:r>
    </w:p>
    <w:p>
      <w:pPr>
        <w:spacing w:after="0" w:line="4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As part of our business strategy, we may seek to enter into business combinations, investments, joint ventures and other strategic alliances with other companies in order to maintain and grow revenue and market presence as well as to provide us with access to technology, products and services. Those transactions would be accompanied by risks that may harm our business, such as difficulties in assimilating the operations, personnel and products of an acquired business or in realizing the projected benefits; disruption of our ongoing business; potential increases in our indebtedness and contingent liabilities; and charges if the acquired company or assets are later worth less than the amount paid for them in the Original Acquisition. In addition, our senior secured credit facility and the indentures governing our notes may prohibit us from making acquisitions that we may otherwise wish to pursue.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high utilization of our manufacturing capacity.</w:t>
      </w:r>
    </w:p>
    <w:p>
      <w:pPr>
        <w:spacing w:after="0" w:line="96" w:lineRule="exact"/>
        <w:rPr>
          <w:sz w:val="20"/>
          <w:szCs w:val="20"/>
          <w:color w:val="auto"/>
        </w:rPr>
      </w:pPr>
    </w:p>
    <w:p>
      <w:pPr>
        <w:ind w:right="520" w:firstLine="456"/>
        <w:spacing w:after="0" w:line="298" w:lineRule="auto"/>
        <w:rPr>
          <w:sz w:val="20"/>
          <w:szCs w:val="20"/>
          <w:color w:val="auto"/>
        </w:rPr>
      </w:pPr>
      <w:r>
        <w:rPr>
          <w:rFonts w:ascii="Arial" w:cs="Arial" w:eastAsia="Arial" w:hAnsi="Arial"/>
          <w:sz w:val="16"/>
          <w:szCs w:val="16"/>
          <w:color w:val="auto"/>
        </w:rPr>
        <w:t>As many of our costs are fixed, a reduction in capacity utilization, together with other factors such as yield and product mix, could reduce our profit margins and adversely affect our operating results. A number of factors and circumstances may reduce utilization rates, including periods of industry overcapacity, low levels of customer orders, operating inefficiencies, mechanical failures and disruption of operations due to expansion or relocation of operations, power interruptions, fire, flood or other natural disasters or calamities.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459" w:right="2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failure to achieve acceptable manufacturing yields could adversely affect our business.</w:t>
      </w:r>
    </w:p>
    <w:p>
      <w:pPr>
        <w:spacing w:after="0" w:line="96"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The manufacture of semiconductors requires precision, a highly-regulated and sterile environment and expensive equipment. We may have difficulty achieving acceptable yields in the manufacture of our products. Slight impurities or defects in the masks used to print circuits on a wafer or other factors can cause significant difficulties, particularly in connection with the production of a new product, the adoption of a new manufacturing process or any expansion of our manufacturing capacity and related transitions.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rely on certain subcontractors.</w:t>
      </w:r>
    </w:p>
    <w:p>
      <w:pPr>
        <w:spacing w:after="0" w:line="96"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The majority of our net sales are derived from semiconductor devices assembled in advanced packages. The packaging of semiconductors is a complex process requiring, among other things, a high degree of technical skill and advanced equipment. We outsource our semiconductor packaging to subcontractors, most of which are located in Korea and Southeast Asia. We rely on these subcontractors to package our devices with acceptable quality and yield levels. If our semiconductor packagers experience problems in packaging our semiconductor devices or experience prolonged quality or yield problems, our operating results could be adversely affected.</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depend on successful parts and materials procurement for our manufacturing processes.</w:t>
      </w:r>
    </w:p>
    <w:p>
      <w:pPr>
        <w:spacing w:after="0" w:line="9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We use a wide range of parts and materials in the production of our semiconductors, including silicon, processing chemicals, processing gases, precious metals and electronic and mechanical components. We procure materials and electronic and mechanical components from domestic and foreign sources and original equipment manufacturers. As a division of Hynix, we were able to take advantage of Hynix’s size and purchasing power in procuring parts and materials. As an independent company, we are smaller and less diversified than Hynix, and we may be unable to obtain parts and materials at prices and on terms as favorable as those available to us prior to the separation from Hynix in October 2004. If we cannot obtain adequate materials in a timely manner or on favorable terms for the manufacture of our products, either or both of our revenues or profits will decline.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product liability risks and the risk of negative publicity if our products fail.</w:t>
      </w:r>
    </w:p>
    <w:p>
      <w:pPr>
        <w:spacing w:after="0" w:line="9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Our semiconductors are incorporated into a number of end products, and our business is exposed to product liability risk and the risk of negative publicity if our products fail. Although we maintain insurance for product liability claims, the amount and scope of our insurance may not be adequate to cover a product liability claim that is asserted against us. In addition, product liability insurance could become more expensive and difficult to maintain and, in the future, may not be available on commercially reasonable terms or at all.</w:t>
      </w:r>
    </w:p>
    <w:p>
      <w:pPr>
        <w:spacing w:after="0" w:line="143"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In addition, we are exposed to the product liability risk and the risk of negative publicity affecting our customers and suppliers. Our sales may decline if any of our customers are sued on a product liability claim. We may also suffer a decline in sales from the negative publicity associated with such a lawsuit or with adverse public perceptions in general regarding our customers’ products.</w:t>
      </w:r>
    </w:p>
    <w:p>
      <w:pPr>
        <w:spacing w:after="0" w:line="215" w:lineRule="exact"/>
        <w:rPr>
          <w:sz w:val="20"/>
          <w:szCs w:val="20"/>
          <w:color w:val="auto"/>
        </w:rPr>
      </w:pPr>
    </w:p>
    <w:p>
      <w:pPr>
        <w:ind w:right="220"/>
        <w:spacing w:after="0" w:line="275" w:lineRule="auto"/>
        <w:rPr>
          <w:sz w:val="20"/>
          <w:szCs w:val="20"/>
          <w:color w:val="auto"/>
        </w:rPr>
      </w:pPr>
      <w:r>
        <w:rPr>
          <w:rFonts w:ascii="Arial" w:cs="Arial" w:eastAsia="Arial" w:hAnsi="Arial"/>
          <w:sz w:val="18"/>
          <w:szCs w:val="18"/>
          <w:b w:val="1"/>
          <w:bCs w:val="1"/>
          <w:color w:val="auto"/>
        </w:rPr>
        <w:t>Our ability to compete successfully and achieve future growth will depend, in part, on our ability to protect our proprietary technology, as well as our ability to operate without infringing the proprietary rights of others.</w:t>
      </w:r>
    </w:p>
    <w:p>
      <w:pPr>
        <w:spacing w:after="0" w:line="45"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seek to protect our proprietary technologies and know-how through the use of patents, trade secrets, confidentiality agreements and other security measures. The process of seeking patent protection takes a long time and is expensive. We cannot assure you that patents will issue from pending or future applications or that, if patents issue, they will not be challenged, invalidated or circumvented, or that the rights granted under the patents will provide us with meaningful protection or any commercial advantage. Some of our technologies are not covered by any patent or patent application. The confidentiality agreements on which we rely may be breached and may not be adequate to protect our proprietary technologies. We cannot assure you that other countries in which we market our services will protect our intellectual property rights to the same extent as the United States.</w:t>
      </w:r>
    </w:p>
    <w:p>
      <w:pPr>
        <w:spacing w:after="0" w:line="120" w:lineRule="exact"/>
        <w:rPr>
          <w:sz w:val="20"/>
          <w:szCs w:val="20"/>
          <w:color w:val="auto"/>
        </w:rPr>
      </w:pPr>
    </w:p>
    <w:p>
      <w:pPr>
        <w:ind w:right="40" w:firstLine="456"/>
        <w:spacing w:after="0" w:line="312" w:lineRule="auto"/>
        <w:rPr>
          <w:sz w:val="20"/>
          <w:szCs w:val="20"/>
          <w:color w:val="auto"/>
        </w:rPr>
      </w:pPr>
      <w:r>
        <w:rPr>
          <w:rFonts w:ascii="Arial" w:cs="Arial" w:eastAsia="Arial" w:hAnsi="Arial"/>
          <w:sz w:val="15"/>
          <w:szCs w:val="15"/>
          <w:color w:val="auto"/>
        </w:rPr>
        <w:t>Our ability to compete successfully depends on our ability to operate without infringing the proprietary rights of others. We have no means of knowing what patent applications have been filed in the United States until they are published. In addition, the semiconductor industry is characterized by frequent litigation regarding patent and other intellectual property rights. Although we have never received any notices of infringement of a third party patent, we cannot assure you that third parties will not tender notices of patent infringement or assert infringement claims against us in the future. Litigation, which could result in substantial costs to us and diversion of our resources, may also be necessary to enforce our patents or other intellectual property rights or to defend against claimed infringement of the rights of others. In the event of an adverse outcome in any such litigation, we may be required to pay substantial damages, indemnify customers or licensees for damages they may suffer if the products they purchase from us or the technology they license from us violate the intellectual</w:t>
      </w:r>
    </w:p>
    <w:p>
      <w:pPr>
        <w:spacing w:after="0" w:line="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45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color w:val="auto"/>
        </w:rPr>
        <w:t>property rights of others; stop our manufacture, use, sale or importation of infringing products; expend significant resources to develop or acquire non-infringing technologies; discontinue processes; or obtain licenses to the intellectual property we are found to have infringed. We cannot assure you that we would be successful in such development or acquisition or that such licenses would be available under reasonable terms, or at all.</w:t>
      </w:r>
    </w:p>
    <w:p>
      <w:pPr>
        <w:spacing w:after="0" w:line="107" w:lineRule="exact"/>
        <w:rPr>
          <w:sz w:val="20"/>
          <w:szCs w:val="20"/>
          <w:color w:val="auto"/>
        </w:rPr>
      </w:pPr>
    </w:p>
    <w:p>
      <w:pPr>
        <w:ind w:right="100" w:firstLine="456"/>
        <w:spacing w:after="0" w:line="310" w:lineRule="auto"/>
        <w:rPr>
          <w:sz w:val="20"/>
          <w:szCs w:val="20"/>
          <w:color w:val="auto"/>
        </w:rPr>
      </w:pPr>
      <w:r>
        <w:rPr>
          <w:rFonts w:ascii="Arial" w:cs="Arial" w:eastAsia="Arial" w:hAnsi="Arial"/>
          <w:sz w:val="15"/>
          <w:szCs w:val="15"/>
          <w:color w:val="auto"/>
        </w:rPr>
        <w:t>As a business segment of Hynix, we were the beneficiary of some of Hynix’s intellectual property arrangements, including cross-licensing arrangements with other leading semiconductor companies and licenses from third parties of technology incorporated in our products and used to operate our business. We are no longer a beneficiary under some of these agreements and arrangements. There may be third parties who had refrained from asserting intellectual property infringement claims against our products or processes while we were a business segment of Hynix that elect to pursue such claims against us now that we are an independent company. In addition, some of our technologies have been sublicensed from Hynix on a non-exclusive basis and Hynix may sublicense such technologies to others. We have cross-licensed most of our technologies to Hynix. This cross-license is subject to the non-competition provision of the Hynix business transfer agreement. Our competitors may develop, patent or gain access to similar know-how and technology. Failure to protect our existing intellectual property rights may result in the loss of valuable technologies or having to pay other companies for infringing on their intellectual property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many environmental laws and regulations that could affect our operations or result in significant expenses.</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We are subject to requirements of environmental, health and safety laws and regulations in each of the jurisdictions in which we operate, governing, among other things, air emissions, wastewater discharges, the generation, use, handling, storage and disposal of, and exposure to, hazardous substances (including asbestos) and wastes, soil and groundwater contamination and employee health and safety. These laws and regulations are complex, constantly changing and have tended to become more stringent over time. We cannot assure you that we have been, or will be at all times, in complete compliance with all these laws and regulations or that we will not incur material costs or liabilities in connection with these laws and regulations in the future. The adoption of new environmental, health and safety laws, the failure to comply with new or existing laws, or issues relating to hazardous substances could subject us to material liability (including substantial fines or penalties), impose the need for additional capital equipment or other process requirements upon us, curtail our operations, or restrict our ability to expand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could suffer adverse tax and other financial consequences as a result of changes in, or differences in the interpretation of, applicable tax laws.</w:t>
      </w:r>
    </w:p>
    <w:p>
      <w:pPr>
        <w:spacing w:after="0" w:line="119" w:lineRule="exact"/>
        <w:rPr>
          <w:sz w:val="20"/>
          <w:szCs w:val="20"/>
          <w:color w:val="auto"/>
        </w:rPr>
      </w:pPr>
    </w:p>
    <w:p>
      <w:pPr>
        <w:ind w:right="100" w:firstLine="456"/>
        <w:spacing w:after="0" w:line="318" w:lineRule="auto"/>
        <w:rPr>
          <w:sz w:val="20"/>
          <w:szCs w:val="20"/>
          <w:color w:val="auto"/>
        </w:rPr>
      </w:pPr>
      <w:r>
        <w:rPr>
          <w:rFonts w:ascii="Arial" w:cs="Arial" w:eastAsia="Arial" w:hAnsi="Arial"/>
          <w:sz w:val="15"/>
          <w:szCs w:val="15"/>
          <w:color w:val="auto"/>
        </w:rPr>
        <w:t>Our company organizational structure is based, in part, on assumptions about the various tax laws, including withholding tax, and other laws of applicable non-U.S. jurisdictions. In addition, MagnaChip Korea was granted a limited tax-holiday under Korean law in October 2004, which provides for certain tax exemptions for corporate taxes, withholding taxes, acquisition taxes, property and land taxes and other taxes for five years. Our interpretations and conclusions are not binding on any taxing authority, and, if our assumptions about tax and other laws are incorrect or if the authorities were to change or modify the relevant laws, we could suffer adverse tax and other financial consequences or have the anticipated benefits of our company organizational structure materially impaired.</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limited number of persons indirectly control us.</w:t>
      </w:r>
    </w:p>
    <w:p>
      <w:pPr>
        <w:spacing w:after="0" w:line="96" w:lineRule="exact"/>
        <w:rPr>
          <w:sz w:val="20"/>
          <w:szCs w:val="20"/>
          <w:color w:val="auto"/>
        </w:rPr>
      </w:pPr>
    </w:p>
    <w:p>
      <w:pPr>
        <w:jc w:val="both"/>
        <w:ind w:right="200" w:firstLine="456"/>
        <w:spacing w:after="0" w:line="298" w:lineRule="auto"/>
        <w:rPr>
          <w:sz w:val="20"/>
          <w:szCs w:val="20"/>
          <w:color w:val="auto"/>
        </w:rPr>
      </w:pPr>
      <w:r>
        <w:rPr>
          <w:rFonts w:ascii="Arial" w:cs="Arial" w:eastAsia="Arial" w:hAnsi="Arial"/>
          <w:sz w:val="16"/>
          <w:szCs w:val="16"/>
          <w:color w:val="auto"/>
        </w:rPr>
        <w:t>CVC, Francisco Partners, and CVC Asia Pacific own approximately 34%, 34% and 18%, respectively, of the outstanding voting interests in MagnaChip. By virtue of their ownership of these voting interests, and the securityholders’ agreement among MagnaChip and its unitholders, these entities have significant influence over our management and will be able to determine the outcome of all matters required to be submitted to the unitholders for approval, including the election of a majority of our directors and the approval of mergers, consolidations and the sale of all or substantially all of our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need additional capital in the future and it may not be available on acceptable terms or at all.</w:t>
      </w:r>
    </w:p>
    <w:p>
      <w:pPr>
        <w:spacing w:after="0" w:line="96"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We may require more capital in the future to fund our operations, finance investments in equipment and infrastructure, and respond to competitive pressures and potential strategic opportunities. Additional capital may not be available when needed or, if available, may not be available on satisfactory terms. If we are unable to obtain capital on favorable terms, or if we are unable to obtain capital at all, we may have to reduce our operations or forego opportunities and it may have a material adverse effect on our business, financial condition and results of operations.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459" w:right="25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international operations are subject to various risks that may lead to decreases in financial results.</w:t>
      </w:r>
    </w:p>
    <w:p>
      <w:pPr>
        <w:spacing w:after="0" w:line="96"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face risks inherent in international operations, such as unexpected changes in regulatory requirements, tariffs and other market barriers, political, social and economic instability, adverse tax consequences, war, civil disturbances and acts of terrorism, difficulties in accounts receivables collection, extended payment terms and differing labor standards, enforcement of contractual obligations and protection of intellectual property. These risks may lead to increased costs or decreased revenue growth, or both.</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risks associated with currency fluctuations.</w:t>
      </w:r>
    </w:p>
    <w:p>
      <w:pPr>
        <w:spacing w:after="0" w:line="9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Our revenues are denominated in various currencies, specifically, the Korean Won, Japanese Yen, Euro and U.S. dollar. As a result, changes in the exchange rates of these currencies or any other applicable currencies to the U.S. dollar will affect the translated price of products and therefore operating margins and could result in exchange losses.</w:t>
      </w:r>
    </w:p>
    <w:p>
      <w:pPr>
        <w:spacing w:after="0" w:line="140"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majority of our costs are denominated in Korean Won and to a lesser extent in Japanese Yen, U.S. dollar and Euro. Therefore, changes in the exchange rates of these currencies or any other applicable currencies to the U.S. dollar will affect cost of goods sold and operating margins and could result in exchange losses.</w:t>
      </w:r>
    </w:p>
    <w:p>
      <w:pPr>
        <w:spacing w:after="0" w:line="140" w:lineRule="exact"/>
        <w:rPr>
          <w:sz w:val="20"/>
          <w:szCs w:val="20"/>
          <w:color w:val="auto"/>
        </w:rPr>
      </w:pPr>
    </w:p>
    <w:p>
      <w:pPr>
        <w:ind w:right="100" w:firstLine="456"/>
        <w:spacing w:after="0" w:line="306" w:lineRule="auto"/>
        <w:rPr>
          <w:sz w:val="20"/>
          <w:szCs w:val="20"/>
          <w:color w:val="auto"/>
        </w:rPr>
      </w:pPr>
      <w:r>
        <w:rPr>
          <w:rFonts w:ascii="Arial" w:cs="Arial" w:eastAsia="Arial" w:hAnsi="Arial"/>
          <w:sz w:val="16"/>
          <w:szCs w:val="16"/>
          <w:color w:val="auto"/>
        </w:rPr>
        <w:t>We cannot fully predict the impact of future exchange rate fluctuations on our profitability. From time to time, we may have engaged in, and may continue to engage in, exchange rate hedging activities in an effort to mitigate the impact of exchange rate fluctuations. However, we cannot assure you that any hedging technique we implement will be effective. If it is not effective, we may experience reduced operating margins.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historical financial information may not be representative of our results as a separate company.</w:t>
      </w:r>
    </w:p>
    <w:p>
      <w:pPr>
        <w:spacing w:after="0" w:line="96"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Prior to the Original Acquisition, we operated as a division of Hynix. Historical financial information for periods prior to September 30, 2004, was derived from Hynix’s consolidated financial statements, has been presented on a carve-out basis and does not necessarily reflect what our financial position, results of operations or cash flows would have been had we been a separate, stand-alone company during the periods presented. As carve-out financial statements, the financial statements include allocations of the costs of shared activities and overhead of Hynix and of intangible assets and property, plant and equipment shared with Hynix. These allocations are based upon various assumptions and estimates, some of which are subjective. Actual results of our operations had we operated on a stand-alone basis, may differ from those allocations and estimates. Also, as part of the Original Acquisition we did not acquire certain assets that were included in the carve-out financial statements and we assumed certain additional costs and obligations that are not reflected in the carve-out financial statements. Accordingly, the carve-out financial statements should not be relied upon as being representative of our financial position or operating results had we operated on a stand-alone basis, nor may they be representative of our financial position or operating results following the Original Acquisition.</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expenses could increase if Hynix were unwilling or unable to provide certain services related to our shared facilities with Hynix.</w:t>
      </w:r>
    </w:p>
    <w:p>
      <w:pPr>
        <w:spacing w:after="0" w:line="96" w:lineRule="exact"/>
        <w:rPr>
          <w:sz w:val="20"/>
          <w:szCs w:val="20"/>
          <w:color w:val="auto"/>
        </w:rPr>
      </w:pPr>
    </w:p>
    <w:p>
      <w:pPr>
        <w:ind w:right="140" w:firstLine="456"/>
        <w:spacing w:after="0" w:line="298" w:lineRule="auto"/>
        <w:rPr>
          <w:sz w:val="20"/>
          <w:szCs w:val="20"/>
          <w:color w:val="auto"/>
        </w:rPr>
      </w:pPr>
      <w:r>
        <w:rPr>
          <w:rFonts w:ascii="Arial" w:cs="Arial" w:eastAsia="Arial" w:hAnsi="Arial"/>
          <w:sz w:val="16"/>
          <w:szCs w:val="16"/>
          <w:color w:val="auto"/>
        </w:rPr>
        <w:t>Because we share certain facilities with Hynix, a few services that are essential to our business are provided to us by or through Hynix. These services include electricity, bulk gasses and de-ionized water, campus facilities, wastewater and sewage management, and environmental safety. If any of our agreements with Hynix were terminated or if Hynix were unwilling or unable to fulfill its obligations to us under the terms of these agreements, we would have to procure these services on our own and as a result may experience an increase in our expenses.</w:t>
      </w:r>
    </w:p>
    <w:p>
      <w:pPr>
        <w:spacing w:after="0" w:line="113"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addition, we lease building and warehouse space from Hynix in Cheongju, Korea, and lease to Hynix some of the space we own in Cheongju, Korea. If Hynix were to become insolvent, we could lose our leases on some of our building and warehouse space.</w:t>
      </w:r>
    </w:p>
    <w:p>
      <w:pPr>
        <w:spacing w:after="0" w:line="207" w:lineRule="exact"/>
        <w:rPr>
          <w:sz w:val="20"/>
          <w:szCs w:val="20"/>
          <w:color w:val="auto"/>
        </w:rPr>
      </w:pPr>
    </w:p>
    <w:p>
      <w:pPr>
        <w:ind w:right="320"/>
        <w:spacing w:after="0" w:line="275" w:lineRule="auto"/>
        <w:rPr>
          <w:sz w:val="20"/>
          <w:szCs w:val="20"/>
          <w:color w:val="auto"/>
        </w:rPr>
      </w:pPr>
      <w:r>
        <w:rPr>
          <w:rFonts w:ascii="Arial" w:cs="Arial" w:eastAsia="Arial" w:hAnsi="Arial"/>
          <w:sz w:val="18"/>
          <w:szCs w:val="18"/>
          <w:b w:val="1"/>
          <w:bCs w:val="1"/>
          <w:color w:val="auto"/>
        </w:rPr>
        <w:t>Research and development investments may not yield profitable and commercially viable products and thus will not necessarily result in increases in revenues for us.</w:t>
      </w:r>
    </w:p>
    <w:p>
      <w:pPr>
        <w:spacing w:after="0" w:line="4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invest significant resources in our research and development. However, research and development efforts may not yield commercially viable products. During each stage of research and development there is a substantial risk that we will have to abandon a potential product which is no longer marketable and in which we have invested significant resources. In the event we are able to develop viable new products, a significant amount of time will have elapsed between our investment in the necessary research and development effort and the receipt of any related revenues.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45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confidence may be adversely impacted if we are unable to comply with Section 404 of the Sarbanes-Oxley Act of 2002.</w:t>
      </w:r>
    </w:p>
    <w:p>
      <w:pPr>
        <w:spacing w:after="0" w:line="96"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Beginning with our fiscal year ending December 31, 2007, we will be subject to rules adopted by the SEC pursuant to Section 404 of the Sarbanes-Oxley Act of 2002, which require us to include in our Annual Report on Form 10-K our management’s report on, and assessment of the effectiveness of, our internal controls over financial reporting. In addition, our independent auditors will be required to attest to and report on management’s assessment of the effectiveness of our internal controls over financial reporting. If we fail to achieve and maintain the adequacy of our internal controls, there is a risk that we will not comply with all of the requirements imposed by Section 404. Moreover, effective internal controls, particularly those related to revenue recognition, are necessary for us to produce reliable financial reports and are important to helping prevent financial fraud. Any of these possible outcomes could result in an adverse reaction in the financial marketplace due to a loss of investor confidence in the reliability of our financial statements, which ultimately could harm our business and could negatively impact the market price of our securities.</w:t>
      </w:r>
    </w:p>
    <w:p>
      <w:pPr>
        <w:spacing w:after="0" w:line="234"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During the three-month period ended April 2, 2006, certain of our subsidiary’s employees and former employees exercised options to acquire an aggregate of 38,875.00 of our common units at an aggregate purchase price of $74,223.48. Because the offering transactions took place outside the U.S. and none of the optionees were U.S. persons, these securities were exempt from registration under Regulation S of the Securities Act of 1933, as amended.</w:t>
      </w:r>
    </w:p>
    <w:p>
      <w:pPr>
        <w:spacing w:after="0" w:line="222"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Submission of Matters to a Vote of Security Holders.</w:t>
      </w:r>
    </w:p>
    <w:p>
      <w:pPr>
        <w:spacing w:after="0" w:line="96"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Effective January 19, 2006, Armando Geday was elected to the Board of Directors of the Company to serve at the discretion of the unitholders of the Company until his successor is duly elected and qualified, as permitted under the Company’s Third Amended and Restated Limited Liability Company Operating Agreement, by written consent of unitholders holding 41,840,446.51 common units of the Company constituting 78.8% of the then-outstanding common units of the Company.</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9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460" w:type="dxa"/>
            <w:vAlign w:val="bottom"/>
            <w:gridSpan w:val="2"/>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53"/>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Number</w:t>
            </w:r>
          </w:p>
        </w:tc>
        <w:tc>
          <w:tcPr>
            <w:tcW w:w="10460" w:type="dxa"/>
            <w:vAlign w:val="bottom"/>
            <w:gridSpan w:val="2"/>
          </w:tcPr>
          <w:p>
            <w:pPr>
              <w:ind w:left="116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96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9300" w:type="dxa"/>
            <w:vAlign w:val="bottom"/>
            <w:shd w:val="clear" w:color="auto" w:fill="000000"/>
          </w:tcPr>
          <w:p>
            <w:pPr>
              <w:spacing w:after="0"/>
              <w:rPr>
                <w:sz w:val="2"/>
                <w:szCs w:val="2"/>
                <w:color w:val="auto"/>
              </w:rPr>
            </w:pPr>
          </w:p>
        </w:tc>
      </w:tr>
      <w:tr>
        <w:trPr>
          <w:trHeight w:val="322"/>
        </w:trPr>
        <w:tc>
          <w:tcPr>
            <w:tcW w:w="9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460" w:type="dxa"/>
            <w:vAlign w:val="bottom"/>
            <w:gridSpan w:val="2"/>
          </w:tcPr>
          <w:p>
            <w:pPr>
              <w:ind w:left="1160"/>
              <w:spacing w:after="0"/>
              <w:rPr>
                <w:sz w:val="20"/>
                <w:szCs w:val="20"/>
                <w:color w:val="auto"/>
              </w:rPr>
            </w:pPr>
            <w:r>
              <w:rPr>
                <w:rFonts w:ascii="Arial" w:cs="Arial" w:eastAsia="Arial" w:hAnsi="Arial"/>
                <w:sz w:val="18"/>
                <w:szCs w:val="18"/>
                <w:color w:val="auto"/>
                <w:w w:val="91"/>
              </w:rPr>
              <w:t>Certification pursuant to Rule 13a-14(a) or Rule 15d-14(a) of the Securities Exchange Act of 1934 of the Chief Executive Officer.</w:t>
            </w:r>
          </w:p>
        </w:tc>
      </w:tr>
      <w:tr>
        <w:trPr>
          <w:trHeight w:val="324"/>
        </w:trPr>
        <w:tc>
          <w:tcPr>
            <w:tcW w:w="9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460" w:type="dxa"/>
            <w:vAlign w:val="bottom"/>
            <w:gridSpan w:val="2"/>
          </w:tcPr>
          <w:p>
            <w:pPr>
              <w:ind w:left="1160"/>
              <w:spacing w:after="0"/>
              <w:rPr>
                <w:sz w:val="20"/>
                <w:szCs w:val="20"/>
                <w:color w:val="auto"/>
              </w:rPr>
            </w:pPr>
            <w:r>
              <w:rPr>
                <w:rFonts w:ascii="Arial" w:cs="Arial" w:eastAsia="Arial" w:hAnsi="Arial"/>
                <w:sz w:val="18"/>
                <w:szCs w:val="18"/>
                <w:color w:val="auto"/>
                <w:w w:val="91"/>
              </w:rPr>
              <w:t>Certification pursuant to Rule 13a-14(a) or Rule 15d-14(a) of the Securities Exchange Act of 1934 of the Chief Financial Officer.</w:t>
            </w:r>
          </w:p>
        </w:tc>
      </w:tr>
      <w:tr>
        <w:trPr>
          <w:trHeight w:val="318"/>
        </w:trPr>
        <w:tc>
          <w:tcPr>
            <w:tcW w:w="9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460" w:type="dxa"/>
            <w:vAlign w:val="bottom"/>
            <w:gridSpan w:val="2"/>
          </w:tcPr>
          <w:p>
            <w:pPr>
              <w:ind w:left="116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of the</w:t>
            </w:r>
          </w:p>
        </w:tc>
      </w:tr>
      <w:tr>
        <w:trPr>
          <w:trHeight w:val="222"/>
        </w:trPr>
        <w:tc>
          <w:tcPr>
            <w:tcW w:w="960" w:type="dxa"/>
            <w:vAlign w:val="bottom"/>
          </w:tcPr>
          <w:p>
            <w:pPr>
              <w:spacing w:after="0"/>
              <w:rPr>
                <w:sz w:val="19"/>
                <w:szCs w:val="19"/>
                <w:color w:val="auto"/>
              </w:rPr>
            </w:pPr>
          </w:p>
        </w:tc>
        <w:tc>
          <w:tcPr>
            <w:tcW w:w="10460" w:type="dxa"/>
            <w:vAlign w:val="bottom"/>
            <w:gridSpan w:val="2"/>
          </w:tcPr>
          <w:p>
            <w:pPr>
              <w:ind w:left="1160"/>
              <w:spacing w:after="0"/>
              <w:rPr>
                <w:sz w:val="20"/>
                <w:szCs w:val="20"/>
                <w:color w:val="auto"/>
              </w:rPr>
            </w:pPr>
            <w:r>
              <w:rPr>
                <w:rFonts w:ascii="Arial" w:cs="Arial" w:eastAsia="Arial" w:hAnsi="Arial"/>
                <w:sz w:val="18"/>
                <w:szCs w:val="18"/>
                <w:color w:val="auto"/>
              </w:rPr>
              <w:t>Chief Executive Officer.</w:t>
            </w:r>
          </w:p>
        </w:tc>
      </w:tr>
      <w:tr>
        <w:trPr>
          <w:trHeight w:val="318"/>
        </w:trPr>
        <w:tc>
          <w:tcPr>
            <w:tcW w:w="9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460" w:type="dxa"/>
            <w:vAlign w:val="bottom"/>
            <w:gridSpan w:val="2"/>
          </w:tcPr>
          <w:p>
            <w:pPr>
              <w:ind w:left="116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of the</w:t>
            </w:r>
          </w:p>
        </w:tc>
      </w:tr>
      <w:tr>
        <w:trPr>
          <w:trHeight w:val="222"/>
        </w:trPr>
        <w:tc>
          <w:tcPr>
            <w:tcW w:w="960" w:type="dxa"/>
            <w:vAlign w:val="bottom"/>
          </w:tcPr>
          <w:p>
            <w:pPr>
              <w:spacing w:after="0"/>
              <w:rPr>
                <w:sz w:val="19"/>
                <w:szCs w:val="19"/>
                <w:color w:val="auto"/>
              </w:rPr>
            </w:pPr>
          </w:p>
        </w:tc>
        <w:tc>
          <w:tcPr>
            <w:tcW w:w="10460" w:type="dxa"/>
            <w:vAlign w:val="bottom"/>
            <w:gridSpan w:val="2"/>
          </w:tcPr>
          <w:p>
            <w:pPr>
              <w:ind w:left="1160"/>
              <w:spacing w:after="0"/>
              <w:rPr>
                <w:sz w:val="20"/>
                <w:szCs w:val="20"/>
                <w:color w:val="auto"/>
              </w:rPr>
            </w:pPr>
            <w:r>
              <w:rPr>
                <w:rFonts w:ascii="Arial" w:cs="Arial" w:eastAsia="Arial" w:hAnsi="Arial"/>
                <w:sz w:val="18"/>
                <w:szCs w:val="18"/>
                <w:color w:val="auto"/>
              </w:rPr>
              <w:t>Chief Financial Officer.</w:t>
            </w:r>
          </w:p>
        </w:tc>
      </w:tr>
      <w:tr>
        <w:trPr>
          <w:trHeight w:val="365"/>
        </w:trPr>
        <w:tc>
          <w:tcPr>
            <w:tcW w:w="960" w:type="dxa"/>
            <w:vAlign w:val="bottom"/>
          </w:tcPr>
          <w:p>
            <w:pPr>
              <w:spacing w:after="0"/>
              <w:rPr>
                <w:sz w:val="24"/>
                <w:szCs w:val="24"/>
                <w:color w:val="auto"/>
              </w:rPr>
            </w:pPr>
          </w:p>
        </w:tc>
        <w:tc>
          <w:tcPr>
            <w:tcW w:w="10460" w:type="dxa"/>
            <w:vAlign w:val="bottom"/>
            <w:gridSpan w:val="2"/>
          </w:tcPr>
          <w:p>
            <w:pPr>
              <w:ind w:left="4660"/>
              <w:spacing w:after="0"/>
              <w:rPr>
                <w:sz w:val="20"/>
                <w:szCs w:val="20"/>
                <w:color w:val="auto"/>
              </w:rPr>
            </w:pPr>
            <w:r>
              <w:rPr>
                <w:rFonts w:ascii="Arial" w:cs="Arial" w:eastAsia="Arial" w:hAnsi="Arial"/>
                <w:sz w:val="18"/>
                <w:szCs w:val="18"/>
                <w:color w:val="auto"/>
              </w:rPr>
              <w:t>37</w:t>
            </w:r>
          </w:p>
        </w:tc>
      </w:tr>
    </w:tbl>
    <w:p>
      <w:pPr>
        <w:sectPr>
          <w:pgSz w:w="11900" w:h="16838" w:orient="portrait"/>
          <w:cols w:equalWidth="0" w:num="1">
            <w:col w:w="11420"/>
          </w:cols>
          <w:pgMar w:left="240" w:top="45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3600" w:type="dxa"/>
            <w:vAlign w:val="bottom"/>
          </w:tcPr>
          <w:p>
            <w:pPr>
              <w:spacing w:after="0"/>
              <w:rPr>
                <w:sz w:val="19"/>
                <w:szCs w:val="19"/>
                <w:color w:val="auto"/>
              </w:rPr>
            </w:pPr>
          </w:p>
        </w:tc>
        <w:tc>
          <w:tcPr>
            <w:tcW w:w="7820" w:type="dxa"/>
            <w:vAlign w:val="bottom"/>
            <w:gridSpan w:val="3"/>
          </w:tcPr>
          <w:p>
            <w:pPr>
              <w:ind w:left="2520"/>
              <w:spacing w:after="0"/>
              <w:rPr>
                <w:sz w:val="20"/>
                <w:szCs w:val="20"/>
                <w:color w:val="auto"/>
              </w:rPr>
            </w:pPr>
            <w:r>
              <w:rPr>
                <w:rFonts w:ascii="Arial" w:cs="Arial" w:eastAsia="Arial" w:hAnsi="Arial"/>
                <w:sz w:val="18"/>
                <w:szCs w:val="18"/>
                <w:color w:val="auto"/>
              </w:rPr>
              <w:t>MAGNACHIP SEMICONDUCTOR LLC</w:t>
            </w:r>
          </w:p>
        </w:tc>
      </w:tr>
      <w:tr>
        <w:trPr>
          <w:trHeight w:val="433"/>
        </w:trPr>
        <w:tc>
          <w:tcPr>
            <w:tcW w:w="3600" w:type="dxa"/>
            <w:vAlign w:val="bottom"/>
          </w:tcPr>
          <w:p>
            <w:pPr>
              <w:spacing w:after="0"/>
              <w:rPr>
                <w:sz w:val="20"/>
                <w:szCs w:val="20"/>
                <w:color w:val="auto"/>
              </w:rPr>
            </w:pPr>
            <w:r>
              <w:rPr>
                <w:rFonts w:ascii="Arial" w:cs="Arial" w:eastAsia="Arial" w:hAnsi="Arial"/>
                <w:sz w:val="18"/>
                <w:szCs w:val="18"/>
                <w:color w:val="auto"/>
              </w:rPr>
              <w:t>Dated: May 15, 2006</w:t>
            </w:r>
          </w:p>
        </w:tc>
        <w:tc>
          <w:tcPr>
            <w:tcW w:w="7820" w:type="dxa"/>
            <w:vAlign w:val="bottom"/>
            <w:gridSpan w:val="3"/>
          </w:tcPr>
          <w:p>
            <w:pPr>
              <w:ind w:left="2520"/>
              <w:spacing w:after="0"/>
              <w:rPr>
                <w:sz w:val="20"/>
                <w:szCs w:val="20"/>
                <w:color w:val="auto"/>
              </w:rPr>
            </w:pPr>
            <w:r>
              <w:rPr>
                <w:rFonts w:ascii="Arial" w:cs="Arial" w:eastAsia="Arial" w:hAnsi="Arial"/>
                <w:sz w:val="18"/>
                <w:szCs w:val="18"/>
                <w:color w:val="auto"/>
              </w:rPr>
              <w:t>By:  /s/ Youm Huh</w:t>
            </w:r>
          </w:p>
        </w:tc>
      </w:tr>
      <w:tr>
        <w:trPr>
          <w:trHeight w:val="202"/>
        </w:trPr>
        <w:tc>
          <w:tcPr>
            <w:tcW w:w="36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50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Youm Huh</w:t>
            </w:r>
          </w:p>
        </w:tc>
      </w:tr>
      <w:tr>
        <w:trPr>
          <w:trHeight w:val="222"/>
        </w:trPr>
        <w:tc>
          <w:tcPr>
            <w:tcW w:w="36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Chief Executive Officer and President</w:t>
            </w:r>
          </w:p>
        </w:tc>
      </w:tr>
      <w:tr>
        <w:trPr>
          <w:trHeight w:val="528"/>
        </w:trPr>
        <w:tc>
          <w:tcPr>
            <w:tcW w:w="3600" w:type="dxa"/>
            <w:vAlign w:val="bottom"/>
          </w:tcPr>
          <w:p>
            <w:pPr>
              <w:spacing w:after="0"/>
              <w:rPr>
                <w:sz w:val="20"/>
                <w:szCs w:val="20"/>
                <w:color w:val="auto"/>
              </w:rPr>
            </w:pPr>
            <w:r>
              <w:rPr>
                <w:rFonts w:ascii="Arial" w:cs="Arial" w:eastAsia="Arial" w:hAnsi="Arial"/>
                <w:sz w:val="18"/>
                <w:szCs w:val="18"/>
                <w:color w:val="auto"/>
              </w:rPr>
              <w:t>Dated: May 15, 2006</w:t>
            </w:r>
          </w:p>
        </w:tc>
        <w:tc>
          <w:tcPr>
            <w:tcW w:w="7820" w:type="dxa"/>
            <w:vAlign w:val="bottom"/>
            <w:gridSpan w:val="3"/>
          </w:tcPr>
          <w:p>
            <w:pPr>
              <w:ind w:left="2540"/>
              <w:spacing w:after="0"/>
              <w:rPr>
                <w:sz w:val="20"/>
                <w:szCs w:val="20"/>
                <w:color w:val="auto"/>
              </w:rPr>
            </w:pPr>
            <w:r>
              <w:rPr>
                <w:rFonts w:ascii="Arial" w:cs="Arial" w:eastAsia="Arial" w:hAnsi="Arial"/>
                <w:sz w:val="18"/>
                <w:szCs w:val="18"/>
                <w:color w:val="auto"/>
              </w:rPr>
              <w:t>By:  /s/ Robert J. Krakauer</w:t>
            </w:r>
          </w:p>
        </w:tc>
      </w:tr>
      <w:tr>
        <w:trPr>
          <w:trHeight w:val="202"/>
        </w:trPr>
        <w:tc>
          <w:tcPr>
            <w:tcW w:w="360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020" w:type="dxa"/>
            <w:vAlign w:val="bottom"/>
            <w:tcBorders>
              <w:top w:val="single" w:sz="8" w:color="auto"/>
            </w:tcBorders>
          </w:tcPr>
          <w:p>
            <w:pPr>
              <w:ind w:left="100"/>
              <w:spacing w:after="0" w:line="202" w:lineRule="exact"/>
              <w:rPr>
                <w:sz w:val="20"/>
                <w:szCs w:val="20"/>
                <w:color w:val="auto"/>
              </w:rPr>
            </w:pPr>
            <w:r>
              <w:rPr>
                <w:rFonts w:ascii="Arial" w:cs="Arial" w:eastAsia="Arial" w:hAnsi="Arial"/>
                <w:sz w:val="18"/>
                <w:szCs w:val="18"/>
                <w:color w:val="auto"/>
              </w:rPr>
              <w:t>Robert J. Krakauer</w:t>
            </w:r>
          </w:p>
        </w:tc>
      </w:tr>
      <w:tr>
        <w:trPr>
          <w:trHeight w:val="216"/>
        </w:trPr>
        <w:tc>
          <w:tcPr>
            <w:tcW w:w="3600" w:type="dxa"/>
            <w:vAlign w:val="bottom"/>
          </w:tcPr>
          <w:p>
            <w:pPr>
              <w:spacing w:after="0"/>
              <w:rPr>
                <w:sz w:val="18"/>
                <w:szCs w:val="18"/>
                <w:color w:val="auto"/>
              </w:rPr>
            </w:pPr>
          </w:p>
        </w:tc>
        <w:tc>
          <w:tcPr>
            <w:tcW w:w="27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Executive Vice President, Strategic Operations</w:t>
            </w:r>
          </w:p>
        </w:tc>
      </w:tr>
      <w:tr>
        <w:trPr>
          <w:trHeight w:val="222"/>
        </w:trPr>
        <w:tc>
          <w:tcPr>
            <w:tcW w:w="3600" w:type="dxa"/>
            <w:vAlign w:val="bottom"/>
          </w:tcPr>
          <w:p>
            <w:pPr>
              <w:spacing w:after="0"/>
              <w:rPr>
                <w:sz w:val="19"/>
                <w:szCs w:val="19"/>
                <w:color w:val="auto"/>
              </w:rPr>
            </w:pPr>
          </w:p>
        </w:tc>
        <w:tc>
          <w:tcPr>
            <w:tcW w:w="2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20" w:type="dxa"/>
            <w:vAlign w:val="bottom"/>
          </w:tcPr>
          <w:p>
            <w:pPr>
              <w:ind w:left="100"/>
              <w:spacing w:after="0"/>
              <w:rPr>
                <w:sz w:val="20"/>
                <w:szCs w:val="20"/>
                <w:color w:val="auto"/>
              </w:rPr>
            </w:pPr>
            <w:r>
              <w:rPr>
                <w:rFonts w:ascii="Arial" w:cs="Arial" w:eastAsia="Arial" w:hAnsi="Arial"/>
                <w:sz w:val="18"/>
                <w:szCs w:val="18"/>
                <w:color w:val="auto"/>
              </w:rPr>
              <w:t>and Chief Financial Officer</w:t>
            </w:r>
          </w:p>
        </w:tc>
      </w:tr>
      <w:tr>
        <w:trPr>
          <w:trHeight w:val="365"/>
        </w:trPr>
        <w:tc>
          <w:tcPr>
            <w:tcW w:w="3600" w:type="dxa"/>
            <w:vAlign w:val="bottom"/>
          </w:tcPr>
          <w:p>
            <w:pPr>
              <w:spacing w:after="0"/>
              <w:rPr>
                <w:sz w:val="24"/>
                <w:szCs w:val="24"/>
                <w:color w:val="auto"/>
              </w:rPr>
            </w:pPr>
          </w:p>
        </w:tc>
        <w:tc>
          <w:tcPr>
            <w:tcW w:w="2780" w:type="dxa"/>
            <w:vAlign w:val="bottom"/>
          </w:tcPr>
          <w:p>
            <w:pPr>
              <w:jc w:val="right"/>
              <w:ind w:right="492"/>
              <w:spacing w:after="0"/>
              <w:rPr>
                <w:sz w:val="20"/>
                <w:szCs w:val="20"/>
                <w:color w:val="auto"/>
              </w:rPr>
            </w:pPr>
            <w:r>
              <w:rPr>
                <w:rFonts w:ascii="Arial" w:cs="Arial" w:eastAsia="Arial" w:hAnsi="Arial"/>
                <w:sz w:val="18"/>
                <w:szCs w:val="18"/>
                <w:color w:val="auto"/>
              </w:rPr>
              <w:t>38</w:t>
            </w:r>
          </w:p>
        </w:tc>
        <w:tc>
          <w:tcPr>
            <w:tcW w:w="20" w:type="dxa"/>
            <w:vAlign w:val="bottom"/>
          </w:tcPr>
          <w:p>
            <w:pPr>
              <w:spacing w:after="0"/>
              <w:rPr>
                <w:sz w:val="24"/>
                <w:szCs w:val="24"/>
                <w:color w:val="auto"/>
              </w:rPr>
            </w:pPr>
          </w:p>
        </w:tc>
        <w:tc>
          <w:tcPr>
            <w:tcW w:w="502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2">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9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9300" w:type="dxa"/>
            <w:vAlign w:val="bottom"/>
          </w:tcPr>
          <w:p>
            <w:pPr>
              <w:ind w:left="2760"/>
              <w:spacing w:after="0"/>
              <w:rPr>
                <w:sz w:val="20"/>
                <w:szCs w:val="20"/>
                <w:color w:val="auto"/>
              </w:rPr>
            </w:pPr>
            <w:r>
              <w:rPr>
                <w:rFonts w:ascii="Arial" w:cs="Arial" w:eastAsia="Arial" w:hAnsi="Arial"/>
                <w:sz w:val="18"/>
                <w:szCs w:val="18"/>
                <w:color w:val="auto"/>
              </w:rPr>
              <w:t>INDEX TO EXHIBITS</w:t>
            </w:r>
          </w:p>
        </w:tc>
      </w:tr>
      <w:tr>
        <w:trPr>
          <w:trHeight w:val="353"/>
        </w:trPr>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0"/>
              </w:rPr>
              <w:t>Exhibit Number</w:t>
            </w:r>
          </w:p>
        </w:tc>
        <w:tc>
          <w:tcPr>
            <w:tcW w:w="10460" w:type="dxa"/>
            <w:vAlign w:val="bottom"/>
            <w:gridSpan w:val="2"/>
          </w:tcPr>
          <w:p>
            <w:pPr>
              <w:ind w:left="1160"/>
              <w:spacing w:after="0"/>
              <w:rPr>
                <w:sz w:val="20"/>
                <w:szCs w:val="20"/>
                <w:color w:val="auto"/>
              </w:rPr>
            </w:pPr>
            <w:r>
              <w:rPr>
                <w:rFonts w:ascii="Arial" w:cs="Arial" w:eastAsia="Arial" w:hAnsi="Arial"/>
                <w:sz w:val="14"/>
                <w:szCs w:val="14"/>
                <w:b w:val="1"/>
                <w:bCs w:val="1"/>
                <w:color w:val="auto"/>
              </w:rPr>
              <w:t>Description</w:t>
            </w:r>
          </w:p>
        </w:tc>
      </w:tr>
      <w:tr>
        <w:trPr>
          <w:trHeight w:val="27"/>
        </w:trPr>
        <w:tc>
          <w:tcPr>
            <w:tcW w:w="960" w:type="dxa"/>
            <w:vAlign w:val="bottom"/>
            <w:shd w:val="clear" w:color="auto" w:fill="000000"/>
          </w:tcPr>
          <w:p>
            <w:pPr>
              <w:spacing w:after="0"/>
              <w:rPr>
                <w:sz w:val="2"/>
                <w:szCs w:val="2"/>
                <w:color w:val="auto"/>
              </w:rPr>
            </w:pPr>
          </w:p>
        </w:tc>
        <w:tc>
          <w:tcPr>
            <w:tcW w:w="1160" w:type="dxa"/>
            <w:vAlign w:val="bottom"/>
          </w:tcPr>
          <w:p>
            <w:pPr>
              <w:spacing w:after="0"/>
              <w:rPr>
                <w:sz w:val="2"/>
                <w:szCs w:val="2"/>
                <w:color w:val="auto"/>
              </w:rPr>
            </w:pPr>
          </w:p>
        </w:tc>
        <w:tc>
          <w:tcPr>
            <w:tcW w:w="9300" w:type="dxa"/>
            <w:vAlign w:val="bottom"/>
            <w:shd w:val="clear" w:color="auto" w:fill="000000"/>
          </w:tcPr>
          <w:p>
            <w:pPr>
              <w:spacing w:after="0"/>
              <w:rPr>
                <w:sz w:val="2"/>
                <w:szCs w:val="2"/>
                <w:color w:val="auto"/>
              </w:rPr>
            </w:pPr>
          </w:p>
        </w:tc>
      </w:tr>
      <w:tr>
        <w:trPr>
          <w:trHeight w:val="322"/>
        </w:trPr>
        <w:tc>
          <w:tcPr>
            <w:tcW w:w="96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10460" w:type="dxa"/>
            <w:vAlign w:val="bottom"/>
            <w:gridSpan w:val="2"/>
          </w:tcPr>
          <w:p>
            <w:pPr>
              <w:ind w:left="1160"/>
              <w:spacing w:after="0"/>
              <w:rPr>
                <w:sz w:val="20"/>
                <w:szCs w:val="20"/>
                <w:color w:val="auto"/>
              </w:rPr>
            </w:pPr>
            <w:r>
              <w:rPr>
                <w:rFonts w:ascii="Arial" w:cs="Arial" w:eastAsia="Arial" w:hAnsi="Arial"/>
                <w:sz w:val="18"/>
                <w:szCs w:val="18"/>
                <w:color w:val="auto"/>
                <w:w w:val="91"/>
              </w:rPr>
              <w:t>Certification pursuant to Rule 13a-14(a) or Rule 15d-14(a) of the Securities Exchange Act of 1934 of the Chief Executive Officer.</w:t>
            </w:r>
          </w:p>
        </w:tc>
      </w:tr>
      <w:tr>
        <w:trPr>
          <w:trHeight w:val="324"/>
        </w:trPr>
        <w:tc>
          <w:tcPr>
            <w:tcW w:w="9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460" w:type="dxa"/>
            <w:vAlign w:val="bottom"/>
            <w:gridSpan w:val="2"/>
          </w:tcPr>
          <w:p>
            <w:pPr>
              <w:ind w:left="1160"/>
              <w:spacing w:after="0"/>
              <w:rPr>
                <w:sz w:val="20"/>
                <w:szCs w:val="20"/>
                <w:color w:val="auto"/>
              </w:rPr>
            </w:pPr>
            <w:r>
              <w:rPr>
                <w:rFonts w:ascii="Arial" w:cs="Arial" w:eastAsia="Arial" w:hAnsi="Arial"/>
                <w:sz w:val="18"/>
                <w:szCs w:val="18"/>
                <w:color w:val="auto"/>
                <w:w w:val="91"/>
              </w:rPr>
              <w:t>Certification pursuant to Rule 13a-14(a) or Rule 15d-14(a) of the Securities Exchange Act of 1934 of the Chief Financial Officer.</w:t>
            </w:r>
          </w:p>
        </w:tc>
      </w:tr>
      <w:tr>
        <w:trPr>
          <w:trHeight w:val="318"/>
        </w:trPr>
        <w:tc>
          <w:tcPr>
            <w:tcW w:w="9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460" w:type="dxa"/>
            <w:vAlign w:val="bottom"/>
            <w:gridSpan w:val="2"/>
          </w:tcPr>
          <w:p>
            <w:pPr>
              <w:ind w:left="116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of the</w:t>
            </w:r>
          </w:p>
        </w:tc>
      </w:tr>
      <w:tr>
        <w:trPr>
          <w:trHeight w:val="222"/>
        </w:trPr>
        <w:tc>
          <w:tcPr>
            <w:tcW w:w="960" w:type="dxa"/>
            <w:vAlign w:val="bottom"/>
          </w:tcPr>
          <w:p>
            <w:pPr>
              <w:spacing w:after="0"/>
              <w:rPr>
                <w:sz w:val="19"/>
                <w:szCs w:val="19"/>
                <w:color w:val="auto"/>
              </w:rPr>
            </w:pPr>
          </w:p>
        </w:tc>
        <w:tc>
          <w:tcPr>
            <w:tcW w:w="10460" w:type="dxa"/>
            <w:vAlign w:val="bottom"/>
            <w:gridSpan w:val="2"/>
          </w:tcPr>
          <w:p>
            <w:pPr>
              <w:ind w:left="1160"/>
              <w:spacing w:after="0"/>
              <w:rPr>
                <w:sz w:val="20"/>
                <w:szCs w:val="20"/>
                <w:color w:val="auto"/>
              </w:rPr>
            </w:pPr>
            <w:r>
              <w:rPr>
                <w:rFonts w:ascii="Arial" w:cs="Arial" w:eastAsia="Arial" w:hAnsi="Arial"/>
                <w:sz w:val="18"/>
                <w:szCs w:val="18"/>
                <w:color w:val="auto"/>
              </w:rPr>
              <w:t>Chief Executive Officer.</w:t>
            </w:r>
          </w:p>
        </w:tc>
      </w:tr>
      <w:tr>
        <w:trPr>
          <w:trHeight w:val="318"/>
        </w:trPr>
        <w:tc>
          <w:tcPr>
            <w:tcW w:w="9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460" w:type="dxa"/>
            <w:vAlign w:val="bottom"/>
            <w:gridSpan w:val="2"/>
          </w:tcPr>
          <w:p>
            <w:pPr>
              <w:ind w:left="1160"/>
              <w:spacing w:after="0"/>
              <w:rPr>
                <w:sz w:val="20"/>
                <w:szCs w:val="20"/>
                <w:color w:val="auto"/>
              </w:rPr>
            </w:pPr>
            <w:r>
              <w:rPr>
                <w:rFonts w:ascii="Arial" w:cs="Arial" w:eastAsia="Arial" w:hAnsi="Arial"/>
                <w:sz w:val="18"/>
                <w:szCs w:val="18"/>
                <w:color w:val="auto"/>
                <w:w w:val="91"/>
              </w:rPr>
              <w:t>Certification pursuant to 18 U.S.C. Section 1350, as adopted pursuant to Section 906 of the Sarbanes-Oxley Act of 2002, of the</w:t>
            </w:r>
          </w:p>
        </w:tc>
      </w:tr>
      <w:tr>
        <w:trPr>
          <w:trHeight w:val="222"/>
        </w:trPr>
        <w:tc>
          <w:tcPr>
            <w:tcW w:w="960" w:type="dxa"/>
            <w:vAlign w:val="bottom"/>
          </w:tcPr>
          <w:p>
            <w:pPr>
              <w:spacing w:after="0"/>
              <w:rPr>
                <w:sz w:val="19"/>
                <w:szCs w:val="19"/>
                <w:color w:val="auto"/>
              </w:rPr>
            </w:pPr>
          </w:p>
        </w:tc>
        <w:tc>
          <w:tcPr>
            <w:tcW w:w="10460" w:type="dxa"/>
            <w:vAlign w:val="bottom"/>
            <w:gridSpan w:val="2"/>
          </w:tcPr>
          <w:p>
            <w:pPr>
              <w:ind w:left="1160"/>
              <w:spacing w:after="0"/>
              <w:rPr>
                <w:sz w:val="20"/>
                <w:szCs w:val="20"/>
                <w:color w:val="auto"/>
              </w:rPr>
            </w:pPr>
            <w:r>
              <w:rPr>
                <w:rFonts w:ascii="Arial" w:cs="Arial" w:eastAsia="Arial" w:hAnsi="Arial"/>
                <w:sz w:val="18"/>
                <w:szCs w:val="18"/>
                <w:color w:val="auto"/>
              </w:rPr>
              <w:t>Chief Financial Officer.</w:t>
            </w:r>
          </w:p>
        </w:tc>
      </w:tr>
      <w:tr>
        <w:trPr>
          <w:trHeight w:val="365"/>
        </w:trPr>
        <w:tc>
          <w:tcPr>
            <w:tcW w:w="960" w:type="dxa"/>
            <w:vAlign w:val="bottom"/>
          </w:tcPr>
          <w:p>
            <w:pPr>
              <w:spacing w:after="0"/>
              <w:rPr>
                <w:sz w:val="24"/>
                <w:szCs w:val="24"/>
                <w:color w:val="auto"/>
              </w:rPr>
            </w:pPr>
          </w:p>
        </w:tc>
        <w:tc>
          <w:tcPr>
            <w:tcW w:w="10460" w:type="dxa"/>
            <w:vAlign w:val="bottom"/>
            <w:gridSpan w:val="2"/>
          </w:tcPr>
          <w:p>
            <w:pPr>
              <w:ind w:left="4660"/>
              <w:spacing w:after="0"/>
              <w:rPr>
                <w:sz w:val="20"/>
                <w:szCs w:val="20"/>
                <w:color w:val="auto"/>
              </w:rPr>
            </w:pPr>
            <w:r>
              <w:rPr>
                <w:rFonts w:ascii="Arial" w:cs="Arial" w:eastAsia="Arial" w:hAnsi="Arial"/>
                <w:sz w:val="18"/>
                <w:szCs w:val="18"/>
                <w:color w:val="auto"/>
              </w:rPr>
              <w:t>39</w:t>
            </w:r>
          </w:p>
        </w:tc>
      </w:tr>
    </w:tbl>
    <w:p>
      <w:pPr>
        <w:sectPr>
          <w:pgSz w:w="11900" w:h="16838" w:orient="portrait"/>
          <w:cols w:equalWidth="0" w:num="1">
            <w:col w:w="11420"/>
          </w:cols>
          <w:pgMar w:left="240" w:top="459"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EXECUTIVE OFFICER</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Youm Huh, certify that:</w:t>
      </w:r>
    </w:p>
    <w:p>
      <w:pPr>
        <w:spacing w:after="0" w:line="171" w:lineRule="exact"/>
        <w:rPr>
          <w:sz w:val="20"/>
          <w:szCs w:val="20"/>
          <w:color w:val="auto"/>
        </w:rPr>
      </w:pPr>
    </w:p>
    <w:p>
      <w:pPr>
        <w:ind w:left="180" w:hanging="167"/>
        <w:spacing w:after="0"/>
        <w:tabs>
          <w:tab w:leader="none" w:pos="18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20" w:firstLine="4"/>
        <w:spacing w:after="0" w:line="332" w:lineRule="auto"/>
        <w:tabs>
          <w:tab w:leader="none" w:pos="709" w:val="left"/>
        </w:tabs>
        <w:numPr>
          <w:ilvl w:val="1"/>
          <w:numId w:val="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8"/>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15, 2006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Youm Huh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ectPr>
          <w:pgSz w:w="11900" w:h="16838" w:orient="portrait"/>
          <w:cols w:equalWidth="0" w:num="1">
            <w:col w:w="11420"/>
          </w:cols>
          <w:pgMar w:left="240" w:top="125"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CERTIFICATION BY CHIEF FINANCIAL OFFICER</w:t>
      </w:r>
    </w:p>
    <w:p>
      <w:pPr>
        <w:spacing w:after="0" w:line="177" w:lineRule="exact"/>
        <w:rPr>
          <w:sz w:val="20"/>
          <w:szCs w:val="20"/>
          <w:color w:val="auto"/>
        </w:rPr>
      </w:pPr>
    </w:p>
    <w:p>
      <w:pPr>
        <w:ind w:left="20"/>
        <w:spacing w:after="0"/>
        <w:rPr>
          <w:sz w:val="20"/>
          <w:szCs w:val="20"/>
          <w:color w:val="auto"/>
        </w:rPr>
      </w:pPr>
      <w:r>
        <w:rPr>
          <w:rFonts w:ascii="Arial" w:cs="Arial" w:eastAsia="Arial" w:hAnsi="Arial"/>
          <w:sz w:val="18"/>
          <w:szCs w:val="18"/>
          <w:color w:val="auto"/>
        </w:rPr>
        <w:t>I, Robert J. Krakauer, certify that:</w:t>
      </w:r>
    </w:p>
    <w:p>
      <w:pPr>
        <w:spacing w:after="0" w:line="171" w:lineRule="exact"/>
        <w:rPr>
          <w:sz w:val="20"/>
          <w:szCs w:val="20"/>
          <w:color w:val="auto"/>
        </w:rPr>
      </w:pPr>
    </w:p>
    <w:p>
      <w:pPr>
        <w:ind w:left="180" w:hanging="167"/>
        <w:spacing w:after="0"/>
        <w:tabs>
          <w:tab w:leader="none" w:pos="1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MagnaChip Semiconductor LLC;</w:t>
      </w:r>
    </w:p>
    <w:p>
      <w:pPr>
        <w:spacing w:after="0" w:line="171" w:lineRule="exact"/>
        <w:rPr>
          <w:rFonts w:ascii="Arial" w:cs="Arial" w:eastAsia="Arial" w:hAnsi="Arial"/>
          <w:sz w:val="18"/>
          <w:szCs w:val="18"/>
          <w:color w:val="auto"/>
        </w:rPr>
      </w:pPr>
    </w:p>
    <w:p>
      <w:pPr>
        <w:ind w:right="240" w:firstLine="8"/>
        <w:spacing w:after="0" w:line="332"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5" w:lineRule="exact"/>
        <w:rPr>
          <w:rFonts w:ascii="Arial" w:cs="Arial" w:eastAsia="Arial" w:hAnsi="Arial"/>
          <w:sz w:val="16"/>
          <w:szCs w:val="16"/>
          <w:color w:val="auto"/>
        </w:rPr>
      </w:pPr>
    </w:p>
    <w:p>
      <w:pPr>
        <w:ind w:right="320" w:firstLine="8"/>
        <w:spacing w:after="0" w:line="268"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1" w:lineRule="exact"/>
        <w:rPr>
          <w:rFonts w:ascii="Arial" w:cs="Arial" w:eastAsia="Arial" w:hAnsi="Arial"/>
          <w:sz w:val="18"/>
          <w:szCs w:val="18"/>
          <w:color w:val="auto"/>
        </w:rPr>
      </w:pPr>
    </w:p>
    <w:p>
      <w:pPr>
        <w:ind w:right="280" w:firstLine="8"/>
        <w:spacing w:after="0" w:line="268" w:lineRule="auto"/>
        <w:tabs>
          <w:tab w:leader="none" w:pos="176"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for the registrant and have:</w:t>
      </w:r>
    </w:p>
    <w:p>
      <w:pPr>
        <w:spacing w:after="0" w:line="50" w:lineRule="exact"/>
        <w:rPr>
          <w:rFonts w:ascii="Arial" w:cs="Arial" w:eastAsia="Arial" w:hAnsi="Arial"/>
          <w:sz w:val="18"/>
          <w:szCs w:val="18"/>
          <w:color w:val="auto"/>
        </w:rPr>
      </w:pPr>
    </w:p>
    <w:p>
      <w:pPr>
        <w:ind w:left="460" w:right="120" w:firstLine="4"/>
        <w:spacing w:after="0" w:line="259" w:lineRule="auto"/>
        <w:tabs>
          <w:tab w:leader="none" w:pos="699"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9" w:lineRule="exact"/>
        <w:rPr>
          <w:rFonts w:ascii="Arial" w:cs="Arial" w:eastAsia="Arial" w:hAnsi="Arial"/>
          <w:sz w:val="18"/>
          <w:szCs w:val="18"/>
          <w:color w:val="auto"/>
        </w:rPr>
      </w:pPr>
    </w:p>
    <w:p>
      <w:pPr>
        <w:ind w:left="460" w:right="120" w:firstLine="4"/>
        <w:spacing w:after="0" w:line="332" w:lineRule="auto"/>
        <w:tabs>
          <w:tab w:leader="none" w:pos="709"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 w:lineRule="exact"/>
        <w:rPr>
          <w:rFonts w:ascii="Arial" w:cs="Arial" w:eastAsia="Arial" w:hAnsi="Arial"/>
          <w:sz w:val="16"/>
          <w:szCs w:val="16"/>
          <w:color w:val="auto"/>
        </w:rPr>
      </w:pPr>
    </w:p>
    <w:p>
      <w:pPr>
        <w:jc w:val="both"/>
        <w:ind w:left="460" w:right="360" w:firstLine="4"/>
        <w:spacing w:after="0" w:line="259" w:lineRule="auto"/>
        <w:tabs>
          <w:tab w:leader="none" w:pos="699"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40" w:lineRule="exact"/>
        <w:rPr>
          <w:rFonts w:ascii="Arial" w:cs="Arial" w:eastAsia="Arial" w:hAnsi="Arial"/>
          <w:sz w:val="18"/>
          <w:szCs w:val="18"/>
          <w:color w:val="auto"/>
        </w:rPr>
      </w:pPr>
    </w:p>
    <w:p>
      <w:pPr>
        <w:ind w:right="720" w:firstLine="8"/>
        <w:spacing w:after="0" w:line="332" w:lineRule="auto"/>
        <w:tabs>
          <w:tab w:leader="none" w:pos="176" w:val="left"/>
        </w:tabs>
        <w:numPr>
          <w:ilvl w:val="0"/>
          <w:numId w:val="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4" w:lineRule="exact"/>
        <w:rPr>
          <w:rFonts w:ascii="Arial" w:cs="Arial" w:eastAsia="Arial" w:hAnsi="Arial"/>
          <w:sz w:val="16"/>
          <w:szCs w:val="16"/>
          <w:color w:val="auto"/>
        </w:rPr>
      </w:pPr>
    </w:p>
    <w:p>
      <w:pPr>
        <w:ind w:left="460" w:right="80" w:firstLine="4"/>
        <w:spacing w:after="0" w:line="268" w:lineRule="auto"/>
        <w:tabs>
          <w:tab w:leader="none" w:pos="699"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8"/>
          <w:szCs w:val="18"/>
          <w:color w:val="auto"/>
        </w:rPr>
      </w:pPr>
    </w:p>
    <w:p>
      <w:pPr>
        <w:ind w:left="460" w:right="300" w:firstLine="4"/>
        <w:spacing w:after="0" w:line="268" w:lineRule="auto"/>
        <w:tabs>
          <w:tab w:leader="none" w:pos="709"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 May 15, 2006</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Strategic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ectPr>
          <w:pgSz w:w="11900" w:h="16838" w:orient="portrait"/>
          <w:cols w:equalWidth="0" w:num="1">
            <w:col w:w="11420"/>
          </w:cols>
          <w:pgMar w:left="240" w:top="125" w:right="239" w:bottom="1440" w:gutter="0" w:footer="0" w:header="0"/>
        </w:sectPr>
      </w:pPr>
    </w:p>
    <w:bookmarkStart w:id="42" w:name="page43"/>
    <w:bookmarkEnd w:id="42"/>
    <w:p>
      <w:pPr>
        <w:jc w:val="right"/>
        <w:spacing w:after="0"/>
        <w:rPr>
          <w:sz w:val="20"/>
          <w:szCs w:val="20"/>
          <w:color w:val="auto"/>
        </w:rPr>
      </w:pPr>
      <w:r>
        <w:rPr>
          <w:rFonts w:ascii="Arial" w:cs="Arial" w:eastAsia="Arial" w:hAnsi="Arial"/>
          <w:sz w:val="18"/>
          <w:szCs w:val="18"/>
          <w:b w:val="1"/>
          <w:bCs w:val="1"/>
          <w:color w:val="auto"/>
        </w:rPr>
        <w:t>Exhibit 32.1</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April 2, 2006, as filed with the Securities and Exchange Commission on the date hereof (the “Report”), I, Youm Huh, Chief Executive Officer and President of the Company, certify, pursuant to 18 U.S.C. §1350, as adopted pursuant to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Youm Huh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Youm Huh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 and President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May 15, 2006</w:t>
      </w:r>
    </w:p>
    <w:p>
      <w:pPr>
        <w:spacing w:after="0" w:line="165"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p>
      <w:pPr>
        <w:sectPr>
          <w:pgSz w:w="11900" w:h="16838" w:orient="portrait"/>
          <w:cols w:equalWidth="0" w:num="1">
            <w:col w:w="11420"/>
          </w:cols>
          <w:pgMar w:left="240" w:top="125" w:right="239" w:bottom="1440" w:gutter="0" w:footer="0" w:header="0"/>
        </w:sectPr>
      </w:pPr>
    </w:p>
    <w:bookmarkStart w:id="43" w:name="page44"/>
    <w:bookmarkEnd w:id="43"/>
    <w:p>
      <w:pPr>
        <w:jc w:val="right"/>
        <w:spacing w:after="0"/>
        <w:rPr>
          <w:sz w:val="20"/>
          <w:szCs w:val="20"/>
          <w:color w:val="auto"/>
        </w:rPr>
      </w:pPr>
      <w:r>
        <w:rPr>
          <w:rFonts w:ascii="Arial" w:cs="Arial" w:eastAsia="Arial" w:hAnsi="Arial"/>
          <w:sz w:val="18"/>
          <w:szCs w:val="18"/>
          <w:b w:val="1"/>
          <w:bCs w:val="1"/>
          <w:color w:val="auto"/>
        </w:rPr>
        <w:t>Exhibit 32.2</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65"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connection with the Quarterly Report of MagnaChip Semiconductor LLC (the “Company”) on Form 10-Q for the period ending April 2, 2006, as filed with the Securities and Exchange Commission on the date hereof (the “Report”), I, Robert J. Krakauer, Executive Vice President, Strategic Operations, and Chief Financial Officer of the Company, certify, pursuant to 18 U.S.C. §1350, as adopted pursuant to §906 of the Sarbanes-Oxley Act of 2002, that to my knowledge:</w:t>
      </w:r>
    </w:p>
    <w:p>
      <w:pPr>
        <w:spacing w:after="0" w:line="107" w:lineRule="exact"/>
        <w:rPr>
          <w:sz w:val="20"/>
          <w:szCs w:val="20"/>
          <w:color w:val="auto"/>
        </w:rPr>
      </w:pPr>
    </w:p>
    <w:p>
      <w:pPr>
        <w:ind w:left="720" w:hanging="256"/>
        <w:spacing w:after="0"/>
        <w:tabs>
          <w:tab w:leader="none" w:pos="7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/s/ Robert J. Krakauer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11277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Robert J. Krakauer</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Executive Vice President, Strategic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Chief Financial Officer</w:t>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May 15, 2006</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A signed original of this written statement required by Section 906 has been provided to the Company and will be retained by the Company and furnished to the Securities and Exchange Commission or its staff upon request.</w:t>
      </w:r>
    </w:p>
    <w:sectPr>
      <w:pgSz w:w="11900" w:h="16838" w:orient="portrait"/>
      <w:cols w:equalWidth="0" w:num="1">
        <w:col w:w="11420"/>
      </w:cols>
      <w:pgMar w:left="240" w:top="12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1."/>
      <w:numFmt w:val="decimal"/>
      <w:start w:val="1"/>
    </w:lvl>
  </w:abstractNum>
  <w:abstractNum w:abstractNumId="3">
    <w:nsid w:val="79E2A9E3"/>
    <w:multiLevelType w:val="hybridMultilevel"/>
    <w:lvl w:ilvl="0">
      <w:lvlJc w:val="left"/>
      <w:lvlText w:val="\endash "/>
      <w:numFmt w:val="bullet"/>
      <w:start w:val="1"/>
    </w:lvl>
  </w:abstractNum>
  <w:abstractNum w:abstractNumId="4">
    <w:nsid w:val="7545E146"/>
    <w:multiLevelType w:val="hybridMultilevel"/>
    <w:lvl w:ilvl="0">
      <w:lvlJc w:val="left"/>
      <w:lvlText w:val="(%1)"/>
      <w:numFmt w:val="lowerRoman"/>
      <w:start w:val="7"/>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lvl w:ilvl="1">
      <w:lvlJc w:val="left"/>
      <w:lvlText w:val="(%2)"/>
      <w:numFmt w:val="lowerLetter"/>
      <w:start w:val="1"/>
    </w:lvl>
  </w:abstractNum>
  <w:abstractNum w:abstractNumId="8">
    <w:nsid w:val="4DB127F8"/>
    <w:multiLevelType w:val="hybridMultilevel"/>
    <w:lvl w:ilvl="0">
      <w:lvlJc w:val="left"/>
      <w:lvlText w:val="%1."/>
      <w:numFmt w:val="decimal"/>
      <w:start w:val="1"/>
    </w:lvl>
    <w:lvl w:ilvl="1">
      <w:lvlJc w:val="left"/>
      <w:lvlText w:val="(%2)"/>
      <w:numFmt w:val="lowerLetter"/>
      <w:start w:val="1"/>
    </w:lvl>
  </w:abstractNum>
  <w:abstractNum w:abstractNumId="9">
    <w:nsid w:val="216231B"/>
    <w:multiLevelType w:val="hybridMultilevel"/>
    <w:lvl w:ilvl="0">
      <w:lvlJc w:val="left"/>
      <w:lvlText w:val="(%1)"/>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2019-12-15T11:48:09Z</dcterms:created>
  <dcterms:modified xsi:type="dcterms:W3CDTF">2019-12-15T11:48:09Z</dcterms:modified>
</cp:coreProperties>
</file>