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November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16"/>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8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(Zip Code)</w:t>
      </w:r>
    </w:p>
    <w:p>
      <w:pPr>
        <w:spacing w:after="0" w:line="11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Preferred Stock 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184785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5" w:lineRule="exact"/>
        <w:rPr>
          <w:sz w:val="20"/>
          <w:szCs w:val="20"/>
          <w:color w:val="auto"/>
        </w:rPr>
      </w:pPr>
    </w:p>
    <w:p>
      <w:pPr>
        <w:ind w:left="4" w:right="140"/>
        <w:spacing w:after="0" w:line="266" w:lineRule="auto"/>
        <w:rPr>
          <w:sz w:val="20"/>
          <w:szCs w:val="20"/>
          <w:color w:val="auto"/>
        </w:rPr>
      </w:pPr>
      <w:r>
        <w:rPr>
          <w:rFonts w:ascii="Arial" w:cs="Arial" w:eastAsia="Arial" w:hAnsi="Arial"/>
          <w:sz w:val="18"/>
          <w:szCs w:val="18"/>
          <w:color w:val="auto"/>
        </w:rPr>
        <w:t>On November 2, 2022,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filed a Current Report on Form 8-K (the “</w:t>
      </w:r>
      <w:r>
        <w:rPr>
          <w:rFonts w:ascii="Arial" w:cs="Arial" w:eastAsia="Arial" w:hAnsi="Arial"/>
          <w:sz w:val="18"/>
          <w:szCs w:val="18"/>
          <w:b w:val="1"/>
          <w:bCs w:val="1"/>
          <w:color w:val="auto"/>
        </w:rPr>
        <w:t>Original Form 8-K</w:t>
      </w:r>
      <w:r>
        <w:rPr>
          <w:rFonts w:ascii="Arial" w:cs="Arial" w:eastAsia="Arial" w:hAnsi="Arial"/>
          <w:sz w:val="18"/>
          <w:szCs w:val="18"/>
          <w:color w:val="auto"/>
        </w:rPr>
        <w:t>”), under Items 2.02 and 9.01, related to financial information for the Company and its consolidated subsidiaries for the third quarter ended September 30, 2022, as presented in a press release dated November 2, 2022.</w:t>
      </w:r>
    </w:p>
    <w:p>
      <w:pPr>
        <w:spacing w:after="0" w:line="180"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Subsequent to the furnishing of the press release on the Original Form 8-K, the Company identified a scrivener’s error in the Non-GAAP reconciliation tables attached to the press release for Adjusted Net Income per common share (basic and diluted) for the nine month period ended September 30, 2021, which should have been $0.82 and $0.78 per share, respectively, consistent with the Company’s prior reports for that historical period. No other amounts or information reported in the Original Form 8-K and press release were changed.</w:t>
      </w:r>
    </w:p>
    <w:p>
      <w:pPr>
        <w:spacing w:after="0" w:line="187"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The Company issued a revised version of the press release on November 4, 2022 to correct such information. Accordingly, the Company is filing this Form 8-K/A to furnish a copy of the corrected version of the press release as Exhibit 99.1 hereto.</w:t>
      </w:r>
    </w:p>
    <w:p>
      <w:pPr>
        <w:spacing w:after="0" w:line="31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 w:right="540"/>
        <w:spacing w:after="0" w:line="263" w:lineRule="auto"/>
        <w:rPr>
          <w:sz w:val="20"/>
          <w:szCs w:val="20"/>
          <w:color w:val="auto"/>
        </w:rPr>
      </w:pPr>
      <w:r>
        <w:rPr>
          <w:rFonts w:ascii="Arial" w:cs="Arial" w:eastAsia="Arial" w:hAnsi="Arial"/>
          <w:sz w:val="18"/>
          <w:szCs w:val="18"/>
          <w:color w:val="auto"/>
        </w:rPr>
        <w:t>Attached hereto as Exhibit 99.1 and incorporated by reference herein is financial information for Magnachip Semiconductor Corporation and its consolidated subsidiaries for the third quarter ended September 30, 2022, as presented in a press release dated November 2, 2022, as corrected on November 4, 2022.</w:t>
      </w:r>
    </w:p>
    <w:p>
      <w:pPr>
        <w:spacing w:after="0" w:line="184"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3"/>
                <w:szCs w:val="23"/>
                <w:color w:val="auto"/>
              </w:rPr>
            </w:pPr>
          </w:p>
        </w:tc>
        <w:tc>
          <w:tcPr>
            <w:tcW w:w="95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9"/>
              </w:rPr>
              <w:t>Press release for Magnachip Semiconductor Corporation dated November 4, 2022, announcing the results for the third quarter ended</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gridSpan w:val="4"/>
          </w:tcPr>
          <w:p>
            <w:pPr>
              <w:spacing w:after="0" w:line="196" w:lineRule="exact"/>
              <w:rPr>
                <w:sz w:val="20"/>
                <w:szCs w:val="20"/>
                <w:color w:val="auto"/>
              </w:rPr>
            </w:pPr>
            <w:r>
              <w:rPr>
                <w:rFonts w:ascii="Arial" w:cs="Arial" w:eastAsia="Arial" w:hAnsi="Arial"/>
                <w:sz w:val="18"/>
                <w:szCs w:val="18"/>
                <w:color w:val="0000EE"/>
              </w:rPr>
              <w:t>September 30, 2022 (As Corrected).</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54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4"/>
          </w:cols>
          <w:pgMar w:left="436"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Arial" w:cs="Arial" w:eastAsia="Arial" w:hAnsi="Arial"/>
                <w:sz w:val="18"/>
                <w:szCs w:val="18"/>
                <w:color w:val="auto"/>
              </w:rPr>
              <w:t>Date: November 4, 2022</w:t>
            </w:r>
          </w:p>
        </w:tc>
        <w:tc>
          <w:tcPr>
            <w:tcW w:w="7380" w:type="dxa"/>
            <w:vAlign w:val="bottom"/>
            <w:gridSpan w:val="2"/>
          </w:tcPr>
          <w:p>
            <w:pPr>
              <w:ind w:left="1880"/>
              <w:spacing w:after="0"/>
              <w:rPr>
                <w:sz w:val="20"/>
                <w:szCs w:val="20"/>
                <w:color w:val="auto"/>
              </w:rPr>
            </w:pPr>
            <w:r>
              <w:rPr>
                <w:rFonts w:ascii="Arial" w:cs="Arial" w:eastAsia="Arial" w:hAnsi="Arial"/>
                <w:sz w:val="18"/>
                <w:szCs w:val="18"/>
                <w:b w:val="1"/>
                <w:bCs w:val="1"/>
                <w:color w:val="auto"/>
              </w:rPr>
              <w:t>MAGNACHIP SEMICONDUCTOR CORPORATION</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Kim</w:t>
            </w:r>
          </w:p>
        </w:tc>
      </w:tr>
      <w:tr>
        <w:trPr>
          <w:trHeight w:val="209"/>
        </w:trPr>
        <w:tc>
          <w:tcPr>
            <w:tcW w:w="364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Theodore Kim</w:t>
            </w:r>
          </w:p>
        </w:tc>
      </w:tr>
      <w:tr>
        <w:trPr>
          <w:trHeight w:val="230"/>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Compliance Officer, General Counsel and Secretary</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202815" cy="454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281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CORRECTING and REPLACING Magnachip Reports Results for Third Quarter 2022</w:t>
      </w:r>
    </w:p>
    <w:p>
      <w:pPr>
        <w:spacing w:after="0" w:line="225" w:lineRule="exact"/>
        <w:rPr>
          <w:sz w:val="20"/>
          <w:szCs w:val="20"/>
          <w:color w:val="auto"/>
        </w:rPr>
      </w:pPr>
    </w:p>
    <w:p>
      <w:pPr>
        <w:ind w:right="620"/>
        <w:spacing w:after="0" w:line="347" w:lineRule="auto"/>
        <w:rPr>
          <w:sz w:val="20"/>
          <w:szCs w:val="20"/>
          <w:color w:val="auto"/>
        </w:rPr>
      </w:pPr>
      <w:r>
        <w:rPr>
          <w:rFonts w:ascii="Arial" w:cs="Arial" w:eastAsia="Arial" w:hAnsi="Arial"/>
          <w:sz w:val="16"/>
          <w:szCs w:val="16"/>
          <w:b w:val="1"/>
          <w:bCs w:val="1"/>
          <w:color w:val="auto"/>
        </w:rPr>
        <w:t xml:space="preserve">SEOUL, South Korea, November 4, 2022 </w:t>
      </w:r>
      <w:r>
        <w:rPr>
          <w:rFonts w:ascii="Arial" w:cs="Arial" w:eastAsia="Arial" w:hAnsi="Arial"/>
          <w:sz w:val="16"/>
          <w:szCs w:val="16"/>
          <w:color w:val="auto"/>
        </w:rPr>
        <w:t>— Magnachip Semiconductor Corporation (NYSE: MX) (“Magnachip” or the “Company”) today is</w:t>
      </w:r>
      <w:r>
        <w:rPr>
          <w:rFonts w:ascii="Arial" w:cs="Arial" w:eastAsia="Arial" w:hAnsi="Arial"/>
          <w:sz w:val="16"/>
          <w:szCs w:val="16"/>
          <w:b w:val="1"/>
          <w:bCs w:val="1"/>
          <w:color w:val="auto"/>
        </w:rPr>
        <w:t xml:space="preserve"> </w:t>
      </w:r>
      <w:r>
        <w:rPr>
          <w:rFonts w:ascii="Arial" w:cs="Arial" w:eastAsia="Arial" w:hAnsi="Arial"/>
          <w:sz w:val="16"/>
          <w:szCs w:val="16"/>
          <w:color w:val="auto"/>
        </w:rPr>
        <w:t>correcting an error to its press release issued on November 2, 2022 announcing the Company’s financial results for the third quarter of 2022.</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Subsequent to the furnishing of the press release, the Company identified a scrivener’s error in the Non-GAAP reconciliation table attached to the press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release for Adjusted Net Income per common share (basic and diluted) for the nine month period ended September 30, 2021, which should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$0.82 and $0.78 per share, respectively, consistent with the Company’s prior reports for that historical period. No other amounts or information reported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press release were changed.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updated release reads: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Reports Results for Third Quarter 2022</w:t>
      </w:r>
    </w:p>
    <w:p>
      <w:pPr>
        <w:spacing w:after="0" w:line="252" w:lineRule="exact"/>
        <w:rPr>
          <w:sz w:val="20"/>
          <w:szCs w:val="20"/>
          <w:color w:val="auto"/>
        </w:rPr>
      </w:pPr>
    </w:p>
    <w:p>
      <w:pPr>
        <w:ind w:left="960" w:right="200" w:hanging="532"/>
        <w:spacing w:after="0" w:line="224" w:lineRule="auto"/>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 of $71.2 million was within our guidance range. The year-over-year and sequential decline were primarily driven by the supply shortages of OLED wafers in the 2</w:t>
      </w:r>
      <w:r>
        <w:rPr>
          <w:rFonts w:ascii="Arial" w:cs="Arial" w:eastAsia="Arial" w:hAnsi="Arial"/>
          <w:sz w:val="26"/>
          <w:szCs w:val="26"/>
          <w:b w:val="1"/>
          <w:bCs w:val="1"/>
          <w:color w:val="auto"/>
          <w:vertAlign w:val="superscript"/>
        </w:rPr>
        <w:t>nd</w:t>
      </w:r>
      <w:r>
        <w:rPr>
          <w:rFonts w:ascii="Arial" w:cs="Arial" w:eastAsia="Arial" w:hAnsi="Arial"/>
          <w:sz w:val="18"/>
          <w:szCs w:val="18"/>
          <w:b w:val="1"/>
          <w:bCs w:val="1"/>
          <w:color w:val="auto"/>
        </w:rPr>
        <w:t xml:space="preserve"> half of this year that impacted design-in projects from our large panel customer in Korea.</w:t>
      </w:r>
    </w:p>
    <w:p>
      <w:pPr>
        <w:spacing w:after="0" w:line="104" w:lineRule="exact"/>
        <w:rPr>
          <w:rFonts w:ascii="Arial" w:cs="Arial" w:eastAsia="Arial" w:hAnsi="Arial"/>
          <w:sz w:val="18"/>
          <w:szCs w:val="18"/>
          <w:b w:val="1"/>
          <w:bCs w:val="1"/>
          <w:color w:val="auto"/>
        </w:rPr>
      </w:pPr>
    </w:p>
    <w:p>
      <w:pPr>
        <w:ind w:left="960" w:right="340" w:hanging="532"/>
        <w:spacing w:after="0" w:line="282" w:lineRule="auto"/>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Gross profit margin was 24.2%, below the low end of our guidance range as we recorded a $3.3 million charge to scrap 12-inch wafers as a result of slowing demand caused by elevated smartphone inventories in China.</w:t>
      </w:r>
    </w:p>
    <w:p>
      <w:pPr>
        <w:spacing w:after="0" w:line="67" w:lineRule="exact"/>
        <w:rPr>
          <w:rFonts w:ascii="Arial" w:cs="Arial" w:eastAsia="Arial" w:hAnsi="Arial"/>
          <w:sz w:val="18"/>
          <w:szCs w:val="18"/>
          <w:b w:val="1"/>
          <w:bCs w:val="1"/>
          <w:color w:val="auto"/>
        </w:rPr>
      </w:pPr>
    </w:p>
    <w:p>
      <w:pPr>
        <w:ind w:left="960" w:hanging="532"/>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GAAP diluted loss per share was $0.38.</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Non-GAAP diluted earnings per share was $0.02.</w:t>
      </w:r>
    </w:p>
    <w:p>
      <w:pPr>
        <w:spacing w:after="0" w:line="2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SEOUL, South Korea </w:t>
      </w:r>
      <w:r>
        <w:rPr>
          <w:rFonts w:ascii="Arial" w:cs="Arial" w:eastAsia="Arial" w:hAnsi="Arial"/>
          <w:sz w:val="18"/>
          <w:szCs w:val="18"/>
          <w:color w:val="auto"/>
        </w:rPr>
        <w:t>— Magnachip Semiconductor Corporation (NYSE: MX) (“Magnachip” or the “Company”) today announced financial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third quarter of 2022.</w:t>
      </w:r>
    </w:p>
    <w:p>
      <w:pPr>
        <w:spacing w:after="0" w:line="166"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Commenting on the results for the third quarter of 2022, YJ Kim, Magnachip’s chief executive officer stated, “Our Q3 revenue of $71.2 million was within our guidance range. As we mentioned last quarter, our Display business in the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half is impacted by supply shortages of 28nm 12-inch OLED wafers that impacted design-in projects from our large panel customer in Korea, which are typically given in advance based on future wafer supply allocation. In addition, China covid lockdowns and the dramatic slowdown in consumer spending due to inflationary pressures reduced demand for smartphones and TVs and resulted in an oversupply of channel inventories, particularly in China. Our Power business also slowed due to lower consumer spending.”</w:t>
      </w:r>
    </w:p>
    <w:p>
      <w:pPr>
        <w:spacing w:after="0" w:line="20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YJ Kim continued, “While the global economic situation remains challenging, our balance sheet is strong, and we are focused on executing a recovery of our Display business. During the quarter, we successfully released our new OLED DDIC sample to our new panel customer and we expect to begin mass production in 2023. In addition, due to the global economic slowdown, we are seeing more wafer capacity availability and we are in discussion with multiple foundries to secure capacity and believe that our 2023 wafer supply will be more than two times higher than 2022. As such, we expect to see a significant recovery of Display business in 2023.”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2022 Financial Highlights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jc w:val="center"/>
              <w:ind w:left="15"/>
              <w:spacing w:after="0"/>
              <w:rPr>
                <w:sz w:val="20"/>
                <w:szCs w:val="20"/>
                <w:color w:val="auto"/>
              </w:rPr>
            </w:pPr>
            <w:r>
              <w:rPr>
                <w:rFonts w:ascii="Arial" w:cs="Arial" w:eastAsia="Arial" w:hAnsi="Arial"/>
                <w:sz w:val="14"/>
                <w:szCs w:val="14"/>
                <w:color w:val="auto"/>
                <w:w w:val="91"/>
              </w:rPr>
              <w:t>In thousands of U.S. dollars, except share data</w:t>
            </w: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GAAP</w:t>
            </w: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Q3 2022</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Q2 2022</w:t>
            </w:r>
          </w:p>
        </w:tc>
        <w:tc>
          <w:tcPr>
            <w:tcW w:w="150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Q/Q 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3"/>
              </w:rPr>
              <w:t>Q3 2021</w:t>
            </w:r>
          </w:p>
        </w:tc>
        <w:tc>
          <w:tcPr>
            <w:tcW w:w="10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Y/Y change</w:t>
            </w:r>
          </w:p>
        </w:tc>
        <w:tc>
          <w:tcPr>
            <w:tcW w:w="420" w:type="dxa"/>
            <w:vAlign w:val="bottom"/>
          </w:tcPr>
          <w:p>
            <w:pPr>
              <w:spacing w:after="0"/>
              <w:rPr>
                <w:sz w:val="12"/>
                <w:szCs w:val="12"/>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Standard Products Business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6,355</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28,336</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77.6%</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58,528</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89.1%</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Power Solutions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56,416</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62,952</w:t>
            </w:r>
          </w:p>
        </w:tc>
        <w:tc>
          <w:tcPr>
            <w:tcW w:w="520" w:type="dxa"/>
            <w:vAlign w:val="bottom"/>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10.4%</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58,887</w:t>
            </w:r>
          </w:p>
        </w:tc>
        <w:tc>
          <w:tcPr>
            <w:tcW w:w="580" w:type="dxa"/>
            <w:vAlign w:val="bottom"/>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r>
      <w:tr>
        <w:trPr>
          <w:trHeight w:val="216"/>
        </w:trPr>
        <w:tc>
          <w:tcPr>
            <w:tcW w:w="55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Transitional Fab 3 foundry services</w:t>
            </w:r>
            <w:r>
              <w:rPr>
                <w:rFonts w:ascii="Arial" w:cs="Arial" w:eastAsia="Arial" w:hAnsi="Arial"/>
                <w:sz w:val="25"/>
                <w:szCs w:val="25"/>
                <w:color w:val="auto"/>
                <w:vertAlign w:val="superscript"/>
              </w:rPr>
              <w:t>(1)</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8,428</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10,088</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9,585</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Gross Profit Margin</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28.6%</w:t>
            </w:r>
          </w:p>
        </w:tc>
        <w:tc>
          <w:tcPr>
            <w:tcW w:w="520" w:type="dxa"/>
            <w:vAlign w:val="bottom"/>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4.4%pts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36.7%</w:t>
            </w:r>
          </w:p>
        </w:tc>
        <w:tc>
          <w:tcPr>
            <w:tcW w:w="580" w:type="dxa"/>
            <w:vAlign w:val="bottom"/>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12.5%pts</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(10,008)</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2,002</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20,001</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(17,195)</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(3,340)</w:t>
            </w:r>
          </w:p>
        </w:tc>
        <w:tc>
          <w:tcPr>
            <w:tcW w:w="520" w:type="dxa"/>
            <w:vAlign w:val="bottom"/>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10,768</w:t>
            </w:r>
          </w:p>
        </w:tc>
        <w:tc>
          <w:tcPr>
            <w:tcW w:w="580" w:type="dxa"/>
            <w:vAlign w:val="bottom"/>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(0.38)</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(0.07)</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0.23</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(0.07)</w:t>
            </w:r>
          </w:p>
        </w:tc>
        <w:tc>
          <w:tcPr>
            <w:tcW w:w="520" w:type="dxa"/>
            <w:vAlign w:val="bottom"/>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0.23</w:t>
            </w:r>
          </w:p>
        </w:tc>
        <w:tc>
          <w:tcPr>
            <w:tcW w:w="580" w:type="dxa"/>
            <w:vAlign w:val="bottom"/>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r>
      <w:tr>
        <w:trPr>
          <w:trHeight w:val="346"/>
        </w:trPr>
        <w:tc>
          <w:tcPr>
            <w:tcW w:w="55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jc w:val="center"/>
              <w:ind w:left="15"/>
              <w:spacing w:after="0"/>
              <w:rPr>
                <w:sz w:val="20"/>
                <w:szCs w:val="20"/>
                <w:color w:val="auto"/>
              </w:rPr>
            </w:pPr>
            <w:r>
              <w:rPr>
                <w:rFonts w:ascii="Arial" w:cs="Arial" w:eastAsia="Arial" w:hAnsi="Arial"/>
                <w:sz w:val="14"/>
                <w:szCs w:val="14"/>
                <w:color w:val="auto"/>
                <w:w w:val="91"/>
              </w:rPr>
              <w:t>In thousands of U.S. dollars, except share data</w:t>
            </w: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142"/>
        </w:trPr>
        <w:tc>
          <w:tcPr>
            <w:tcW w:w="55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Non-GAAP</w:t>
            </w:r>
            <w:r>
              <w:rPr>
                <w:rFonts w:ascii="Arial" w:cs="Arial" w:eastAsia="Arial" w:hAnsi="Arial"/>
                <w:sz w:val="10"/>
                <w:szCs w:val="10"/>
                <w:b w:val="1"/>
                <w:bCs w:val="1"/>
                <w:color w:val="auto"/>
                <w:w w:val="96"/>
              </w:rPr>
              <w:t>(2)</w:t>
            </w: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Q3 2022</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Q2 2022</w:t>
            </w:r>
          </w:p>
        </w:tc>
        <w:tc>
          <w:tcPr>
            <w:tcW w:w="150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Q/Q 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3"/>
              </w:rPr>
              <w:t>Q3 2021</w:t>
            </w:r>
          </w:p>
        </w:tc>
        <w:tc>
          <w:tcPr>
            <w:tcW w:w="10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Y/Y change</w:t>
            </w:r>
          </w:p>
        </w:tc>
        <w:tc>
          <w:tcPr>
            <w:tcW w:w="420" w:type="dxa"/>
            <w:vAlign w:val="bottom"/>
          </w:tcPr>
          <w:p>
            <w:pPr>
              <w:spacing w:after="0"/>
              <w:rPr>
                <w:sz w:val="12"/>
                <w:szCs w:val="12"/>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(Loss)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22,691</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2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(2,995)</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8,525</w:t>
            </w:r>
          </w:p>
        </w:tc>
        <w:tc>
          <w:tcPr>
            <w:tcW w:w="520" w:type="dxa"/>
            <w:vAlign w:val="bottom"/>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26,361</w:t>
            </w:r>
          </w:p>
        </w:tc>
        <w:tc>
          <w:tcPr>
            <w:tcW w:w="580" w:type="dxa"/>
            <w:vAlign w:val="bottom"/>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1,097</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10,567</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89.6%</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20,073</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94.5%</w:t>
            </w:r>
          </w:p>
        </w:tc>
      </w:t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Adjusted Earnings per Common Share—Diluted</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0.02</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0.23</w:t>
            </w:r>
          </w:p>
        </w:tc>
        <w:tc>
          <w:tcPr>
            <w:tcW w:w="520" w:type="dxa"/>
            <w:vAlign w:val="bottom"/>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91.3%</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0.42</w:t>
            </w:r>
          </w:p>
        </w:tc>
        <w:tc>
          <w:tcPr>
            <w:tcW w:w="580" w:type="dxa"/>
            <w:vAlign w:val="bottom"/>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95.2%</w:t>
            </w:r>
          </w:p>
        </w:tc>
      </w:tr>
    </w:tbl>
    <w:p>
      <w:pPr>
        <w:sectPr>
          <w:pgSz w:w="11900" w:h="16838" w:orient="portrait"/>
          <w:cols w:equalWidth="0" w:num="1">
            <w:col w:w="11020"/>
          </w:cols>
          <w:pgMar w:left="440" w:top="121" w:right="439" w:bottom="1131" w:gutter="0" w:footer="0" w:header="0"/>
        </w:sectPr>
      </w:pPr>
    </w:p>
    <w:bookmarkStart w:id="4" w:name="page5"/>
    <w:bookmarkEnd w:id="4"/>
    <w:p>
      <w:pPr>
        <w:ind w:left="424" w:hanging="424"/>
        <w:spacing w:after="0" w:line="25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183515</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t>Following the consummation of the sale of the Foundry Services Group business and Fab 4 in Q3 2020, and for a period of up to three years, we will provide transitional foundry services to the buyer for foundry products manufactured in our fabrication facility located in Gumi (“Transitional Fab 3 Foundry Services”). Management believes that disclosing revenue of Transitional Fab 3 Foundry Services separately from the standard products business allows investors to better understand the results of our core standard products display solutions and power solutions business lines.</w:t>
      </w:r>
    </w:p>
    <w:p>
      <w:pPr>
        <w:sectPr>
          <w:pgSz w:w="11900" w:h="16838" w:orient="portrait"/>
          <w:cols w:equalWidth="0" w:num="1">
            <w:col w:w="10964"/>
          </w:cols>
          <w:pgMar w:left="436" w:top="314" w:right="499" w:bottom="1440" w:gutter="0" w:footer="0" w:header="0"/>
        </w:sectPr>
      </w:pPr>
    </w:p>
    <w:bookmarkStart w:id="5" w:name="page6"/>
    <w:bookmarkEnd w:id="5"/>
    <w:p>
      <w:pPr>
        <w:ind w:left="424" w:right="120" w:hanging="424"/>
        <w:spacing w:after="0" w:line="25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5986145</wp:posOffset>
            </wp:positionH>
            <wp:positionV relativeFrom="page">
              <wp:posOffset>182880</wp:posOffset>
            </wp:positionV>
            <wp:extent cx="1285875"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82575"/>
                    </a:xfrm>
                    <a:prstGeom prst="rect">
                      <a:avLst/>
                    </a:prstGeom>
                    <a:noFill/>
                  </pic:spPr>
                </pic:pic>
              </a:graphicData>
            </a:graphic>
          </wp:anchor>
        </w:drawing>
        <w:t>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income (loss) or as a better indicator of our operating performance than measures that are presented in accordance with GAAP. A reconciliation of GAAP results to non-GAAP results is included in this press release.</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Q4 2022 Financial Guidance</w:t>
      </w:r>
    </w:p>
    <w:p>
      <w:pPr>
        <w:spacing w:after="0" w:line="121" w:lineRule="exact"/>
        <w:rPr>
          <w:sz w:val="20"/>
          <w:szCs w:val="20"/>
          <w:color w:val="auto"/>
        </w:rPr>
      </w:pPr>
    </w:p>
    <w:p>
      <w:pPr>
        <w:ind w:left="4" w:right="20"/>
        <w:spacing w:after="0" w:line="233" w:lineRule="auto"/>
        <w:rPr>
          <w:sz w:val="20"/>
          <w:szCs w:val="20"/>
          <w:color w:val="auto"/>
        </w:rPr>
      </w:pPr>
      <w:r>
        <w:rPr>
          <w:rFonts w:ascii="Arial" w:cs="Arial" w:eastAsia="Arial" w:hAnsi="Arial"/>
          <w:sz w:val="18"/>
          <w:szCs w:val="18"/>
          <w:color w:val="auto"/>
        </w:rPr>
        <w:t>The Company’s near-term outlook is being challenged by previous OLED wafer allocation constraints that impacted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half design-in projects, elevated smartphone channel inventories, a pushout of the initial mass production ramp of our new OLED customer and weakening demand in consumer end markets on growing recession fears and cost increases, including labor, due to inflationary pressures. In addition, we estimate our Q4 revenue will be further negatively impacted by approximately $5 million of foreign exchange hedging instruments. While actual results may vary, looking into the next quarter, Magnachip currently expects:</w:t>
      </w:r>
    </w:p>
    <w:p>
      <w:pPr>
        <w:spacing w:after="0" w:line="107"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to be in the range of $57 million to $62 million, including about $7 million of Transitional Fab 3 Foundry Services.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margin to be in the range of 26 % to 28%.</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Q3 2022 Earnings Conference Call</w:t>
      </w:r>
    </w:p>
    <w:p>
      <w:pPr>
        <w:spacing w:after="0" w:line="121" w:lineRule="exact"/>
        <w:rPr>
          <w:sz w:val="20"/>
          <w:szCs w:val="20"/>
          <w:color w:val="auto"/>
        </w:rPr>
      </w:pPr>
    </w:p>
    <w:p>
      <w:pPr>
        <w:ind w:left="4" w:right="160"/>
        <w:spacing w:after="0" w:line="257" w:lineRule="auto"/>
        <w:rPr>
          <w:sz w:val="20"/>
          <w:szCs w:val="20"/>
          <w:color w:val="auto"/>
        </w:rPr>
      </w:pPr>
      <w:r>
        <w:rPr>
          <w:rFonts w:ascii="Arial" w:cs="Arial" w:eastAsia="Arial" w:hAnsi="Arial"/>
          <w:sz w:val="18"/>
          <w:szCs w:val="18"/>
          <w:color w:val="auto"/>
        </w:rPr>
        <w:t>Magnachip will host a corresponding conference call at 2:00 p.m. PT / 5:00 p.m. ET on Wednesday, November 2, 2022, to discuss its financial results. In advance of the conference call, all participants must use the following link to complete the online registration process. Upon registering, each participant will receive access details for this event including the dial-in numbers, a PIN number, and an e-mail with detailed instructions to join the conference call. A live and archived webcast of the conference call and a copy of earnings release will be accessible from the ‘Investors’ section of the Company’s website at www.magnachip.com.</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Online registration: </w:t>
      </w:r>
      <w:r>
        <w:rPr>
          <w:rFonts w:ascii="Arial" w:cs="Arial" w:eastAsia="Arial" w:hAnsi="Arial"/>
          <w:sz w:val="18"/>
          <w:szCs w:val="18"/>
          <w:u w:val="single" w:color="auto"/>
          <w:color w:val="auto"/>
        </w:rPr>
        <w:t>https://register.vevent.com/register/BIccd8bcc64c4a4092bc5e11273a22e8f2</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expectations about estimated historical or future operating results and financial performance, outlook and business plans, including fourth quarter 2022 revenue and gross profit margin expectations, and the impact of market conditions associated with inflation and rising interest rates, the COVID-19 pandemic or the emergence of various variants of the virus, geopolitical conflict between Russia and Ukraine, and escalated trade tensions and supply constraints on Magnachip’s fourth quarter 2022 and future operating results.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and/or general economic conditions, including those caused by or related to inflation, potential recessions or other deteriorations, economic instability or civil unrest; the COVID-19 pandemic or the emergence of various variants of the virus or other outbreaks of disease, and governmental lock-downs or other measures implemented in response thereto, and the Russia-Ukraine conflict; manufacturing capacity constraints or supply chain disruptions that may impact our ability to deliver our products or affect the price of components, which may lead to an increase in our costs, as well as impacting demand for our products from customers who are similarly affected by such capacity constraints or disruptions;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our customers and our distributors, including those related to the Russia-Ukraine conflict; change or ratification of local or international laws and regulations, including those related to environment, health and safety; public health issues, including the COVID-19 pandemic or the emergence of various variants of the virus; other business interruptions that could disrupt supply or delivery of, or demand for, Magnachip’s products, including uncertainties regarding the impacts of the COVID-19 pandemic or the emergence of various variants of the virus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U.S. Securities and Exchange Commission (the “SEC”), including our Form 10-K filed on February 23, 2022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3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868"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5986145</wp:posOffset>
            </wp:positionH>
            <wp:positionV relativeFrom="page">
              <wp:posOffset>182880</wp:posOffset>
            </wp:positionV>
            <wp:extent cx="1285875"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82575"/>
                    </a:xfrm>
                    <a:prstGeom prst="rect">
                      <a:avLst/>
                    </a:prstGeom>
                    <a:noFill/>
                  </pic:spPr>
                </pic:pic>
              </a:graphicData>
            </a:graphic>
          </wp:anchor>
        </w:drawing>
        <w:t>About Magnachip Semiconductor</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Magnachip is a designer and manufacturer of analog and mixed-signal semiconductor platform solutions for communications, IoT, consumer, computing, industrial and automotive applications. The Company provides a broad range of standard products to customers worldwide. Magnachip, with more than 40 years of operating history, owns a portfolio of approximately 1,100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Yujia Zhai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214-0809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Yujia@blueshirtgroup.com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864" w:right="459" w:bottom="1440" w:gutter="0" w:footer="0" w:header="0"/>
        </w:sectPr>
      </w:pPr>
    </w:p>
    <w:bookmarkStart w:id="7" w:name="page8"/>
    <w:bookmarkEnd w:id="7"/>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5986145</wp:posOffset>
            </wp:positionH>
            <wp:positionV relativeFrom="page">
              <wp:posOffset>182880</wp:posOffset>
            </wp:positionV>
            <wp:extent cx="1285875"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82575"/>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340" w:type="dxa"/>
            <w:vAlign w:val="bottom"/>
          </w:tcPr>
          <w:p>
            <w:pPr>
              <w:spacing w:after="0"/>
              <w:rPr>
                <w:sz w:val="10"/>
                <w:szCs w:val="10"/>
                <w:color w:val="auto"/>
              </w:rPr>
            </w:pPr>
          </w:p>
        </w:tc>
        <w:tc>
          <w:tcPr>
            <w:tcW w:w="10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w w:val="99"/>
              </w:rPr>
              <w:t>June 30,</w:t>
            </w: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20" w:type="dxa"/>
            <w:vAlign w:val="bottom"/>
          </w:tcPr>
          <w:p>
            <w:pPr>
              <w:spacing w:after="0"/>
              <w:rPr>
                <w:sz w:val="10"/>
                <w:szCs w:val="10"/>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2022</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r>
      <w:tr>
        <w:trPr>
          <w:trHeight w:val="196"/>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1"/>
              <w:spacing w:after="0"/>
              <w:rPr>
                <w:sz w:val="20"/>
                <w:szCs w:val="20"/>
                <w:color w:val="auto"/>
              </w:rPr>
            </w:pPr>
            <w:r>
              <w:rPr>
                <w:rFonts w:ascii="Arial" w:cs="Arial" w:eastAsia="Arial" w:hAnsi="Arial"/>
                <w:sz w:val="18"/>
                <w:szCs w:val="18"/>
                <w:color w:val="auto"/>
              </w:rPr>
              <w:t>62,771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91,288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117,415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1"/>
              <w:spacing w:after="0"/>
              <w:rPr>
                <w:sz w:val="20"/>
                <w:szCs w:val="20"/>
                <w:color w:val="auto"/>
              </w:rPr>
            </w:pPr>
            <w:r>
              <w:rPr>
                <w:rFonts w:ascii="Arial" w:cs="Arial" w:eastAsia="Arial" w:hAnsi="Arial"/>
                <w:sz w:val="18"/>
                <w:szCs w:val="18"/>
                <w:color w:val="auto"/>
              </w:rPr>
              <w:t>248,069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333,589</w:t>
            </w: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8,428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10,088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28,599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30,306</w:t>
            </w:r>
          </w:p>
        </w:tc>
      </w:tr>
      <w:tr>
        <w:trPr>
          <w:trHeight w:val="223"/>
        </w:trPr>
        <w:tc>
          <w:tcPr>
            <w:tcW w:w="43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71,199</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101,376</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276,668</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363,895</w:t>
            </w:r>
          </w:p>
        </w:tc>
        <w:tc>
          <w:tcPr>
            <w:tcW w:w="22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100" w:type="dxa"/>
            <w:vAlign w:val="bottom"/>
          </w:tcPr>
          <w:p>
            <w:pPr>
              <w:spacing w:after="0"/>
              <w:rPr>
                <w:sz w:val="18"/>
                <w:szCs w:val="18"/>
                <w:color w:val="auto"/>
              </w:rPr>
            </w:pPr>
          </w:p>
        </w:tc>
        <w:tc>
          <w:tcPr>
            <w:tcW w:w="980" w:type="dxa"/>
            <w:vAlign w:val="bottom"/>
            <w:gridSpan w:val="2"/>
          </w:tcPr>
          <w:p>
            <w:pPr>
              <w:jc w:val="right"/>
              <w:ind w:right="101"/>
              <w:spacing w:after="0"/>
              <w:rPr>
                <w:sz w:val="20"/>
                <w:szCs w:val="20"/>
                <w:color w:val="auto"/>
              </w:rPr>
            </w:pPr>
            <w:r>
              <w:rPr>
                <w:rFonts w:ascii="Arial" w:cs="Arial" w:eastAsia="Arial" w:hAnsi="Arial"/>
                <w:sz w:val="18"/>
                <w:szCs w:val="18"/>
                <w:color w:val="auto"/>
              </w:rPr>
              <w:t>45,497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63,620</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71,641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Arial" w:cs="Arial" w:eastAsia="Arial" w:hAnsi="Arial"/>
                <w:sz w:val="18"/>
                <w:szCs w:val="18"/>
                <w:color w:val="auto"/>
              </w:rPr>
              <w:t>165,197</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221,297</w:t>
            </w: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Cost of sales – transitional Fab 3 foundry services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8,477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26,305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27,659</w:t>
            </w:r>
          </w:p>
        </w:tc>
      </w:tr>
      <w:tr>
        <w:trPr>
          <w:trHeight w:val="230"/>
        </w:trPr>
        <w:tc>
          <w:tcPr>
            <w:tcW w:w="434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53,974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72,431</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80,413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191,502</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248,956</w:t>
            </w:r>
          </w:p>
        </w:tc>
        <w:tc>
          <w:tcPr>
            <w:tcW w:w="220" w:type="dxa"/>
            <w:vAlign w:val="bottom"/>
          </w:tcPr>
          <w:p>
            <w:pPr>
              <w:spacing w:after="0"/>
              <w:rPr>
                <w:sz w:val="20"/>
                <w:szCs w:val="20"/>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17,225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28,945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85,166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114,939</w:t>
            </w: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rPr>
              <w:t>Gross profit as a percentage of standard products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340" w:type="dxa"/>
            <w:vAlign w:val="bottom"/>
          </w:tcPr>
          <w:p>
            <w:pPr>
              <w:ind w:left="180"/>
              <w:spacing w:after="0"/>
              <w:rPr>
                <w:sz w:val="20"/>
                <w:szCs w:val="20"/>
                <w:color w:val="auto"/>
              </w:rPr>
            </w:pPr>
            <w:r>
              <w:rPr>
                <w:rFonts w:ascii="Arial" w:cs="Arial" w:eastAsia="Arial" w:hAnsi="Arial"/>
                <w:sz w:val="18"/>
                <w:szCs w:val="18"/>
                <w:color w:val="auto"/>
              </w:rPr>
              <w:t>business net sales</w:t>
            </w: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61"/>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 as a percentage of total revenues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11,411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12,736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38,310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39,185</w:t>
            </w: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980" w:type="dxa"/>
            <w:vAlign w:val="bottom"/>
            <w:gridSpan w:val="2"/>
          </w:tcPr>
          <w:p>
            <w:pPr>
              <w:jc w:val="right"/>
              <w:ind w:right="101"/>
              <w:spacing w:after="0"/>
              <w:rPr>
                <w:sz w:val="20"/>
                <w:szCs w:val="20"/>
                <w:color w:val="auto"/>
              </w:rPr>
            </w:pPr>
            <w:r>
              <w:rPr>
                <w:rFonts w:ascii="Arial" w:cs="Arial" w:eastAsia="Arial" w:hAnsi="Arial"/>
                <w:sz w:val="18"/>
                <w:szCs w:val="18"/>
                <w:color w:val="auto"/>
              </w:rPr>
              <w:t>13,321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13,410</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Arial" w:cs="Arial" w:eastAsia="Arial" w:hAnsi="Arial"/>
                <w:sz w:val="18"/>
                <w:szCs w:val="18"/>
                <w:color w:val="auto"/>
              </w:rPr>
              <w:t>38,685</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39,015</w:t>
            </w: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Merger-related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13,842</w:t>
            </w: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Other charges, net</w:t>
            </w:r>
          </w:p>
        </w:tc>
        <w:tc>
          <w:tcPr>
            <w:tcW w:w="100" w:type="dxa"/>
            <w:vAlign w:val="bottom"/>
          </w:tcPr>
          <w:p>
            <w:pPr>
              <w:spacing w:after="0"/>
              <w:rPr>
                <w:sz w:val="18"/>
                <w:szCs w:val="18"/>
                <w:color w:val="auto"/>
              </w:rPr>
            </w:pPr>
          </w:p>
        </w:tc>
        <w:tc>
          <w:tcPr>
            <w:tcW w:w="980" w:type="dxa"/>
            <w:vAlign w:val="bottom"/>
            <w:gridSpan w:val="2"/>
          </w:tcPr>
          <w:p>
            <w:pPr>
              <w:jc w:val="right"/>
              <w:ind w:right="101"/>
              <w:spacing w:after="0"/>
              <w:rPr>
                <w:sz w:val="20"/>
                <w:szCs w:val="20"/>
                <w:color w:val="auto"/>
              </w:rPr>
            </w:pPr>
            <w:r>
              <w:rPr>
                <w:rFonts w:ascii="Arial" w:cs="Arial" w:eastAsia="Arial" w:hAnsi="Arial"/>
                <w:sz w:val="18"/>
                <w:szCs w:val="18"/>
                <w:color w:val="auto"/>
              </w:rPr>
              <w:t>2,501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3,360</w:t>
            </w:r>
          </w:p>
        </w:tc>
      </w:tr>
      <w:tr>
        <w:trPr>
          <w:trHeight w:val="27"/>
        </w:trPr>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4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27,233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26,943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80,293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95,402</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4,873</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19,537</w:t>
            </w:r>
          </w:p>
        </w:tc>
        <w:tc>
          <w:tcPr>
            <w:tcW w:w="220" w:type="dxa"/>
            <w:vAlign w:val="bottom"/>
          </w:tcPr>
          <w:p>
            <w:pPr>
              <w:spacing w:after="0"/>
              <w:rPr>
                <w:sz w:val="19"/>
                <w:szCs w:val="19"/>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(1,239)</w:t>
            </w: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Foreign currency loss, net</w:t>
            </w:r>
          </w:p>
        </w:tc>
        <w:tc>
          <w:tcPr>
            <w:tcW w:w="100" w:type="dxa"/>
            <w:vAlign w:val="bottom"/>
          </w:tcPr>
          <w:p>
            <w:pPr>
              <w:spacing w:after="0"/>
              <w:rPr>
                <w:sz w:val="18"/>
                <w:szCs w:val="18"/>
                <w:color w:val="auto"/>
              </w:rPr>
            </w:pPr>
          </w:p>
        </w:tc>
        <w:tc>
          <w:tcPr>
            <w:tcW w:w="980" w:type="dxa"/>
            <w:vAlign w:val="bottom"/>
            <w:gridSpan w:val="2"/>
          </w:tcPr>
          <w:p>
            <w:pPr>
              <w:jc w:val="right"/>
              <w:ind w:right="41"/>
              <w:spacing w:after="0"/>
              <w:rPr>
                <w:sz w:val="20"/>
                <w:szCs w:val="20"/>
                <w:color w:val="auto"/>
              </w:rPr>
            </w:pPr>
            <w:r>
              <w:rPr>
                <w:rFonts w:ascii="Arial" w:cs="Arial" w:eastAsia="Arial" w:hAnsi="Arial"/>
                <w:sz w:val="18"/>
                <w:szCs w:val="18"/>
                <w:color w:val="auto"/>
              </w:rPr>
              <w:t>(12,809)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(7,012)</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(7,579)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1"/>
              <w:spacing w:after="0"/>
              <w:rPr>
                <w:sz w:val="20"/>
                <w:szCs w:val="20"/>
                <w:color w:val="auto"/>
              </w:rPr>
            </w:pPr>
            <w:r>
              <w:rPr>
                <w:rFonts w:ascii="Arial" w:cs="Arial" w:eastAsia="Arial" w:hAnsi="Arial"/>
                <w:sz w:val="18"/>
                <w:szCs w:val="18"/>
                <w:color w:val="auto"/>
              </w:rPr>
              <w:t>(20,511)</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(12,000)</w:t>
            </w: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1,958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4,163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2,839</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(21,137)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(4,237)</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(12,363)</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9,137</w:t>
            </w:r>
          </w:p>
        </w:tc>
        <w:tc>
          <w:tcPr>
            <w:tcW w:w="22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(3,942)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(1,356)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6,040</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(17,195</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(11,007</w:t>
            </w:r>
          </w:p>
        </w:tc>
        <w:tc>
          <w:tcPr>
            <w:tcW w:w="480" w:type="dxa"/>
            <w:vAlign w:val="bottom"/>
          </w:tcPr>
          <w:p>
            <w:pPr>
              <w:jc w:val="right"/>
              <w:ind w:right="3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2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(0.38)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1"/>
              <w:spacing w:after="0"/>
              <w:rPr>
                <w:sz w:val="20"/>
                <w:szCs w:val="20"/>
                <w:color w:val="auto"/>
              </w:rPr>
            </w:pPr>
            <w:r>
              <w:rPr>
                <w:rFonts w:ascii="Arial" w:cs="Arial" w:eastAsia="Arial" w:hAnsi="Arial"/>
                <w:sz w:val="18"/>
                <w:szCs w:val="18"/>
                <w:color w:val="auto"/>
              </w:rPr>
              <w:t>(0.38)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0.23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41"/>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80" w:type="dxa"/>
            <w:vAlign w:val="bottom"/>
            <w:gridSpan w:val="2"/>
          </w:tcPr>
          <w:p>
            <w:pPr>
              <w:jc w:val="right"/>
              <w:ind w:right="101"/>
              <w:spacing w:after="0"/>
              <w:rPr>
                <w:sz w:val="20"/>
                <w:szCs w:val="20"/>
                <w:color w:val="auto"/>
              </w:rPr>
            </w:pPr>
            <w:r>
              <w:rPr>
                <w:rFonts w:ascii="Arial" w:cs="Arial" w:eastAsia="Arial" w:hAnsi="Arial"/>
                <w:sz w:val="18"/>
                <w:szCs w:val="18"/>
                <w:color w:val="auto"/>
                <w:w w:val="86"/>
              </w:rPr>
              <w:t>44,865,266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44,897,278</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46,449,234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Arial" w:cs="Arial" w:eastAsia="Arial" w:hAnsi="Arial"/>
                <w:sz w:val="18"/>
                <w:szCs w:val="18"/>
                <w:color w:val="auto"/>
                <w:w w:val="86"/>
              </w:rPr>
              <w:t>45,119,214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44,377,250</w:t>
            </w: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6"/>
              </w:rPr>
              <w:t>44,865,266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44,897,278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47,808,457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86"/>
              </w:rPr>
              <w:t>45,119,214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45,811,792</w:t>
            </w:r>
          </w:p>
        </w:tc>
      </w:tr>
      <w:tr>
        <w:trPr>
          <w:trHeight w:val="365"/>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440" w:top="864" w:right="439" w:bottom="1440" w:gutter="0" w:footer="0" w:header="0"/>
        </w:sectPr>
      </w:pPr>
    </w:p>
    <w:bookmarkStart w:id="8" w:name="page9"/>
    <w:bookmarkEnd w:id="8"/>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5986145</wp:posOffset>
            </wp:positionH>
            <wp:positionV relativeFrom="page">
              <wp:posOffset>182880</wp:posOffset>
            </wp:positionV>
            <wp:extent cx="1285875" cy="282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82575"/>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6"/>
              </w:rPr>
              <w:t>September 30,</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80" w:type="dxa"/>
            <w:vAlign w:val="bottom"/>
            <w:gridSpan w:val="5"/>
          </w:tcPr>
          <w:p>
            <w:pPr>
              <w:jc w:val="right"/>
              <w:ind w:right="271"/>
              <w:spacing w:after="0" w:line="155" w:lineRule="exact"/>
              <w:rPr>
                <w:sz w:val="20"/>
                <w:szCs w:val="20"/>
                <w:color w:val="auto"/>
              </w:rPr>
            </w:pPr>
            <w:r>
              <w:rPr>
                <w:rFonts w:ascii="Arial" w:cs="Arial" w:eastAsia="Arial" w:hAnsi="Arial"/>
                <w:sz w:val="14"/>
                <w:szCs w:val="14"/>
                <w:b w:val="1"/>
                <w:bCs w:val="1"/>
                <w:color w:val="auto"/>
                <w:w w:val="96"/>
              </w:rPr>
              <w:t>(In thousands of U.S. dollars, except share data)</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250,831</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279,547</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36,759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50,954</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37,298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39,370</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8,248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25,895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10,322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Hedge collateral</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15,370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20,208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23"/>
        </w:trPr>
        <w:tc>
          <w:tcPr>
            <w:tcW w:w="68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379,036</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94,411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107,882</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4,928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1,770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11,382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34,299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41,095</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10,382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10,662</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536,208</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583,654</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26,545</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37,593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14,809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15,800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20,071</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11,823</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1,324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15,881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7,382</w:t>
            </w:r>
          </w:p>
        </w:tc>
        <w:tc>
          <w:tcPr>
            <w:tcW w:w="0" w:type="dxa"/>
            <w:vAlign w:val="bottom"/>
          </w:tcPr>
          <w:p>
            <w:pPr>
              <w:spacing w:after="0"/>
              <w:rPr>
                <w:sz w:val="1"/>
                <w:szCs w:val="1"/>
                <w:color w:val="auto"/>
              </w:rPr>
            </w:pPr>
          </w:p>
        </w:tc>
      </w:tr>
      <w:tr>
        <w:trPr>
          <w:trHeight w:val="223"/>
        </w:trPr>
        <w:tc>
          <w:tcPr>
            <w:tcW w:w="68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74,359</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28,036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33,064</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3,811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16,787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10,395</w:t>
            </w:r>
          </w:p>
        </w:tc>
        <w:tc>
          <w:tcPr>
            <w:tcW w:w="0" w:type="dxa"/>
            <w:vAlign w:val="bottom"/>
          </w:tcPr>
          <w:p>
            <w:pPr>
              <w:spacing w:after="0"/>
              <w:rPr>
                <w:sz w:val="1"/>
                <w:szCs w:val="1"/>
                <w:color w:val="auto"/>
              </w:rPr>
            </w:pPr>
          </w:p>
        </w:tc>
      </w:tr>
      <w:tr>
        <w:trPr>
          <w:trHeight w:val="230"/>
        </w:trPr>
        <w:tc>
          <w:tcPr>
            <w:tcW w:w="68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122,993</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Common stock, $0.01 par value, 150,000,000 shares authorized, 56,234,774 shares</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issued and 44,579,075 outstanding at September 30, 2022 and 55,905,320 shares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issued and 45,659,304 outstanding at December 31, 2021</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562</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264,510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241,197</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332,535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343,542</w:t>
            </w:r>
          </w:p>
        </w:tc>
        <w:tc>
          <w:tcPr>
            <w:tcW w:w="0" w:type="dxa"/>
            <w:vAlign w:val="bottom"/>
          </w:tcPr>
          <w:p>
            <w:pPr>
              <w:spacing w:after="0"/>
              <w:rPr>
                <w:sz w:val="1"/>
                <w:szCs w:val="1"/>
                <w:color w:val="auto"/>
              </w:rPr>
            </w:pPr>
          </w:p>
        </w:tc>
      </w:tr>
      <w:tr>
        <w:trPr>
          <w:trHeight w:val="202"/>
        </w:trPr>
        <w:tc>
          <w:tcPr>
            <w:tcW w:w="6800" w:type="dxa"/>
            <w:vAlign w:val="bottom"/>
          </w:tcPr>
          <w:p>
            <w:pPr>
              <w:ind w:left="360"/>
              <w:spacing w:after="0" w:line="201" w:lineRule="exact"/>
              <w:rPr>
                <w:sz w:val="20"/>
                <w:szCs w:val="20"/>
                <w:color w:val="auto"/>
              </w:rPr>
            </w:pPr>
            <w:r>
              <w:rPr>
                <w:rFonts w:ascii="Arial" w:cs="Arial" w:eastAsia="Arial" w:hAnsi="Arial"/>
                <w:sz w:val="18"/>
                <w:szCs w:val="18"/>
                <w:color w:val="auto"/>
                <w:w w:val="95"/>
              </w:rPr>
              <w:t>Treasury stock, 11,655,699 shares at September 30, 2022 and 10,246,016 shares at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540"/>
              <w:spacing w:after="0"/>
              <w:rPr>
                <w:sz w:val="20"/>
                <w:szCs w:val="20"/>
                <w:color w:val="auto"/>
              </w:rPr>
            </w:pPr>
            <w:r>
              <w:rPr>
                <w:rFonts w:ascii="Arial" w:cs="Arial" w:eastAsia="Arial" w:hAnsi="Arial"/>
                <w:sz w:val="18"/>
                <w:szCs w:val="18"/>
                <w:color w:val="auto"/>
              </w:rPr>
              <w:t>December 31, 2021, respectively</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(152,161)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(130,306)</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(32,231)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30"/>
        </w:trPr>
        <w:tc>
          <w:tcPr>
            <w:tcW w:w="68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413,215</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452,762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536,208</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583,654</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546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8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864"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5986145</wp:posOffset>
            </wp:positionH>
            <wp:positionV relativeFrom="page">
              <wp:posOffset>182880</wp:posOffset>
            </wp:positionV>
            <wp:extent cx="1285875" cy="282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8257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4"/>
          </w:tcPr>
          <w:p>
            <w:pPr>
              <w:ind w:left="540"/>
              <w:spacing w:after="0"/>
              <w:rPr>
                <w:sz w:val="20"/>
                <w:szCs w:val="20"/>
                <w:color w:val="auto"/>
              </w:rPr>
            </w:pPr>
            <w:r>
              <w:rPr>
                <w:rFonts w:ascii="Arial" w:cs="Arial" w:eastAsia="Arial" w:hAnsi="Arial"/>
                <w:sz w:val="14"/>
                <w:szCs w:val="14"/>
                <w:b w:val="1"/>
                <w:bCs w:val="1"/>
                <w:color w:val="auto"/>
                <w:w w:val="99"/>
              </w:rPr>
              <w:t>Nine Months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income (loss)</w:t>
            </w:r>
          </w:p>
        </w:tc>
        <w:tc>
          <w:tcPr>
            <w:tcW w:w="70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(17,195)</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(11,007)</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to net cash provided by operating activities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3,623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Arial" w:cs="Arial" w:eastAsia="Arial" w:hAnsi="Arial"/>
                <w:sz w:val="18"/>
                <w:szCs w:val="18"/>
                <w:color w:val="auto"/>
              </w:rPr>
              <w:t>11,225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10,576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5,163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5,514</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foreign currency, net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66,335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32,607</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Provision for inventory reserves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2,448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Arial" w:cs="Arial" w:eastAsia="Arial" w:hAnsi="Arial"/>
                <w:sz w:val="18"/>
                <w:szCs w:val="18"/>
                <w:color w:val="auto"/>
              </w:rPr>
              <w:t>7,730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4,487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20,182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Arial" w:cs="Arial" w:eastAsia="Arial" w:hAnsi="Arial"/>
                <w:sz w:val="18"/>
                <w:szCs w:val="18"/>
                <w:color w:val="auto"/>
              </w:rPr>
              <w:t>7,805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6,696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(13,208)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5,475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Arial" w:cs="Arial" w:eastAsia="Arial" w:hAnsi="Arial"/>
                <w:sz w:val="18"/>
                <w:szCs w:val="18"/>
                <w:color w:val="auto"/>
              </w:rPr>
              <w:t>17,115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(5,287)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(14,117)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7,933</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(17,221)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(14,792)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(16,192)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(6,215)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8,575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Arial" w:cs="Arial" w:eastAsia="Arial" w:hAnsi="Arial"/>
                <w:sz w:val="18"/>
                <w:szCs w:val="18"/>
                <w:color w:val="auto"/>
              </w:rPr>
              <w:t>5,866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(11,483)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(8,308)</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(1,583)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523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Payment of severance benefits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(4,181)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50,244</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Arial" w:cs="Arial" w:eastAsia="Arial" w:hAnsi="Arial"/>
                <w:sz w:val="18"/>
                <w:szCs w:val="18"/>
                <w:color w:val="auto"/>
              </w:rPr>
              <w:t>2,805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hedge collateral</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(15,282)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(10,301)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(11,812)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(13,368)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(301)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Collection of guarantee deposits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guarantee deposits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(2,075)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Arial" w:cs="Arial" w:eastAsia="Arial" w:hAnsi="Arial"/>
                <w:sz w:val="18"/>
                <w:szCs w:val="18"/>
                <w:color w:val="auto"/>
              </w:rPr>
              <w:t>792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(25,873)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(14,443)</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1,786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Acquisition of treasury stock</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(5,065)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(381)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Repayment of principal portion of finance lease liabilities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(3,710)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(25,733)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(49,377)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(21,003)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(28,716)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273,797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279,547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279,940</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End of the period</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250,831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250,831</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276,301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5460"/>
              <w:spacing w:after="0"/>
              <w:rPr>
                <w:sz w:val="20"/>
                <w:szCs w:val="20"/>
                <w:color w:val="auto"/>
              </w:rPr>
            </w:pPr>
            <w:r>
              <w:rPr>
                <w:rFonts w:ascii="Arial" w:cs="Arial" w:eastAsia="Arial" w:hAnsi="Arial"/>
                <w:sz w:val="18"/>
                <w:szCs w:val="18"/>
                <w:color w:val="auto"/>
              </w:rPr>
              <w:t>6</w:t>
            </w: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7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864"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5986145</wp:posOffset>
            </wp:positionH>
            <wp:positionV relativeFrom="page">
              <wp:posOffset>183515</wp:posOffset>
            </wp:positionV>
            <wp:extent cx="1285875" cy="283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8321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OPERATING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7"/>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480" w:type="dxa"/>
            <w:vAlign w:val="bottom"/>
          </w:tcPr>
          <w:p>
            <w:pPr>
              <w:spacing w:after="0"/>
              <w:rPr>
                <w:sz w:val="10"/>
                <w:szCs w:val="10"/>
                <w:color w:val="auto"/>
              </w:rPr>
            </w:pPr>
          </w:p>
        </w:tc>
        <w:tc>
          <w:tcPr>
            <w:tcW w:w="11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w w:val="92"/>
              </w:rPr>
              <w:t>June 30,</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38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6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$ 2,002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20,001</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6,056</w:t>
            </w: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Inventory reserve related to Huawei</w:t>
            </w:r>
          </w:p>
        </w:tc>
        <w:tc>
          <w:tcPr>
            <w:tcW w:w="1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(1,081)</w:t>
            </w: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(1,081)</w:t>
            </w: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Merger-related costs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13,842</w:t>
            </w: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Other charges, net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3,298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3,360</w:t>
            </w:r>
          </w:p>
        </w:tc>
      </w:tr>
      <w:tr>
        <w:trPr>
          <w:trHeight w:val="27"/>
        </w:trPr>
        <w:tc>
          <w:tcPr>
            <w:tcW w:w="5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(6,646)</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4,787</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22,691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12,658</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41,714</w:t>
            </w:r>
          </w:p>
        </w:tc>
      </w:tr>
      <w:tr>
        <w:trPr>
          <w:trHeight w:val="20"/>
        </w:trPr>
        <w:tc>
          <w:tcPr>
            <w:tcW w:w="5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We present Adjusted Operating Income (Loss) as a supplemental measure of our performance. We define Adjusted Operating Income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(Loss) for the periods indicated as operating income (loss) adjusted to exclude (i) Equity-based compensation expense (ii) Inventory reserve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Huawei (iii) Merger-related costs and (iv) Other charges, net. For the three and nine months ended September 30, 2022, Other charges, net includes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 million of one-time employee incentives, in each period, and professional service fees and expenses of $0.2 million and $1.0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incurred in connection with certain strategic evaluations, both of which were offset in part by a $0.5 million gain on sale of certain legacy equipment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closed back-end line in our fabrication facility in Gumi. For the three and nine months ended September 30, 2021, Other charges, net includes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professional service fees and expenses of $0.2 million and $3.4 million, respectively, incurred in connection with the regulatory requests.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864" w:right="439" w:bottom="1440" w:gutter="0" w:footer="0" w:header="0"/>
        </w:sectPr>
      </w:pPr>
    </w:p>
    <w:bookmarkStart w:id="11" w:name="page12"/>
    <w:bookmarkEnd w:id="1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5986145</wp:posOffset>
            </wp:positionH>
            <wp:positionV relativeFrom="page">
              <wp:posOffset>183515</wp:posOffset>
            </wp:positionV>
            <wp:extent cx="1285875" cy="28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8321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RECONCILIATION OF NET INCOME (LOSS) TO ADJUSTED EBITDA AND ADJUSTED NET INCOME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20" w:type="dxa"/>
            <w:vAlign w:val="bottom"/>
          </w:tcPr>
          <w:p>
            <w:pPr>
              <w:spacing w:after="0"/>
              <w:rPr>
                <w:sz w:val="10"/>
                <w:szCs w:val="10"/>
                <w:color w:val="auto"/>
              </w:rPr>
            </w:pPr>
          </w:p>
        </w:tc>
        <w:tc>
          <w:tcPr>
            <w:tcW w:w="11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September30,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2022</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Adjustments: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(3,942)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6,040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3,578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10,576</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EBITDA</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(19,020)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17,056</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Foreign currency loss,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12,809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7,579</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20,511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gain,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Inventory reserve related to Huawei</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Merger-related costs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13,842</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Other charges,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3,298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8,525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26,361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52,557</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(17,195)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10,768</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(11,007)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861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4,487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7,579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Derivative valuation gain,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reserve related to Huawei</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Merger-related costs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13,842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Income tax effect on non-GAAP adjustments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7,512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10,567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36,453</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Adjusted Net Income per common share—</w:t>
            </w: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Basic</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 Diluted</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0.23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basic</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44,865,266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44,897,278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46,449,234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45,119,214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44,377,250</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Weighted average number of shares – diluted</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45,747,255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45,937,515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47,808,457</w:t>
            </w: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46,134,231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47,718,578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 w:right="140" w:firstLine="991"/>
        <w:spacing w:after="0" w:line="291" w:lineRule="auto"/>
        <w:rPr>
          <w:sz w:val="20"/>
          <w:szCs w:val="20"/>
          <w:color w:val="auto"/>
        </w:rPr>
      </w:pPr>
      <w:r>
        <w:rPr>
          <w:rFonts w:ascii="Arial" w:cs="Arial" w:eastAsia="Arial" w:hAnsi="Arial"/>
          <w:sz w:val="16"/>
          <w:szCs w:val="16"/>
          <w:color w:val="auto"/>
        </w:rPr>
        <w:t>We present Adjusted EBITDA and Adjusted Net Income as supplemental measures of our performance. We define Adjusted EBITDA for the periods indicated as EBITDA (as defined below), adjusted to exclude (i) Equity-based compensation expense, (ii) Foreign currency loss, net,</w:t>
      </w:r>
    </w:p>
    <w:p>
      <w:pPr>
        <w:ind w:left="4" w:right="540" w:hanging="4"/>
        <w:spacing w:after="0" w:line="323" w:lineRule="auto"/>
        <w:tabs>
          <w:tab w:leader="none" w:pos="319" w:val="left"/>
        </w:tabs>
        <w:numPr>
          <w:ilvl w:val="0"/>
          <w:numId w:val="7"/>
        </w:numPr>
        <w:rPr>
          <w:rFonts w:ascii="Arial" w:cs="Arial" w:eastAsia="Arial" w:hAnsi="Arial"/>
          <w:sz w:val="16"/>
          <w:szCs w:val="16"/>
          <w:color w:val="auto"/>
        </w:rPr>
      </w:pPr>
      <w:r>
        <w:rPr>
          <w:rFonts w:ascii="Arial" w:cs="Arial" w:eastAsia="Arial" w:hAnsi="Arial"/>
          <w:sz w:val="16"/>
          <w:szCs w:val="16"/>
          <w:color w:val="auto"/>
        </w:rPr>
        <w:t>Derivative valuation gain, net, (iv) Inventory reserve related to Huawei, (v) Merger-related costs and (vi) Other charges, net. EBITDA for the periods indicated is defined as net income (loss) before interest income, net, income tax expense (benefit) and depreciation and amortization.</w:t>
      </w:r>
    </w:p>
    <w:p>
      <w:pPr>
        <w:spacing w:after="0" w:line="138" w:lineRule="exact"/>
        <w:rPr>
          <w:sz w:val="20"/>
          <w:szCs w:val="20"/>
          <w:color w:val="auto"/>
        </w:rPr>
      </w:pPr>
    </w:p>
    <w:p>
      <w:pPr>
        <w:ind w:left="4" w:right="60" w:firstLine="991"/>
        <w:spacing w:after="0" w:line="286" w:lineRule="auto"/>
        <w:rPr>
          <w:sz w:val="20"/>
          <w:szCs w:val="20"/>
          <w:color w:val="auto"/>
        </w:rPr>
      </w:pPr>
      <w:r>
        <w:rPr>
          <w:rFonts w:ascii="Arial" w:cs="Arial" w:eastAsia="Arial" w:hAnsi="Arial"/>
          <w:sz w:val="16"/>
          <w:szCs w:val="16"/>
          <w:color w:val="auto"/>
        </w:rPr>
        <w:t>We prepare Adjusted Net Income by adjusting net income (loss)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define Adjusted Net Income for the periods as net income (loss), adjusted to exclude (i) Equity-based compensation expense, (ii) Foreign currency loss, net,</w:t>
      </w:r>
    </w:p>
    <w:p>
      <w:pPr>
        <w:spacing w:after="0" w:line="1" w:lineRule="exact"/>
        <w:rPr>
          <w:sz w:val="20"/>
          <w:szCs w:val="20"/>
          <w:color w:val="auto"/>
        </w:rPr>
      </w:pPr>
    </w:p>
    <w:p>
      <w:pPr>
        <w:ind w:left="4" w:right="100" w:hanging="4"/>
        <w:spacing w:after="0" w:line="260" w:lineRule="auto"/>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Derivative valuation gain, net, (iv) Inventory reserve related to Huawei, (v) Merger-related costs, (vi) Other charges, net and (vii) Income tax effect on non-GAAP adjustments.</w:t>
      </w:r>
    </w:p>
    <w:p>
      <w:pPr>
        <w:spacing w:after="0" w:line="185" w:lineRule="exact"/>
        <w:rPr>
          <w:sz w:val="20"/>
          <w:szCs w:val="20"/>
          <w:color w:val="auto"/>
        </w:rPr>
      </w:pPr>
    </w:p>
    <w:p>
      <w:pPr>
        <w:ind w:left="4" w:right="260" w:firstLine="991"/>
        <w:spacing w:after="0" w:line="286" w:lineRule="auto"/>
        <w:rPr>
          <w:sz w:val="20"/>
          <w:szCs w:val="20"/>
          <w:color w:val="auto"/>
        </w:rPr>
      </w:pPr>
      <w:r>
        <w:rPr>
          <w:rFonts w:ascii="Arial" w:cs="Arial" w:eastAsia="Arial" w:hAnsi="Arial"/>
          <w:sz w:val="16"/>
          <w:szCs w:val="16"/>
          <w:color w:val="auto"/>
        </w:rPr>
        <w:t>For the three and nine months ended September 30, 2022, Other charges, net includes $2.8 million of one-time employee incentives, in each period, and professional service fees and expenses of $0.2 million and $1.0 million, respectively, incurred in connection with certain strategic evaluations, both of which were offset in part by a $0.5 million gain on sale of certain legacy equipment of the closed back-end line in our fabrication facility in Gumi. For the three and nine months ended September 30, 2021, Other charges, net includes professional service fees and expenses of</w:t>
      </w:r>
    </w:p>
    <w:p>
      <w:pPr>
        <w:spacing w:after="0" w:line="1"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$0.2 million and $3.4 million, respectively, incurred in connection with the regulatory requests, both of which were offset in part by a $0.7 million legal settlement gain related to certain expenses incurred in prior periods in connection with our legacy Fab 4 (which was sold during the year ended December 31, 2020) and awarded in the third quarter of 2021.</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sectPr>
      <w:pgSz w:w="11900" w:h="16838" w:orient="portrait"/>
      <w:cols w:equalWidth="0" w:num="1">
        <w:col w:w="11024"/>
      </w:cols>
      <w:pgMar w:left="436" w:top="86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Roman"/>
      <w:start w:val="3"/>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2022-11-04T15:52:55Z</dcterms:created>
  <dcterms:modified xsi:type="dcterms:W3CDTF">2022-11-04T15:52:55Z</dcterms:modified>
</cp:coreProperties>
</file>