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3)*</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17145</wp:posOffset>
            </wp:positionV>
            <wp:extent cx="1928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60" w:hanging="893"/>
        <w:spacing w:after="0"/>
        <w:tabs>
          <w:tab w:leader="none" w:pos="1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360" w:hanging="893"/>
        <w:spacing w:after="0"/>
        <w:tabs>
          <w:tab w:leader="none" w:pos="1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360" w:hanging="893"/>
        <w:spacing w:after="0"/>
        <w:tabs>
          <w:tab w:leader="none" w:pos="1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186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vMerge w:val="restart"/>
          </w:tcPr>
          <w:p>
            <w:pPr>
              <w:jc w:val="right"/>
              <w:ind w:right="113"/>
              <w:spacing w:after="0"/>
              <w:rPr>
                <w:sz w:val="20"/>
                <w:szCs w:val="20"/>
                <w:color w:val="auto"/>
              </w:rPr>
            </w:pPr>
            <w:r>
              <w:rPr>
                <w:rFonts w:ascii="Arial" w:cs="Arial" w:eastAsia="Arial" w:hAnsi="Arial"/>
                <w:sz w:val="32"/>
                <w:szCs w:val="32"/>
                <w:b w:val="1"/>
                <w:bCs w:val="1"/>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Hood River Capital Management LLC 46-1294859</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00" w:type="dxa"/>
            <w:vAlign w:val="bottom"/>
          </w:tcPr>
          <w:p>
            <w:pPr>
              <w:jc w:val="right"/>
              <w:ind w:right="113"/>
              <w:spacing w:after="0" w:line="162" w:lineRule="exact"/>
              <w:rPr>
                <w:sz w:val="20"/>
                <w:szCs w:val="20"/>
                <w:color w:val="auto"/>
              </w:rPr>
            </w:pPr>
            <w:r>
              <w:rPr>
                <w:rFonts w:ascii="Arial" w:cs="Arial" w:eastAsia="Arial" w:hAnsi="Arial"/>
                <w:sz w:val="18"/>
                <w:szCs w:val="18"/>
                <w:b w:val="1"/>
                <w:bCs w:val="1"/>
                <w:color w:val="auto"/>
              </w:rPr>
              <w:t>2</w:t>
            </w:r>
          </w:p>
        </w:tc>
        <w:tc>
          <w:tcPr>
            <w:tcW w:w="7420" w:type="dxa"/>
            <w:vAlign w:val="bottom"/>
          </w:tcPr>
          <w:p>
            <w:pPr>
              <w:ind w:left="26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2940" w:type="dxa"/>
            <w:vAlign w:val="bottom"/>
          </w:tcPr>
          <w:p>
            <w:pPr>
              <w:ind w:left="920"/>
              <w:spacing w:after="0" w:line="163"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1" w:lineRule="auto"/>
        <w:tabs>
          <w:tab w:leader="none" w:pos="1160" w:val="left"/>
        </w:tabs>
        <w:numPr>
          <w:ilvl w:val="0"/>
          <w:numId w:val="3"/>
        </w:numPr>
        <w:rPr>
          <w:rFonts w:ascii="Arial" w:cs="Arial" w:eastAsia="Arial" w:hAnsi="Arial"/>
          <w:sz w:val="49"/>
          <w:szCs w:val="49"/>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440" w:hanging="659"/>
        <w:spacing w:after="0" w:line="181" w:lineRule="auto"/>
        <w:tabs>
          <w:tab w:leader="none" w:pos="1160" w:val="left"/>
        </w:tabs>
        <w:numPr>
          <w:ilvl w:val="0"/>
          <w:numId w:val="4"/>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Delaware</w:t>
      </w:r>
    </w:p>
    <w:p>
      <w:pPr>
        <w:ind w:left="3500" w:hanging="698"/>
        <w:spacing w:after="0" w:line="186" w:lineRule="auto"/>
        <w:tabs>
          <w:tab w:leader="none" w:pos="350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4"/>
          <w:szCs w:val="14"/>
          <w:color w:val="auto"/>
        </w:rPr>
        <w:t>SOLE VOTING POWER</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NUMBER OF</w:t>
            </w: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160" w:hanging="659"/>
        <w:spacing w:after="0" w:line="183" w:lineRule="auto"/>
        <w:tabs>
          <w:tab w:leader="none" w:pos="1160" w:val="left"/>
        </w:tabs>
        <w:numPr>
          <w:ilvl w:val="0"/>
          <w:numId w:val="6"/>
        </w:numPr>
        <w:rPr>
          <w:rFonts w:ascii="Arial" w:cs="Arial" w:eastAsia="Arial" w:hAnsi="Arial"/>
          <w:sz w:val="52"/>
          <w:szCs w:val="52"/>
          <w:b w:val="1"/>
          <w:bCs w:val="1"/>
          <w:color w:val="auto"/>
          <w:vertAlign w:val="subscript"/>
        </w:rPr>
      </w:pPr>
      <w:r>
        <w:rPr>
          <w:rFonts w:ascii="Arial" w:cs="Arial" w:eastAsia="Arial" w:hAnsi="Arial"/>
          <w:sz w:val="16"/>
          <w:szCs w:val="16"/>
          <w:color w:val="auto"/>
        </w:rPr>
        <w:t>AGGREGATE AMOUNT BENEFICIALLY OWNED BY EACH REPORTING PERSON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10</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11</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12</w:t>
            </w:r>
          </w:p>
        </w:tc>
        <w:tc>
          <w:tcPr>
            <w:tcW w:w="10300" w:type="dxa"/>
            <w:vAlign w:val="bottom"/>
            <w:vMerge w:val="restart"/>
          </w:tcPr>
          <w:p>
            <w:pPr>
              <w:ind w:left="2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0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IA</w:t>
            </w:r>
          </w:p>
        </w:tc>
        <w:tc>
          <w:tcPr>
            <w:tcW w:w="0" w:type="dxa"/>
            <w:vAlign w:val="bottom"/>
          </w:tcPr>
          <w:p>
            <w:pPr>
              <w:spacing w:after="0"/>
              <w:rPr>
                <w:sz w:val="1"/>
                <w:szCs w:val="1"/>
                <w:color w:val="auto"/>
              </w:rPr>
            </w:pPr>
          </w:p>
        </w:tc>
      </w:tr>
      <w:tr>
        <w:trPr>
          <w:trHeight w:val="56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60"/>
          </w:cols>
          <w:pgMar w:left="320" w:top="837"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80" w:type="dxa"/>
            <w:vAlign w:val="bottom"/>
          </w:tcPr>
          <w:p>
            <w:pPr>
              <w:ind w:left="180"/>
              <w:spacing w:after="0"/>
              <w:rPr>
                <w:sz w:val="20"/>
                <w:szCs w:val="20"/>
                <w:color w:val="auto"/>
              </w:rPr>
            </w:pPr>
            <w:r>
              <w:rPr>
                <w:rFonts w:ascii="Arial" w:cs="Arial" w:eastAsia="Arial" w:hAnsi="Arial"/>
                <w:sz w:val="18"/>
                <w:szCs w:val="18"/>
                <w:color w:val="auto"/>
              </w:rPr>
              <w:t>Name of Issuer:</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MAGNACHIP SEMICONDUCTOR CORP</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80" w:type="dxa"/>
            <w:vAlign w:val="bottom"/>
          </w:tcPr>
          <w:p>
            <w:pPr>
              <w:ind w:left="180"/>
              <w:spacing w:after="0"/>
              <w:rPr>
                <w:sz w:val="20"/>
                <w:szCs w:val="20"/>
                <w:color w:val="auto"/>
              </w:rPr>
            </w:pPr>
            <w:r>
              <w:rPr>
                <w:rFonts w:ascii="Arial" w:cs="Arial" w:eastAsia="Arial" w:hAnsi="Arial"/>
                <w:sz w:val="18"/>
                <w:szCs w:val="18"/>
                <w:color w:val="auto"/>
              </w:rPr>
              <w:t>Address of Issuer’s Principal Executive Offices: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74 Rue de Merl  Luxembourg 2146</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80" w:type="dxa"/>
            <w:vAlign w:val="bottom"/>
          </w:tcPr>
          <w:p>
            <w:pPr>
              <w:ind w:left="180"/>
              <w:spacing w:after="0"/>
              <w:rPr>
                <w:sz w:val="20"/>
                <w:szCs w:val="20"/>
                <w:color w:val="auto"/>
              </w:rPr>
            </w:pPr>
            <w:r>
              <w:rPr>
                <w:rFonts w:ascii="Arial" w:cs="Arial" w:eastAsia="Arial" w:hAnsi="Arial"/>
                <w:sz w:val="18"/>
                <w:szCs w:val="18"/>
                <w:color w:val="auto"/>
              </w:rPr>
              <w:t>Name of Person Filing:</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Hood River Capital Management LLC</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80" w:type="dxa"/>
            <w:vAlign w:val="bottom"/>
          </w:tcPr>
          <w:p>
            <w:pPr>
              <w:ind w:left="1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2373 PGA Boulevard, Suite 200 Palm Beach Gardens, FL 33410</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80" w:type="dxa"/>
            <w:vAlign w:val="bottom"/>
          </w:tcPr>
          <w:p>
            <w:pPr>
              <w:ind w:left="180"/>
              <w:spacing w:after="0"/>
              <w:rPr>
                <w:sz w:val="20"/>
                <w:szCs w:val="20"/>
                <w:color w:val="auto"/>
              </w:rPr>
            </w:pPr>
            <w:r>
              <w:rPr>
                <w:rFonts w:ascii="Arial" w:cs="Arial" w:eastAsia="Arial" w:hAnsi="Arial"/>
                <w:sz w:val="18"/>
                <w:szCs w:val="18"/>
                <w:color w:val="auto"/>
              </w:rPr>
              <w:t>Citizenship:</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USA</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80" w:type="dxa"/>
            <w:vAlign w:val="bottom"/>
          </w:tcPr>
          <w:p>
            <w:pPr>
              <w:ind w:left="1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COMMON</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80" w:type="dxa"/>
            <w:vAlign w:val="bottom"/>
          </w:tcPr>
          <w:p>
            <w:pPr>
              <w:ind w:left="180"/>
              <w:spacing w:after="0"/>
              <w:rPr>
                <w:sz w:val="20"/>
                <w:szCs w:val="20"/>
                <w:color w:val="auto"/>
              </w:rPr>
            </w:pPr>
            <w:r>
              <w:rPr>
                <w:rFonts w:ascii="Arial" w:cs="Arial" w:eastAsia="Arial" w:hAnsi="Arial"/>
                <w:sz w:val="18"/>
                <w:szCs w:val="18"/>
                <w:color w:val="auto"/>
              </w:rPr>
              <w:t>CUSIP Number: 55933J203</w:t>
            </w:r>
          </w:p>
        </w:tc>
      </w:tr>
      <w:tr>
        <w:trPr>
          <w:trHeight w:val="574"/>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837" w:right="3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 w:lineRule="exact"/>
        <w:rPr>
          <w:sz w:val="20"/>
          <w:szCs w:val="20"/>
          <w:color w:val="auto"/>
        </w:rPr>
      </w:pPr>
    </w:p>
    <w:p>
      <w:pPr>
        <w:ind w:left="1600" w:hanging="458"/>
        <w:spacing w:after="0" w:line="207" w:lineRule="exact"/>
        <w:tabs>
          <w:tab w:leader="none" w:pos="16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5"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9" w:lineRule="exact"/>
        <w:rPr>
          <w:rFonts w:ascii="Arial" w:cs="Arial" w:eastAsia="Arial" w:hAnsi="Arial"/>
          <w:sz w:val="18"/>
          <w:szCs w:val="18"/>
          <w:color w:val="auto"/>
        </w:rPr>
      </w:pPr>
    </w:p>
    <w:p>
      <w:pPr>
        <w:ind w:left="1600" w:hanging="458"/>
        <w:spacing w:after="0" w:line="207" w:lineRule="exact"/>
        <w:tabs>
          <w:tab w:leader="none" w:pos="16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20" w:right="80" w:hanging="778"/>
        <w:spacing w:after="0" w:line="215" w:lineRule="exact"/>
        <w:tabs>
          <w:tab w:leader="none" w:pos="1596"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ind w:left="1600" w:hanging="458"/>
        <w:spacing w:after="0" w:line="207" w:lineRule="exact"/>
        <w:tabs>
          <w:tab w:leader="none" w:pos="16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0" w:lineRule="exact"/>
        <w:rPr>
          <w:rFonts w:ascii="Arial" w:cs="Arial" w:eastAsia="Arial" w:hAnsi="Arial"/>
          <w:sz w:val="18"/>
          <w:szCs w:val="18"/>
          <w:color w:val="auto"/>
        </w:rPr>
      </w:pPr>
    </w:p>
    <w:p>
      <w:pPr>
        <w:ind w:left="1600" w:hanging="458"/>
        <w:spacing w:after="0" w:line="196" w:lineRule="exact"/>
        <w:tabs>
          <w:tab w:leader="none" w:pos="1600" w:val="left"/>
        </w:tabs>
        <w:numPr>
          <w:ilvl w:val="0"/>
          <w:numId w:val="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Group, in accordance with Rule 240.13d-1(b)(1)(ii)(K). If filing as a non-U.S. institution in accordance with Rule 240.13d-1(b)</w:t>
      </w:r>
    </w:p>
    <w:p>
      <w:pPr>
        <w:spacing w:after="0" w:line="20" w:lineRule="exact"/>
        <w:rPr>
          <w:rFonts w:ascii="Arial" w:cs="Arial" w:eastAsia="Arial" w:hAnsi="Arial"/>
          <w:sz w:val="17"/>
          <w:szCs w:val="17"/>
          <w:color w:val="auto"/>
        </w:rPr>
      </w:pPr>
    </w:p>
    <w:p>
      <w:pPr>
        <w:ind w:left="1920"/>
        <w:spacing w:after="0"/>
        <w:rPr>
          <w:rFonts w:ascii="Arial" w:cs="Arial" w:eastAsia="Arial" w:hAnsi="Arial"/>
          <w:sz w:val="17"/>
          <w:szCs w:val="17"/>
          <w:color w:val="auto"/>
        </w:rPr>
      </w:pPr>
      <w:r>
        <w:rPr>
          <w:rFonts w:ascii="Arial" w:cs="Arial" w:eastAsia="Arial" w:hAnsi="Arial"/>
          <w:sz w:val="18"/>
          <w:szCs w:val="18"/>
          <w:color w:val="auto"/>
        </w:rPr>
        <w:t>(1)(ii)(J), please specify the type of institution: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900" w:type="dxa"/>
            <w:vAlign w:val="bottom"/>
            <w:gridSpan w:val="2"/>
          </w:tcPr>
          <w:p>
            <w:pPr>
              <w:spacing w:after="0"/>
              <w:rPr>
                <w:sz w:val="20"/>
                <w:szCs w:val="20"/>
                <w:color w:val="auto"/>
              </w:rPr>
            </w:pPr>
            <w:r>
              <w:rPr>
                <w:rFonts w:ascii="Arial" w:cs="Arial" w:eastAsia="Arial" w:hAnsi="Arial"/>
                <w:sz w:val="18"/>
                <w:szCs w:val="18"/>
                <w:b w:val="1"/>
                <w:bCs w:val="1"/>
                <w:color w:val="auto"/>
              </w:rPr>
              <w:t>Item 4.  Ownership.</w:t>
            </w:r>
          </w:p>
        </w:tc>
        <w:tc>
          <w:tcPr>
            <w:tcW w:w="340" w:type="dxa"/>
            <w:vAlign w:val="bottom"/>
          </w:tcPr>
          <w:p>
            <w:pPr>
              <w:spacing w:after="0"/>
              <w:rPr>
                <w:sz w:val="19"/>
                <w:szCs w:val="19"/>
                <w:color w:val="auto"/>
              </w:rPr>
            </w:pPr>
          </w:p>
        </w:tc>
      </w:tr>
      <w:tr>
        <w:trPr>
          <w:trHeight w:val="216"/>
        </w:trPr>
        <w:tc>
          <w:tcPr>
            <w:tcW w:w="10900" w:type="dxa"/>
            <w:vAlign w:val="bottom"/>
            <w:gridSpan w:val="2"/>
          </w:tcPr>
          <w:p>
            <w:pPr>
              <w:ind w:left="680"/>
              <w:spacing w:after="0"/>
              <w:rPr>
                <w:sz w:val="20"/>
                <w:szCs w:val="20"/>
                <w:color w:val="auto"/>
              </w:rPr>
            </w:pPr>
            <w:r>
              <w:rPr>
                <w:rFonts w:ascii="Arial" w:cs="Arial" w:eastAsia="Arial" w:hAnsi="Arial"/>
                <w:sz w:val="18"/>
                <w:szCs w:val="18"/>
                <w:color w:val="auto"/>
                <w:w w:val="91"/>
              </w:rPr>
              <w:t>Provide the following information regarding the aggregate number and percentage of the class of securities of the issuer identified in Item 1.</w:t>
            </w:r>
          </w:p>
        </w:tc>
        <w:tc>
          <w:tcPr>
            <w:tcW w:w="340" w:type="dxa"/>
            <w:vAlign w:val="bottom"/>
          </w:tcPr>
          <w:p>
            <w:pPr>
              <w:spacing w:after="0"/>
              <w:rPr>
                <w:sz w:val="18"/>
                <w:szCs w:val="18"/>
                <w:color w:val="auto"/>
              </w:rPr>
            </w:pPr>
          </w:p>
        </w:tc>
      </w:tr>
      <w:tr>
        <w:trPr>
          <w:trHeight w:val="216"/>
        </w:trPr>
        <w:tc>
          <w:tcPr>
            <w:tcW w:w="1020" w:type="dxa"/>
            <w:vAlign w:val="bottom"/>
          </w:tcPr>
          <w:p>
            <w:pPr>
              <w:ind w:left="680"/>
              <w:spacing w:after="0"/>
              <w:rPr>
                <w:sz w:val="20"/>
                <w:szCs w:val="20"/>
                <w:color w:val="auto"/>
              </w:rPr>
            </w:pPr>
            <w:r>
              <w:rPr>
                <w:rFonts w:ascii="Arial" w:cs="Arial" w:eastAsia="Arial" w:hAnsi="Arial"/>
                <w:sz w:val="18"/>
                <w:szCs w:val="18"/>
                <w:color w:val="auto"/>
              </w:rPr>
              <w:t>(a)</w:t>
            </w:r>
          </w:p>
        </w:tc>
        <w:tc>
          <w:tcPr>
            <w:tcW w:w="9880" w:type="dxa"/>
            <w:vAlign w:val="bottom"/>
          </w:tcPr>
          <w:p>
            <w:pPr>
              <w:ind w:left="120"/>
              <w:spacing w:after="0"/>
              <w:rPr>
                <w:sz w:val="20"/>
                <w:szCs w:val="20"/>
                <w:color w:val="auto"/>
              </w:rPr>
            </w:pPr>
            <w:r>
              <w:rPr>
                <w:rFonts w:ascii="Arial" w:cs="Arial" w:eastAsia="Arial" w:hAnsi="Arial"/>
                <w:sz w:val="18"/>
                <w:szCs w:val="18"/>
                <w:color w:val="auto"/>
              </w:rPr>
              <w:t>Amount Beneficially Owned:</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020" w:type="dxa"/>
            <w:vAlign w:val="bottom"/>
          </w:tcPr>
          <w:p>
            <w:pPr>
              <w:ind w:left="680"/>
              <w:spacing w:after="0"/>
              <w:rPr>
                <w:sz w:val="20"/>
                <w:szCs w:val="20"/>
                <w:color w:val="auto"/>
              </w:rPr>
            </w:pPr>
            <w:r>
              <w:rPr>
                <w:rFonts w:ascii="Arial" w:cs="Arial" w:eastAsia="Arial" w:hAnsi="Arial"/>
                <w:sz w:val="18"/>
                <w:szCs w:val="18"/>
                <w:color w:val="auto"/>
              </w:rPr>
              <w:t>(b)</w:t>
            </w:r>
          </w:p>
        </w:tc>
        <w:tc>
          <w:tcPr>
            <w:tcW w:w="9880" w:type="dxa"/>
            <w:vAlign w:val="bottom"/>
          </w:tcPr>
          <w:p>
            <w:pPr>
              <w:ind w:left="120"/>
              <w:spacing w:after="0"/>
              <w:rPr>
                <w:sz w:val="20"/>
                <w:szCs w:val="20"/>
                <w:color w:val="auto"/>
              </w:rPr>
            </w:pPr>
            <w:r>
              <w:rPr>
                <w:rFonts w:ascii="Arial" w:cs="Arial" w:eastAsia="Arial" w:hAnsi="Arial"/>
                <w:sz w:val="18"/>
                <w:szCs w:val="18"/>
                <w:color w:val="auto"/>
              </w:rPr>
              <w:t>Percent of Class:</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r>
    </w:tbl>
    <w:p>
      <w:pPr>
        <w:ind w:left="1140" w:hanging="45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ind w:left="1140"/>
              <w:spacing w:after="0"/>
              <w:rPr>
                <w:sz w:val="20"/>
                <w:szCs w:val="20"/>
                <w:color w:val="auto"/>
              </w:rPr>
            </w:pPr>
            <w:r>
              <w:rPr>
                <w:rFonts w:ascii="Arial" w:cs="Arial" w:eastAsia="Arial" w:hAnsi="Arial"/>
                <w:sz w:val="18"/>
                <w:szCs w:val="18"/>
                <w:color w:val="auto"/>
              </w:rPr>
              <w:t>(i)</w:t>
            </w:r>
          </w:p>
        </w:tc>
        <w:tc>
          <w:tcPr>
            <w:tcW w:w="4040" w:type="dxa"/>
            <w:vAlign w:val="bottom"/>
          </w:tcPr>
          <w:p>
            <w:pPr>
              <w:ind w:left="80"/>
              <w:spacing w:after="0"/>
              <w:rPr>
                <w:sz w:val="20"/>
                <w:szCs w:val="20"/>
                <w:color w:val="auto"/>
              </w:rPr>
            </w:pPr>
            <w:r>
              <w:rPr>
                <w:rFonts w:ascii="Arial" w:cs="Arial" w:eastAsia="Arial" w:hAnsi="Arial"/>
                <w:sz w:val="18"/>
                <w:szCs w:val="18"/>
                <w:color w:val="auto"/>
              </w:rPr>
              <w:t>sole power to vote or to direct the vote:</w:t>
            </w:r>
          </w:p>
        </w:tc>
        <w:tc>
          <w:tcPr>
            <w:tcW w:w="5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500" w:type="dxa"/>
            <w:vAlign w:val="bottom"/>
          </w:tcPr>
          <w:p>
            <w:pPr>
              <w:ind w:left="1140"/>
              <w:spacing w:after="0"/>
              <w:rPr>
                <w:sz w:val="20"/>
                <w:szCs w:val="20"/>
                <w:color w:val="auto"/>
              </w:rPr>
            </w:pPr>
            <w:r>
              <w:rPr>
                <w:rFonts w:ascii="Arial" w:cs="Arial" w:eastAsia="Arial" w:hAnsi="Arial"/>
                <w:sz w:val="18"/>
                <w:szCs w:val="18"/>
                <w:color w:val="auto"/>
              </w:rPr>
              <w:t>(ii)</w:t>
            </w:r>
          </w:p>
        </w:tc>
        <w:tc>
          <w:tcPr>
            <w:tcW w:w="4040" w:type="dxa"/>
            <w:vAlign w:val="bottom"/>
          </w:tcPr>
          <w:p>
            <w:pPr>
              <w:ind w:left="80"/>
              <w:spacing w:after="0"/>
              <w:rPr>
                <w:sz w:val="20"/>
                <w:szCs w:val="20"/>
                <w:color w:val="auto"/>
              </w:rPr>
            </w:pPr>
            <w:r>
              <w:rPr>
                <w:rFonts w:ascii="Arial" w:cs="Arial" w:eastAsia="Arial" w:hAnsi="Arial"/>
                <w:sz w:val="18"/>
                <w:szCs w:val="18"/>
                <w:color w:val="auto"/>
              </w:rPr>
              <w:t>shared power to vote or to direct the vote:</w:t>
            </w:r>
          </w:p>
        </w:tc>
        <w:tc>
          <w:tcPr>
            <w:tcW w:w="5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500" w:type="dxa"/>
            <w:vAlign w:val="bottom"/>
          </w:tcPr>
          <w:p>
            <w:pPr>
              <w:ind w:left="1140"/>
              <w:spacing w:after="0"/>
              <w:rPr>
                <w:sz w:val="20"/>
                <w:szCs w:val="20"/>
                <w:color w:val="auto"/>
              </w:rPr>
            </w:pPr>
            <w:r>
              <w:rPr>
                <w:rFonts w:ascii="Arial" w:cs="Arial" w:eastAsia="Arial" w:hAnsi="Arial"/>
                <w:sz w:val="18"/>
                <w:szCs w:val="18"/>
                <w:color w:val="auto"/>
              </w:rPr>
              <w:t>(iii)</w:t>
            </w:r>
          </w:p>
        </w:tc>
        <w:tc>
          <w:tcPr>
            <w:tcW w:w="4040" w:type="dxa"/>
            <w:vAlign w:val="bottom"/>
          </w:tcPr>
          <w:p>
            <w:pPr>
              <w:ind w:left="80"/>
              <w:spacing w:after="0"/>
              <w:rPr>
                <w:sz w:val="20"/>
                <w:szCs w:val="20"/>
                <w:color w:val="auto"/>
              </w:rPr>
            </w:pPr>
            <w:r>
              <w:rPr>
                <w:rFonts w:ascii="Arial" w:cs="Arial" w:eastAsia="Arial" w:hAnsi="Arial"/>
                <w:sz w:val="18"/>
                <w:szCs w:val="18"/>
                <w:color w:val="auto"/>
                <w:w w:val="96"/>
              </w:rPr>
              <w:t>sole power to dispose or to direct the disposition of:</w:t>
            </w:r>
          </w:p>
        </w:tc>
        <w:tc>
          <w:tcPr>
            <w:tcW w:w="5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500" w:type="dxa"/>
            <w:vAlign w:val="bottom"/>
          </w:tcPr>
          <w:p>
            <w:pPr>
              <w:ind w:left="1140"/>
              <w:spacing w:after="0"/>
              <w:rPr>
                <w:sz w:val="20"/>
                <w:szCs w:val="20"/>
                <w:color w:val="auto"/>
              </w:rPr>
            </w:pPr>
            <w:r>
              <w:rPr>
                <w:rFonts w:ascii="Arial" w:cs="Arial" w:eastAsia="Arial" w:hAnsi="Arial"/>
                <w:sz w:val="18"/>
                <w:szCs w:val="18"/>
                <w:color w:val="auto"/>
              </w:rPr>
              <w:t>(iv)</w:t>
            </w:r>
          </w:p>
        </w:tc>
        <w:tc>
          <w:tcPr>
            <w:tcW w:w="4040" w:type="dxa"/>
            <w:vAlign w:val="bottom"/>
          </w:tcPr>
          <w:p>
            <w:pPr>
              <w:ind w:left="80"/>
              <w:spacing w:after="0"/>
              <w:rPr>
                <w:sz w:val="20"/>
                <w:szCs w:val="20"/>
                <w:color w:val="auto"/>
              </w:rPr>
            </w:pPr>
            <w:r>
              <w:rPr>
                <w:rFonts w:ascii="Arial" w:cs="Arial" w:eastAsia="Arial" w:hAnsi="Arial"/>
                <w:sz w:val="18"/>
                <w:szCs w:val="18"/>
                <w:color w:val="auto"/>
                <w:w w:val="91"/>
              </w:rPr>
              <w:t>shared power to dispose or to direct the disposition of:</w:t>
            </w:r>
          </w:p>
        </w:tc>
        <w:tc>
          <w:tcPr>
            <w:tcW w:w="5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74"/>
        </w:trPr>
        <w:tc>
          <w:tcPr>
            <w:tcW w:w="15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w w:val="99"/>
              </w:rPr>
              <w:t>4</w:t>
            </w:r>
          </w:p>
        </w:tc>
      </w:tr>
    </w:tbl>
    <w:p>
      <w:pPr>
        <w:sectPr>
          <w:pgSz w:w="11900" w:h="16838" w:orient="portrait"/>
          <w:cols w:equalWidth="0" w:num="1">
            <w:col w:w="11240"/>
          </w:cols>
          <w:pgMar w:left="320" w:top="837" w:right="339" w:bottom="1440" w:gutter="0" w:footer="0" w:header="0"/>
        </w:sectPr>
      </w:pPr>
    </w:p>
    <w:bookmarkStart w:id="4" w:name="page5"/>
    <w:bookmarkEnd w:id="4"/>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020" w:right="1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020" w:right="2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37" w:right="39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Robert Schmaltz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Robert Schmaltz,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8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2021-02-16T05:55:15Z</dcterms:created>
  <dcterms:modified xsi:type="dcterms:W3CDTF">2021-02-16T05:55:15Z</dcterms:modified>
</cp:coreProperties>
</file>