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640" w:firstLine="4"/>
        <w:spacing w:after="0" w:line="530" w:lineRule="auto"/>
        <w:tabs>
          <w:tab w:leader="none" w:pos="15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55933J203</w:t>
            </w:r>
          </w:p>
        </w:tc>
      </w:tr>
    </w:tbl>
    <w:p>
      <w:pPr>
        <w:spacing w:after="0" w:line="198" w:lineRule="exact"/>
        <w:rPr>
          <w:sz w:val="20"/>
          <w:szCs w:val="20"/>
          <w:color w:val="auto"/>
        </w:rPr>
      </w:pPr>
    </w:p>
    <w:p>
      <w:pPr>
        <w:ind w:left="1000" w:hanging="895"/>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000" w:right="46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Brigade Capital Management, LP</w:t>
      </w:r>
    </w:p>
    <w:p>
      <w:pPr>
        <w:ind w:left="1000" w:hanging="895"/>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000" w:hanging="895"/>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000" w:right="6560" w:hanging="895"/>
        <w:spacing w:after="0" w:line="50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000" w:right="8380" w:hanging="895"/>
        <w:spacing w:after="0" w:line="50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000" w:right="8100" w:hanging="895"/>
        <w:spacing w:after="0" w:line="50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3,028,318*</w:t>
      </w:r>
    </w:p>
    <w:p>
      <w:pPr>
        <w:spacing w:after="0" w:line="1" w:lineRule="exact"/>
        <w:rPr>
          <w:rFonts w:ascii="Times New Roman" w:cs="Times New Roman" w:eastAsia="Times New Roman" w:hAnsi="Times New Roman"/>
          <w:sz w:val="18"/>
          <w:szCs w:val="18"/>
          <w:color w:val="auto"/>
        </w:rPr>
      </w:pPr>
    </w:p>
    <w:p>
      <w:pPr>
        <w:ind w:left="1000" w:right="7980" w:hanging="895"/>
        <w:spacing w:after="0" w:line="50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000" w:right="7700" w:hanging="895"/>
        <w:spacing w:after="0" w:line="50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3,028,318*</w:t>
      </w:r>
    </w:p>
    <w:p>
      <w:pPr>
        <w:spacing w:after="0" w:line="1" w:lineRule="exact"/>
        <w:rPr>
          <w:rFonts w:ascii="Times New Roman" w:cs="Times New Roman" w:eastAsia="Times New Roman" w:hAnsi="Times New Roman"/>
          <w:sz w:val="18"/>
          <w:szCs w:val="18"/>
          <w:color w:val="auto"/>
        </w:rPr>
      </w:pPr>
    </w:p>
    <w:p>
      <w:pPr>
        <w:ind w:left="1000" w:right="3680" w:hanging="895"/>
        <w:spacing w:after="0" w:line="500"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3,028,318*</w:t>
      </w:r>
    </w:p>
    <w:p>
      <w:pPr>
        <w:spacing w:after="0" w:line="2" w:lineRule="exact"/>
        <w:rPr>
          <w:sz w:val="20"/>
          <w:szCs w:val="20"/>
          <w:color w:val="auto"/>
        </w:rPr>
      </w:pPr>
    </w:p>
    <w:p>
      <w:pPr>
        <w:ind w:left="100"/>
        <w:spacing w:after="0"/>
        <w:tabs>
          <w:tab w:leader="none" w:pos="980" w:val="left"/>
          <w:tab w:leader="none" w:pos="104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1000" w:hanging="895"/>
        <w:spacing w:after="0"/>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8.01%*</w:t>
      </w:r>
    </w:p>
    <w:p>
      <w:pPr>
        <w:spacing w:after="0" w:line="225" w:lineRule="exact"/>
        <w:rPr>
          <w:rFonts w:ascii="Times New Roman" w:cs="Times New Roman" w:eastAsia="Times New Roman" w:hAnsi="Times New Roman"/>
          <w:sz w:val="18"/>
          <w:szCs w:val="18"/>
          <w:color w:val="auto"/>
        </w:rPr>
      </w:pPr>
    </w:p>
    <w:p>
      <w:pPr>
        <w:ind w:left="1000" w:right="5900" w:hanging="895"/>
        <w:spacing w:after="0" w:line="500"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1"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senior notes that are exchangeable at the option of the holder into 2,280,921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55933J203</w:t>
            </w:r>
          </w:p>
        </w:tc>
      </w:tr>
    </w:tbl>
    <w:p>
      <w:pPr>
        <w:spacing w:after="0" w:line="198" w:lineRule="exact"/>
        <w:rPr>
          <w:sz w:val="20"/>
          <w:szCs w:val="20"/>
          <w:color w:val="auto"/>
        </w:rPr>
      </w:pPr>
    </w:p>
    <w:p>
      <w:pPr>
        <w:ind w:left="1000" w:hanging="895"/>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000" w:right="46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Brigade Capital Management GP, LLC</w:t>
      </w:r>
    </w:p>
    <w:p>
      <w:pPr>
        <w:ind w:left="1000" w:hanging="895"/>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000" w:hanging="895"/>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000" w:right="6560" w:hanging="895"/>
        <w:spacing w:after="0" w:line="500"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000" w:right="8380" w:hanging="895"/>
        <w:spacing w:after="0" w:line="50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000" w:right="8100" w:hanging="895"/>
        <w:spacing w:after="0" w:line="50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3,028,318*</w:t>
      </w:r>
    </w:p>
    <w:p>
      <w:pPr>
        <w:spacing w:after="0" w:line="1" w:lineRule="exact"/>
        <w:rPr>
          <w:rFonts w:ascii="Times New Roman" w:cs="Times New Roman" w:eastAsia="Times New Roman" w:hAnsi="Times New Roman"/>
          <w:sz w:val="18"/>
          <w:szCs w:val="18"/>
          <w:color w:val="auto"/>
        </w:rPr>
      </w:pPr>
    </w:p>
    <w:p>
      <w:pPr>
        <w:ind w:left="1000" w:right="7980" w:hanging="895"/>
        <w:spacing w:after="0" w:line="50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000" w:right="7700" w:hanging="895"/>
        <w:spacing w:after="0" w:line="50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3,028,318*</w:t>
      </w:r>
    </w:p>
    <w:p>
      <w:pPr>
        <w:spacing w:after="0" w:line="1" w:lineRule="exact"/>
        <w:rPr>
          <w:rFonts w:ascii="Times New Roman" w:cs="Times New Roman" w:eastAsia="Times New Roman" w:hAnsi="Times New Roman"/>
          <w:sz w:val="18"/>
          <w:szCs w:val="18"/>
          <w:color w:val="auto"/>
        </w:rPr>
      </w:pPr>
    </w:p>
    <w:p>
      <w:pPr>
        <w:ind w:left="1000" w:right="3680" w:hanging="895"/>
        <w:spacing w:after="0" w:line="50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3,028,318*</w:t>
      </w:r>
    </w:p>
    <w:p>
      <w:pPr>
        <w:spacing w:after="0" w:line="2" w:lineRule="exact"/>
        <w:rPr>
          <w:sz w:val="20"/>
          <w:szCs w:val="20"/>
          <w:color w:val="auto"/>
        </w:rPr>
      </w:pPr>
    </w:p>
    <w:p>
      <w:pPr>
        <w:ind w:left="100"/>
        <w:spacing w:after="0"/>
        <w:tabs>
          <w:tab w:leader="none" w:pos="980" w:val="left"/>
          <w:tab w:leader="none" w:pos="104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1000" w:hanging="895"/>
        <w:spacing w:after="0"/>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8.01%*</w:t>
      </w:r>
    </w:p>
    <w:p>
      <w:pPr>
        <w:spacing w:after="0" w:line="225" w:lineRule="exact"/>
        <w:rPr>
          <w:rFonts w:ascii="Times New Roman" w:cs="Times New Roman" w:eastAsia="Times New Roman" w:hAnsi="Times New Roman"/>
          <w:sz w:val="18"/>
          <w:szCs w:val="18"/>
          <w:color w:val="auto"/>
        </w:rPr>
      </w:pPr>
    </w:p>
    <w:p>
      <w:pPr>
        <w:ind w:left="1000" w:right="5900" w:hanging="895"/>
        <w:spacing w:after="0" w:line="500"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1"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senior notes that are exchangeable at the option of the holder into 2,280,921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55933J203</w:t>
            </w:r>
          </w:p>
        </w:tc>
      </w:tr>
    </w:tbl>
    <w:p>
      <w:pPr>
        <w:spacing w:after="0" w:line="198" w:lineRule="exact"/>
        <w:rPr>
          <w:sz w:val="20"/>
          <w:szCs w:val="20"/>
          <w:color w:val="auto"/>
        </w:rPr>
      </w:pPr>
    </w:p>
    <w:p>
      <w:pPr>
        <w:ind w:left="1000" w:hanging="895"/>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000" w:right="46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Brigade Leveraged Capital Structures Fund Ltd.</w:t>
      </w:r>
    </w:p>
    <w:p>
      <w:pPr>
        <w:ind w:left="1000" w:hanging="895"/>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000" w:hanging="895"/>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000" w:right="6560" w:hanging="895"/>
        <w:spacing w:after="0" w:line="500"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000" w:right="8380" w:hanging="895"/>
        <w:spacing w:after="0" w:line="50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000" w:right="8100" w:hanging="895"/>
        <w:spacing w:after="0" w:line="50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2,005,765*</w:t>
      </w:r>
    </w:p>
    <w:p>
      <w:pPr>
        <w:spacing w:after="0" w:line="1" w:lineRule="exact"/>
        <w:rPr>
          <w:rFonts w:ascii="Times New Roman" w:cs="Times New Roman" w:eastAsia="Times New Roman" w:hAnsi="Times New Roman"/>
          <w:sz w:val="18"/>
          <w:szCs w:val="18"/>
          <w:color w:val="auto"/>
        </w:rPr>
      </w:pPr>
    </w:p>
    <w:p>
      <w:pPr>
        <w:ind w:left="1000" w:right="7980" w:hanging="895"/>
        <w:spacing w:after="0" w:line="50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000" w:right="7700" w:hanging="895"/>
        <w:spacing w:after="0" w:line="50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2,005,765*</w:t>
      </w:r>
    </w:p>
    <w:p>
      <w:pPr>
        <w:spacing w:after="0" w:line="1" w:lineRule="exact"/>
        <w:rPr>
          <w:rFonts w:ascii="Times New Roman" w:cs="Times New Roman" w:eastAsia="Times New Roman" w:hAnsi="Times New Roman"/>
          <w:sz w:val="18"/>
          <w:szCs w:val="18"/>
          <w:color w:val="auto"/>
        </w:rPr>
      </w:pPr>
    </w:p>
    <w:p>
      <w:pPr>
        <w:ind w:left="1000" w:right="3680" w:hanging="895"/>
        <w:spacing w:after="0" w:line="50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2,005,765*</w:t>
      </w:r>
    </w:p>
    <w:p>
      <w:pPr>
        <w:spacing w:after="0" w:line="2" w:lineRule="exact"/>
        <w:rPr>
          <w:sz w:val="20"/>
          <w:szCs w:val="20"/>
          <w:color w:val="auto"/>
        </w:rPr>
      </w:pPr>
    </w:p>
    <w:p>
      <w:pPr>
        <w:ind w:left="100"/>
        <w:spacing w:after="0"/>
        <w:tabs>
          <w:tab w:leader="none" w:pos="980" w:val="left"/>
          <w:tab w:leader="none" w:pos="104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1000" w:hanging="895"/>
        <w:spacing w:after="0"/>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w:t>
      </w:r>
    </w:p>
    <w:p>
      <w:pPr>
        <w:spacing w:after="0" w:line="225" w:lineRule="exact"/>
        <w:rPr>
          <w:rFonts w:ascii="Times New Roman" w:cs="Times New Roman" w:eastAsia="Times New Roman" w:hAnsi="Times New Roman"/>
          <w:sz w:val="18"/>
          <w:szCs w:val="18"/>
          <w:color w:val="auto"/>
        </w:rPr>
      </w:pPr>
    </w:p>
    <w:p>
      <w:pPr>
        <w:ind w:left="1000" w:right="5900" w:hanging="895"/>
        <w:spacing w:after="0" w:line="500" w:lineRule="auto"/>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1"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senior notes that are exchangeable at the option of the holder into 1,328,892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55933J203</w:t>
            </w:r>
          </w:p>
        </w:tc>
      </w:tr>
    </w:tbl>
    <w:p>
      <w:pPr>
        <w:spacing w:after="0" w:line="198" w:lineRule="exact"/>
        <w:rPr>
          <w:sz w:val="20"/>
          <w:szCs w:val="20"/>
          <w:color w:val="auto"/>
        </w:rPr>
      </w:pPr>
    </w:p>
    <w:p>
      <w:pPr>
        <w:ind w:left="1000" w:hanging="895"/>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000" w:right="46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Donald E. Morgan, III</w:t>
      </w:r>
    </w:p>
    <w:p>
      <w:pPr>
        <w:ind w:left="1000" w:hanging="895"/>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000" w:hanging="895"/>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000" w:right="6560" w:hanging="895"/>
        <w:spacing w:after="0" w:line="500"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U.S.A.</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000" w:right="8380" w:hanging="895"/>
        <w:spacing w:after="0" w:line="500"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000" w:right="8100" w:hanging="895"/>
        <w:spacing w:after="0" w:line="500"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3,028,318*</w:t>
      </w:r>
    </w:p>
    <w:p>
      <w:pPr>
        <w:spacing w:after="0" w:line="1" w:lineRule="exact"/>
        <w:rPr>
          <w:rFonts w:ascii="Times New Roman" w:cs="Times New Roman" w:eastAsia="Times New Roman" w:hAnsi="Times New Roman"/>
          <w:sz w:val="18"/>
          <w:szCs w:val="18"/>
          <w:color w:val="auto"/>
        </w:rPr>
      </w:pPr>
    </w:p>
    <w:p>
      <w:pPr>
        <w:ind w:left="1000" w:right="7980" w:hanging="895"/>
        <w:spacing w:after="0" w:line="500"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000" w:right="7700" w:hanging="895"/>
        <w:spacing w:after="0" w:line="500"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3,028,318*</w:t>
      </w:r>
    </w:p>
    <w:p>
      <w:pPr>
        <w:spacing w:after="0" w:line="1" w:lineRule="exact"/>
        <w:rPr>
          <w:rFonts w:ascii="Times New Roman" w:cs="Times New Roman" w:eastAsia="Times New Roman" w:hAnsi="Times New Roman"/>
          <w:sz w:val="18"/>
          <w:szCs w:val="18"/>
          <w:color w:val="auto"/>
        </w:rPr>
      </w:pPr>
    </w:p>
    <w:p>
      <w:pPr>
        <w:ind w:left="1000" w:right="3680" w:hanging="895"/>
        <w:spacing w:after="0" w:line="500"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3,028,318*</w:t>
      </w:r>
    </w:p>
    <w:p>
      <w:pPr>
        <w:spacing w:after="0" w:line="2" w:lineRule="exact"/>
        <w:rPr>
          <w:sz w:val="20"/>
          <w:szCs w:val="20"/>
          <w:color w:val="auto"/>
        </w:rPr>
      </w:pPr>
    </w:p>
    <w:p>
      <w:pPr>
        <w:ind w:left="100"/>
        <w:spacing w:after="0"/>
        <w:tabs>
          <w:tab w:leader="none" w:pos="980" w:val="left"/>
          <w:tab w:leader="none" w:pos="104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1000" w:hanging="895"/>
        <w:spacing w:after="0"/>
        <w:tabs>
          <w:tab w:leader="none" w:pos="10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8.01%*</w:t>
      </w:r>
    </w:p>
    <w:p>
      <w:pPr>
        <w:spacing w:after="0" w:line="225" w:lineRule="exact"/>
        <w:rPr>
          <w:rFonts w:ascii="Times New Roman" w:cs="Times New Roman" w:eastAsia="Times New Roman" w:hAnsi="Times New Roman"/>
          <w:sz w:val="18"/>
          <w:szCs w:val="18"/>
          <w:color w:val="auto"/>
        </w:rPr>
      </w:pPr>
    </w:p>
    <w:p>
      <w:pPr>
        <w:ind w:left="1000" w:right="5900" w:hanging="895"/>
        <w:spacing w:after="0" w:line="500" w:lineRule="auto"/>
        <w:tabs>
          <w:tab w:leader="none" w:pos="10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pacing w:after="0" w:line="1"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senior notes that are exchangeable at the option of the holder into 2,280,921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55933J203</w:t>
            </w:r>
          </w:p>
        </w:tc>
        <w:tc>
          <w:tcPr>
            <w:tcW w:w="8300" w:type="dxa"/>
            <w:vAlign w:val="bottom"/>
          </w:tcPr>
          <w:p>
            <w:pPr>
              <w:spacing w:after="0"/>
              <w:rPr>
                <w:sz w:val="20"/>
                <w:szCs w:val="20"/>
                <w:color w:val="auto"/>
              </w:rPr>
            </w:pPr>
          </w:p>
        </w:tc>
      </w:tr>
      <w:tr>
        <w:trPr>
          <w:trHeight w:val="426"/>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MagnaChip Semiconductor Corporation</w:t>
            </w:r>
          </w:p>
        </w:tc>
      </w:tr>
      <w:tr>
        <w:trPr>
          <w:trHeight w:val="425"/>
        </w:trPr>
        <w:tc>
          <w:tcPr>
            <w:tcW w:w="10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MagnaChip Semiconductor S.A.</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 Allée Scheffer, L-2520</w:t>
            </w:r>
          </w:p>
        </w:tc>
      </w:tr>
      <w:tr>
        <w:trPr>
          <w:trHeight w:val="234"/>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Luxembourg, Grand Duchy of Luxembourg</w:t>
            </w:r>
          </w:p>
        </w:tc>
      </w:tr>
      <w:tr>
        <w:trPr>
          <w:trHeight w:val="426"/>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 – (c)</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Principal Business Address, and Citizenship of Persons Filing:</w:t>
            </w:r>
          </w:p>
        </w:tc>
      </w:tr>
      <w:tr>
        <w:trPr>
          <w:trHeight w:val="414"/>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Brigade Capital Management, LP – Delaware</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Brigade Capital Management GP, LLC – Delaware</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Brigade Leveraged Capital Structures Fund Ltd. – Cayman Islands</w:t>
            </w:r>
          </w:p>
        </w:tc>
      </w:tr>
      <w:tr>
        <w:trPr>
          <w:trHeight w:val="234"/>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Donald E. Morgan, III – U.S.A.</w:t>
            </w:r>
          </w:p>
        </w:tc>
      </w:tr>
      <w:tr>
        <w:trPr>
          <w:trHeight w:val="414"/>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Brigade Capital Management, LP, Brigade Capital Management GP, LLC and Donald E. Morgan, III:</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399 Park Avenue, 16th Floor</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34"/>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14"/>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Brigade Leveraged Capital Structures Fund Ltd.:</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Intertrust Corporate Services (Cayman) Limited</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190 Elgin Avenue</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George Town</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Grand Cayman KY1-9005</w:t>
            </w:r>
          </w:p>
        </w:tc>
      </w:tr>
      <w:tr>
        <w:trPr>
          <w:trHeight w:val="234"/>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426"/>
        </w:trPr>
        <w:tc>
          <w:tcPr>
            <w:tcW w:w="10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par value $0.01 per share</w:t>
            </w:r>
          </w:p>
        </w:tc>
      </w:tr>
      <w:tr>
        <w:trPr>
          <w:trHeight w:val="426"/>
        </w:trPr>
        <w:tc>
          <w:tcPr>
            <w:tcW w:w="10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CUSIP Number:</w:t>
            </w:r>
          </w:p>
        </w:tc>
      </w:tr>
      <w:tr>
        <w:trPr>
          <w:trHeight w:val="43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55933J203</w:t>
            </w:r>
          </w:p>
        </w:tc>
      </w:tr>
      <w:tr>
        <w:trPr>
          <w:trHeight w:val="425"/>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If This Statement is filed pursuant to ss.240.13d-1(b) or 240.13d-2(b), or (c), check whether the person filing is a</w:t>
            </w:r>
          </w:p>
        </w:tc>
      </w:tr>
      <w:tr>
        <w:trPr>
          <w:trHeight w:val="432"/>
        </w:trPr>
        <w:tc>
          <w:tcPr>
            <w:tcW w:w="10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(a)</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[_]</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 (15 U.S.C. 78c).</w:t>
            </w:r>
          </w:p>
        </w:tc>
      </w:tr>
      <w:tr>
        <w:trPr>
          <w:trHeight w:val="432"/>
        </w:trPr>
        <w:tc>
          <w:tcPr>
            <w:tcW w:w="10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(b)</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[_]</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Bank as defined in Section 3(a)(6) of the Exchange Act (15 U.S.C. 78c).</w:t>
            </w:r>
          </w:p>
        </w:tc>
      </w:tr>
      <w:tr>
        <w:trPr>
          <w:trHeight w:val="432"/>
        </w:trPr>
        <w:tc>
          <w:tcPr>
            <w:tcW w:w="10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[_]</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 (15 U.S.C. 78c).</w:t>
            </w:r>
          </w:p>
        </w:tc>
      </w:tr>
      <w:tr>
        <w:trPr>
          <w:trHeight w:val="432"/>
        </w:trPr>
        <w:tc>
          <w:tcPr>
            <w:tcW w:w="10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(d)</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[_]</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432"/>
        </w:trPr>
        <w:tc>
          <w:tcPr>
            <w:tcW w:w="10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(e)</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[_]</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 investment adviser in accordance with § 240.13d-1(b)(1)(ii)(E);</w:t>
            </w:r>
          </w:p>
        </w:tc>
      </w:tr>
      <w:tr>
        <w:trPr>
          <w:trHeight w:val="432"/>
        </w:trPr>
        <w:tc>
          <w:tcPr>
            <w:tcW w:w="10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[_]</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432"/>
        </w:trPr>
        <w:tc>
          <w:tcPr>
            <w:tcW w:w="10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(g)</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[_]</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(h)</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[_]</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U.S.C.1813);</w:t>
            </w:r>
          </w:p>
        </w:tc>
      </w:tr>
      <w:tr>
        <w:trPr>
          <w:trHeight w:val="414"/>
        </w:trPr>
        <w:tc>
          <w:tcPr>
            <w:tcW w:w="10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[_]</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w:t>
            </w:r>
          </w:p>
        </w:tc>
      </w:tr>
      <w:tr>
        <w:trPr>
          <w:trHeight w:val="234"/>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 Act of 1940 (15 U.S.C. 80a-3);</w:t>
            </w:r>
          </w:p>
        </w:tc>
      </w:tr>
      <w:tr>
        <w:trPr>
          <w:trHeight w:val="432"/>
        </w:trPr>
        <w:tc>
          <w:tcPr>
            <w:tcW w:w="10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[_]</w:t>
            </w: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Group, in accordance with s.240.13d-1(b)(1)(ii)(J).</w:t>
            </w:r>
          </w:p>
        </w:tc>
      </w:tr>
      <w:tr>
        <w:trPr>
          <w:trHeight w:val="264"/>
        </w:trPr>
        <w:tc>
          <w:tcPr>
            <w:tcW w:w="10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30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472" w:right="339" w:bottom="1440" w:gutter="0" w:footer="0" w:header="0"/>
        </w:sectPr>
      </w:pPr>
    </w:p>
    <w:bookmarkStart w:id="6" w:name="page7"/>
    <w:bookmarkEnd w:id="6"/>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480" w:hanging="678"/>
        <w:spacing w:after="0"/>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480" w:right="49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Brigade Capital Management, LP – 3,028,318 Brigade Capital Management GP, LLC – 3,028,318 Brigade Leveraged Capital Structures Fund Ltd. – 2,005,765 Donald E. Morgan, III – 3,028,318</w:t>
      </w:r>
    </w:p>
    <w:p>
      <w:pPr>
        <w:spacing w:after="0" w:line="181" w:lineRule="exact"/>
        <w:rPr>
          <w:rFonts w:ascii="Times New Roman" w:cs="Times New Roman" w:eastAsia="Times New Roman" w:hAnsi="Times New Roman"/>
          <w:sz w:val="18"/>
          <w:szCs w:val="18"/>
          <w:color w:val="auto"/>
        </w:rPr>
      </w:pPr>
    </w:p>
    <w:p>
      <w:pPr>
        <w:ind w:left="1480" w:hanging="678"/>
        <w:spacing w:after="0"/>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480" w:right="51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Brigade Capital Management, LP – 8.01% Brigade Capital Management GP, LLC – 8.01% Brigade Leveraged Capital Structures Fund Ltd. – 5.30% Donald E. Morgan, III – 8.01%</w:t>
      </w:r>
    </w:p>
    <w:p>
      <w:pPr>
        <w:spacing w:after="0" w:line="181" w:lineRule="exact"/>
        <w:rPr>
          <w:rFonts w:ascii="Times New Roman" w:cs="Times New Roman" w:eastAsia="Times New Roman" w:hAnsi="Times New Roman"/>
          <w:sz w:val="18"/>
          <w:szCs w:val="18"/>
          <w:color w:val="auto"/>
        </w:rPr>
      </w:pPr>
    </w:p>
    <w:p>
      <w:pPr>
        <w:ind w:left="1480" w:hanging="678"/>
        <w:spacing w:after="0"/>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160" w:hanging="683"/>
        <w:spacing w:after="0"/>
        <w:tabs>
          <w:tab w:leader="none" w:pos="2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2160" w:right="48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Brigade Capital Management, LP – 0 Brigade Capital Management GP, LLC – 0 Brigade Leveraged Capital Structures Fund Ltd. – 0 Donald E. Morgan, III – 0</w:t>
      </w:r>
    </w:p>
    <w:p>
      <w:pPr>
        <w:spacing w:after="0" w:line="181" w:lineRule="exact"/>
        <w:rPr>
          <w:rFonts w:ascii="Times New Roman" w:cs="Times New Roman" w:eastAsia="Times New Roman" w:hAnsi="Times New Roman"/>
          <w:sz w:val="18"/>
          <w:szCs w:val="18"/>
          <w:color w:val="auto"/>
        </w:rPr>
      </w:pPr>
    </w:p>
    <w:p>
      <w:pPr>
        <w:ind w:left="2160" w:hanging="683"/>
        <w:spacing w:after="0"/>
        <w:tabs>
          <w:tab w:leader="none" w:pos="2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2160" w:right="42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Brigade Capital Management, LP – 3,028,318 Brigade Capital Management GP, LLC – 3,028,318 Brigade Leveraged Capital Structures Fund Ltd. – 2,005,765 Donald E. Morgan, III – 3,028,318</w:t>
      </w:r>
    </w:p>
    <w:p>
      <w:pPr>
        <w:spacing w:after="0" w:line="181" w:lineRule="exact"/>
        <w:rPr>
          <w:rFonts w:ascii="Times New Roman" w:cs="Times New Roman" w:eastAsia="Times New Roman" w:hAnsi="Times New Roman"/>
          <w:sz w:val="18"/>
          <w:szCs w:val="18"/>
          <w:color w:val="auto"/>
        </w:rPr>
      </w:pPr>
    </w:p>
    <w:p>
      <w:pPr>
        <w:ind w:left="2160" w:hanging="683"/>
        <w:spacing w:after="0"/>
        <w:tabs>
          <w:tab w:leader="none" w:pos="2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160" w:right="48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Brigade Capital Management, LP – 0 Brigade Capital Management GP, LLC – 0 Brigade Leveraged Capital Structures Fund Ltd. – 0 Donald E. Morgan, III – 0</w:t>
      </w:r>
    </w:p>
    <w:p>
      <w:pPr>
        <w:spacing w:after="0" w:line="181" w:lineRule="exact"/>
        <w:rPr>
          <w:rFonts w:ascii="Times New Roman" w:cs="Times New Roman" w:eastAsia="Times New Roman" w:hAnsi="Times New Roman"/>
          <w:sz w:val="18"/>
          <w:szCs w:val="18"/>
          <w:color w:val="auto"/>
        </w:rPr>
      </w:pPr>
    </w:p>
    <w:p>
      <w:pPr>
        <w:ind w:left="2160" w:hanging="683"/>
        <w:spacing w:after="0"/>
        <w:tabs>
          <w:tab w:leader="none" w:pos="2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160" w:right="42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Brigade Capital Management, LP – 3,028,318 Brigade Capital Management GP, LLC – 3,028,318 Brigade Leveraged Capital Structures Fund Ltd. – 2,005,765 Donald E. Morgan, III – 3,028,318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-17780</wp:posOffset>
            </wp:positionV>
            <wp:extent cx="5768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-163830</wp:posOffset>
            </wp:positionV>
            <wp:extent cx="5768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-309245</wp:posOffset>
            </wp:positionV>
            <wp:extent cx="57689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-455295</wp:posOffset>
            </wp:positionV>
            <wp:extent cx="57689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-1012190</wp:posOffset>
            </wp:positionV>
            <wp:extent cx="57689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-1158240</wp:posOffset>
            </wp:positionV>
            <wp:extent cx="57689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-1303655</wp:posOffset>
            </wp:positionV>
            <wp:extent cx="57689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-1449705</wp:posOffset>
            </wp:positionV>
            <wp:extent cx="57689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-2006600</wp:posOffset>
            </wp:positionV>
            <wp:extent cx="57689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-2152650</wp:posOffset>
            </wp:positionV>
            <wp:extent cx="57689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-2298065</wp:posOffset>
            </wp:positionV>
            <wp:extent cx="5768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-2444115</wp:posOffset>
            </wp:positionV>
            <wp:extent cx="57689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-3001010</wp:posOffset>
            </wp:positionV>
            <wp:extent cx="57689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-3147060</wp:posOffset>
            </wp:positionV>
            <wp:extent cx="57689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-3292475</wp:posOffset>
            </wp:positionV>
            <wp:extent cx="57689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-3438525</wp:posOffset>
            </wp:positionV>
            <wp:extent cx="57689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-4269740</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-4415790</wp:posOffset>
            </wp:positionV>
            <wp:extent cx="6197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-4561205</wp:posOffset>
            </wp:positionV>
            <wp:extent cx="6197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-4707255</wp:posOffset>
            </wp:positionV>
            <wp:extent cx="6197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-5264150</wp:posOffset>
            </wp:positionV>
            <wp:extent cx="6197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-5410200</wp:posOffset>
            </wp:positionV>
            <wp:extent cx="6197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-5555615</wp:posOffset>
            </wp:positionV>
            <wp:extent cx="6197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-5701665</wp:posOffset>
            </wp:positionV>
            <wp:extent cx="6197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144145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760"/>
          </w:cols>
          <w:pgMar w:left="420" w:top="472" w:right="719" w:bottom="1440" w:gutter="0" w:footer="0" w:header="0"/>
        </w:sectPr>
      </w:pPr>
    </w:p>
    <w:bookmarkStart w:id="7" w:name="page8"/>
    <w:bookmarkEnd w:id="7"/>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00" w:lineRule="exact"/>
        <w:rPr>
          <w:sz w:val="20"/>
          <w:szCs w:val="20"/>
          <w:color w:val="auto"/>
        </w:rPr>
      </w:pPr>
    </w:p>
    <w:p>
      <w:pPr>
        <w:spacing w:after="0" w:line="241" w:lineRule="exact"/>
        <w:rPr>
          <w:sz w:val="20"/>
          <w:szCs w:val="20"/>
          <w:color w:val="auto"/>
        </w:rPr>
      </w:pPr>
    </w:p>
    <w:p>
      <w:pPr>
        <w:jc w:val="both"/>
        <w:ind w:firstLine="783"/>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580" w:hanging="562"/>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§240.13d-1(b).</w:t>
      </w:r>
    </w:p>
    <w:p>
      <w:pPr>
        <w:spacing w:after="0" w:line="225" w:lineRule="exact"/>
        <w:rPr>
          <w:rFonts w:ascii="Times New Roman" w:cs="Times New Roman" w:eastAsia="Times New Roman" w:hAnsi="Times New Roman"/>
          <w:sz w:val="18"/>
          <w:szCs w:val="18"/>
          <w:color w:val="auto"/>
        </w:rPr>
      </w:pPr>
    </w:p>
    <w:p>
      <w:pPr>
        <w:jc w:val="both"/>
        <w:ind w:left="1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jc w:val="both"/>
        <w:ind w:left="1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40"/>
          </w:cols>
          <w:pgMar w:left="420" w:top="472"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January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Brigade Capital Management, LP</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Managing Member of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Brigade Capital Management GP, LLC</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Brigade Leveraged Capital Structures Fund Ltd.</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Amendment number 6 dated January 6, 2021 relating to the Common Stock, par value $0.01 per share of MagnaChip Semiconductor Corporation shall be filed on behalf of the undersigned.</w:t>
      </w:r>
    </w:p>
    <w:p>
      <w:pPr>
        <w:spacing w:after="0" w:line="37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January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Brigade Capital Management, LP</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Managing Member of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Brigade Capital Management GP, LLC</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Brigade Leveraged Capital Structures Fund Ltd.</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5"/>
    </w:lvl>
  </w:abstractNum>
  <w:abstractNum w:abstractNumId="4">
    <w:nsid w:val="66EF438D"/>
    <w:multiLevelType w:val="hybridMultilevel"/>
    <w:lvl w:ilvl="0">
      <w:lvlJc w:val="left"/>
      <w:lvlText w:val="*"/>
      <w:numFmt w:val="bullet"/>
      <w:start w:val="1"/>
    </w:lvl>
    <w:lvl w:ilvl="1">
      <w:lvlJc w:val="left"/>
      <w:lvlText w:val="%2."/>
      <w:numFmt w:val="decimal"/>
      <w:start w:val="1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
      <w:numFmt w:val="bullet"/>
      <w:start w:val="1"/>
    </w:lvl>
    <w:lvl w:ilvl="1">
      <w:lvlJc w:val="left"/>
      <w:lvlText w:val="%2."/>
      <w:numFmt w:val="decimal"/>
      <w:start w:val="1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
      <w:numFmt w:val="bullet"/>
      <w:start w:val="1"/>
    </w:lvl>
    <w:lvl w:ilvl="1">
      <w:lvlJc w:val="left"/>
      <w:lvlText w:val="%2."/>
      <w:numFmt w:val="decimal"/>
      <w:start w:val="1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
      <w:numFmt w:val="bullet"/>
      <w:start w:val="1"/>
    </w:lvl>
    <w:lvl w:ilvl="1">
      <w:lvlJc w:val="left"/>
      <w:lvlText w:val="%2."/>
      <w:numFmt w:val="decimal"/>
      <w:start w:val="11"/>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2021-01-06T10:44:29Z</dcterms:created>
  <dcterms:modified xsi:type="dcterms:W3CDTF">2021-01-06T10:44:29Z</dcterms:modified>
</cp:coreProperties>
</file>