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Pursuant to Section 13 or 15(d)</w:t>
      </w:r>
    </w:p>
    <w:p>
      <w:pPr>
        <w:jc w:val="center"/>
        <w:ind w:right="-3"/>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Date of report (Date of earliest event reported): December 30,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233680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ind w:right="-3"/>
        <w:spacing w:after="0"/>
        <w:rPr>
          <w:sz w:val="20"/>
          <w:szCs w:val="20"/>
          <w:color w:val="auto"/>
        </w:rPr>
      </w:pPr>
      <w:r>
        <w:rPr>
          <w:rFonts w:ascii="Arial" w:cs="Arial" w:eastAsia="Arial" w:hAnsi="Arial"/>
          <w:sz w:val="43"/>
          <w:szCs w:val="43"/>
          <w:b w:val="1"/>
          <w:bCs w:val="1"/>
          <w:color w:val="auto"/>
        </w:rPr>
        <w:t>Magnachip Semiconductor Corporation</w:t>
      </w:r>
    </w:p>
    <w:p>
      <w:pPr>
        <w:spacing w:after="0" w:line="50"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236220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024" w:type="dxa"/>
        <w:tblCellMar>
          <w:top w:w="0" w:type="dxa"/>
          <w:left w:w="0" w:type="dxa"/>
          <w:bottom w:w="0" w:type="dxa"/>
          <w:right w:w="0" w:type="dxa"/>
        </w:tblCellMar>
      </w:tblPr>
      <w:tr>
        <w:trPr>
          <w:trHeight w:val="212"/>
        </w:trPr>
        <w:tc>
          <w:tcPr>
            <w:tcW w:w="3800" w:type="dxa"/>
            <w:vAlign w:val="bottom"/>
          </w:tcPr>
          <w:p>
            <w:pPr>
              <w:jc w:val="center"/>
              <w:ind w:right="2038"/>
              <w:spacing w:after="0"/>
              <w:rPr>
                <w:sz w:val="20"/>
                <w:szCs w:val="20"/>
                <w:color w:val="auto"/>
              </w:rPr>
            </w:pPr>
            <w:r>
              <w:rPr>
                <w:rFonts w:ascii="Arial" w:cs="Arial" w:eastAsia="Arial" w:hAnsi="Arial"/>
                <w:sz w:val="18"/>
                <w:szCs w:val="18"/>
                <w:b w:val="1"/>
                <w:bCs w:val="1"/>
                <w:color w:val="auto"/>
                <w:w w:val="91"/>
              </w:rPr>
              <w:t>Delaware</w:t>
            </w:r>
          </w:p>
        </w:tc>
        <w:tc>
          <w:tcPr>
            <w:tcW w:w="2060" w:type="dxa"/>
            <w:vAlign w:val="bottom"/>
          </w:tcPr>
          <w:p>
            <w:pPr>
              <w:ind w:left="400"/>
              <w:spacing w:after="0"/>
              <w:rPr>
                <w:sz w:val="20"/>
                <w:szCs w:val="20"/>
                <w:color w:val="auto"/>
              </w:rPr>
            </w:pPr>
            <w:r>
              <w:rPr>
                <w:rFonts w:ascii="Arial" w:cs="Arial" w:eastAsia="Arial" w:hAnsi="Arial"/>
                <w:sz w:val="18"/>
                <w:szCs w:val="18"/>
                <w:b w:val="1"/>
                <w:bCs w:val="1"/>
                <w:color w:val="auto"/>
              </w:rPr>
              <w:t>001-34791</w:t>
            </w:r>
          </w:p>
        </w:tc>
        <w:tc>
          <w:tcPr>
            <w:tcW w:w="2940" w:type="dxa"/>
            <w:vAlign w:val="bottom"/>
          </w:tcPr>
          <w:p>
            <w:pPr>
              <w:jc w:val="center"/>
              <w:ind w:left="1721"/>
              <w:spacing w:after="0"/>
              <w:rPr>
                <w:sz w:val="20"/>
                <w:szCs w:val="20"/>
                <w:color w:val="auto"/>
              </w:rPr>
            </w:pPr>
            <w:r>
              <w:rPr>
                <w:rFonts w:ascii="Arial" w:cs="Arial" w:eastAsia="Arial" w:hAnsi="Arial"/>
                <w:sz w:val="18"/>
                <w:szCs w:val="18"/>
                <w:b w:val="1"/>
                <w:bCs w:val="1"/>
                <w:color w:val="auto"/>
                <w:w w:val="89"/>
              </w:rPr>
              <w:t>83-0406195</w:t>
            </w:r>
          </w:p>
        </w:tc>
      </w:tr>
      <w:tr>
        <w:trPr>
          <w:trHeight w:val="148"/>
        </w:trPr>
        <w:tc>
          <w:tcPr>
            <w:tcW w:w="3800" w:type="dxa"/>
            <w:vAlign w:val="bottom"/>
          </w:tcPr>
          <w:p>
            <w:pPr>
              <w:jc w:val="center"/>
              <w:ind w:right="2018"/>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2060" w:type="dxa"/>
            <w:vAlign w:val="bottom"/>
          </w:tcPr>
          <w:p>
            <w:pPr>
              <w:ind w:left="400"/>
              <w:spacing w:after="0" w:line="149" w:lineRule="exact"/>
              <w:rPr>
                <w:sz w:val="20"/>
                <w:szCs w:val="20"/>
                <w:color w:val="auto"/>
              </w:rPr>
            </w:pPr>
            <w:r>
              <w:rPr>
                <w:rFonts w:ascii="Arial" w:cs="Arial" w:eastAsia="Arial" w:hAnsi="Arial"/>
                <w:sz w:val="14"/>
                <w:szCs w:val="14"/>
                <w:b w:val="1"/>
                <w:bCs w:val="1"/>
                <w:color w:val="auto"/>
              </w:rPr>
              <w:t>(Commission</w:t>
            </w:r>
          </w:p>
        </w:tc>
        <w:tc>
          <w:tcPr>
            <w:tcW w:w="2940" w:type="dxa"/>
            <w:vAlign w:val="bottom"/>
          </w:tcPr>
          <w:p>
            <w:pPr>
              <w:jc w:val="center"/>
              <w:ind w:left="1721"/>
              <w:spacing w:after="0" w:line="149" w:lineRule="exact"/>
              <w:rPr>
                <w:sz w:val="20"/>
                <w:szCs w:val="20"/>
                <w:color w:val="auto"/>
              </w:rPr>
            </w:pPr>
            <w:r>
              <w:rPr>
                <w:rFonts w:ascii="Arial" w:cs="Arial" w:eastAsia="Arial" w:hAnsi="Arial"/>
                <w:sz w:val="14"/>
                <w:szCs w:val="14"/>
                <w:b w:val="1"/>
                <w:bCs w:val="1"/>
                <w:color w:val="auto"/>
                <w:w w:val="98"/>
              </w:rPr>
              <w:t>(IRS Employer</w:t>
            </w:r>
          </w:p>
        </w:tc>
      </w:tr>
      <w:tr>
        <w:trPr>
          <w:trHeight w:val="186"/>
        </w:trPr>
        <w:tc>
          <w:tcPr>
            <w:tcW w:w="3800" w:type="dxa"/>
            <w:vAlign w:val="bottom"/>
          </w:tcPr>
          <w:p>
            <w:pPr>
              <w:jc w:val="center"/>
              <w:ind w:right="2018"/>
              <w:spacing w:after="0"/>
              <w:rPr>
                <w:sz w:val="20"/>
                <w:szCs w:val="20"/>
                <w:color w:val="auto"/>
              </w:rPr>
            </w:pPr>
            <w:r>
              <w:rPr>
                <w:rFonts w:ascii="Arial" w:cs="Arial" w:eastAsia="Arial" w:hAnsi="Arial"/>
                <w:sz w:val="14"/>
                <w:szCs w:val="14"/>
                <w:b w:val="1"/>
                <w:bCs w:val="1"/>
                <w:color w:val="auto"/>
                <w:w w:val="94"/>
              </w:rPr>
              <w:t>of Incorporation)</w:t>
            </w:r>
          </w:p>
        </w:tc>
        <w:tc>
          <w:tcPr>
            <w:tcW w:w="2060" w:type="dxa"/>
            <w:vAlign w:val="bottom"/>
          </w:tcPr>
          <w:p>
            <w:pPr>
              <w:ind w:left="380"/>
              <w:spacing w:after="0"/>
              <w:rPr>
                <w:sz w:val="20"/>
                <w:szCs w:val="20"/>
                <w:color w:val="auto"/>
              </w:rPr>
            </w:pPr>
            <w:r>
              <w:rPr>
                <w:rFonts w:ascii="Arial" w:cs="Arial" w:eastAsia="Arial" w:hAnsi="Arial"/>
                <w:sz w:val="14"/>
                <w:szCs w:val="14"/>
                <w:b w:val="1"/>
                <w:bCs w:val="1"/>
                <w:color w:val="auto"/>
              </w:rPr>
              <w:t>File Number)</w:t>
            </w:r>
          </w:p>
        </w:tc>
        <w:tc>
          <w:tcPr>
            <w:tcW w:w="2940" w:type="dxa"/>
            <w:vAlign w:val="bottom"/>
          </w:tcPr>
          <w:p>
            <w:pPr>
              <w:jc w:val="center"/>
              <w:ind w:left="1721"/>
              <w:spacing w:after="0"/>
              <w:rPr>
                <w:sz w:val="20"/>
                <w:szCs w:val="20"/>
                <w:color w:val="auto"/>
              </w:rPr>
            </w:pPr>
            <w:r>
              <w:rPr>
                <w:rFonts w:ascii="Arial" w:cs="Arial" w:eastAsia="Arial" w:hAnsi="Arial"/>
                <w:sz w:val="14"/>
                <w:szCs w:val="14"/>
                <w:b w:val="1"/>
                <w:bCs w:val="1"/>
                <w:color w:val="auto"/>
                <w:w w:val="96"/>
              </w:rPr>
              <w:t>Identification No.)</w:t>
            </w:r>
          </w:p>
        </w:tc>
      </w:tr>
      <w:tr>
        <w:trPr>
          <w:trHeight w:val="439"/>
        </w:trPr>
        <w:tc>
          <w:tcPr>
            <w:tcW w:w="3800" w:type="dxa"/>
            <w:vAlign w:val="bottom"/>
          </w:tcPr>
          <w:p>
            <w:pPr>
              <w:jc w:val="center"/>
              <w:ind w:right="238"/>
              <w:spacing w:after="0"/>
              <w:rPr>
                <w:sz w:val="20"/>
                <w:szCs w:val="20"/>
                <w:color w:val="auto"/>
              </w:rPr>
            </w:pPr>
            <w:r>
              <w:rPr>
                <w:rFonts w:ascii="Arial" w:cs="Arial" w:eastAsia="Arial" w:hAnsi="Arial"/>
                <w:sz w:val="18"/>
                <w:szCs w:val="18"/>
                <w:b w:val="1"/>
                <w:bCs w:val="1"/>
                <w:color w:val="auto"/>
                <w:w w:val="90"/>
              </w:rPr>
              <w:t>c/o MagnaChip Semiconductor S.A.</w:t>
            </w:r>
          </w:p>
        </w:tc>
        <w:tc>
          <w:tcPr>
            <w:tcW w:w="2060" w:type="dxa"/>
            <w:vAlign w:val="bottom"/>
          </w:tcPr>
          <w:p>
            <w:pPr>
              <w:spacing w:after="0"/>
              <w:rPr>
                <w:sz w:val="24"/>
                <w:szCs w:val="24"/>
                <w:color w:val="auto"/>
              </w:rPr>
            </w:pPr>
          </w:p>
        </w:tc>
        <w:tc>
          <w:tcPr>
            <w:tcW w:w="2940" w:type="dxa"/>
            <w:vAlign w:val="bottom"/>
          </w:tcPr>
          <w:p>
            <w:pPr>
              <w:spacing w:after="0"/>
              <w:rPr>
                <w:sz w:val="24"/>
                <w:szCs w:val="24"/>
                <w:color w:val="auto"/>
              </w:rPr>
            </w:pPr>
          </w:p>
        </w:tc>
      </w:tr>
      <w:tr>
        <w:trPr>
          <w:trHeight w:val="216"/>
        </w:trPr>
        <w:tc>
          <w:tcPr>
            <w:tcW w:w="3800" w:type="dxa"/>
            <w:vAlign w:val="bottom"/>
          </w:tcPr>
          <w:p>
            <w:pPr>
              <w:jc w:val="center"/>
              <w:ind w:right="238"/>
              <w:spacing w:after="0"/>
              <w:rPr>
                <w:sz w:val="20"/>
                <w:szCs w:val="20"/>
                <w:color w:val="auto"/>
              </w:rPr>
            </w:pPr>
            <w:r>
              <w:rPr>
                <w:rFonts w:ascii="Arial" w:cs="Arial" w:eastAsia="Arial" w:hAnsi="Arial"/>
                <w:sz w:val="18"/>
                <w:szCs w:val="18"/>
                <w:b w:val="1"/>
                <w:bCs w:val="1"/>
                <w:color w:val="auto"/>
                <w:w w:val="90"/>
              </w:rPr>
              <w:t>1, Allée Scheffer, L-2520</w:t>
            </w:r>
          </w:p>
        </w:tc>
        <w:tc>
          <w:tcPr>
            <w:tcW w:w="2060" w:type="dxa"/>
            <w:vAlign w:val="bottom"/>
          </w:tcPr>
          <w:p>
            <w:pPr>
              <w:spacing w:after="0"/>
              <w:rPr>
                <w:sz w:val="18"/>
                <w:szCs w:val="18"/>
                <w:color w:val="auto"/>
              </w:rPr>
            </w:pPr>
          </w:p>
        </w:tc>
        <w:tc>
          <w:tcPr>
            <w:tcW w:w="2940" w:type="dxa"/>
            <w:vAlign w:val="bottom"/>
          </w:tcPr>
          <w:p>
            <w:pPr>
              <w:spacing w:after="0"/>
              <w:rPr>
                <w:sz w:val="18"/>
                <w:szCs w:val="18"/>
                <w:color w:val="auto"/>
              </w:rPr>
            </w:pPr>
          </w:p>
        </w:tc>
      </w:tr>
      <w:tr>
        <w:trPr>
          <w:trHeight w:val="225"/>
        </w:trPr>
        <w:tc>
          <w:tcPr>
            <w:tcW w:w="3800" w:type="dxa"/>
            <w:vAlign w:val="bottom"/>
          </w:tcPr>
          <w:p>
            <w:pPr>
              <w:jc w:val="center"/>
              <w:ind w:right="258"/>
              <w:spacing w:after="0"/>
              <w:rPr>
                <w:sz w:val="20"/>
                <w:szCs w:val="20"/>
                <w:color w:val="auto"/>
              </w:rPr>
            </w:pPr>
            <w:r>
              <w:rPr>
                <w:rFonts w:ascii="Arial" w:cs="Arial" w:eastAsia="Arial" w:hAnsi="Arial"/>
                <w:sz w:val="18"/>
                <w:szCs w:val="18"/>
                <w:b w:val="1"/>
                <w:bCs w:val="1"/>
                <w:color w:val="auto"/>
                <w:w w:val="91"/>
              </w:rPr>
              <w:t>Luxembourg, Grand Duchy of Luxembourg</w:t>
            </w:r>
          </w:p>
        </w:tc>
        <w:tc>
          <w:tcPr>
            <w:tcW w:w="2060" w:type="dxa"/>
            <w:vAlign w:val="bottom"/>
          </w:tcPr>
          <w:p>
            <w:pPr>
              <w:spacing w:after="0"/>
              <w:rPr>
                <w:sz w:val="19"/>
                <w:szCs w:val="19"/>
                <w:color w:val="auto"/>
              </w:rPr>
            </w:pPr>
          </w:p>
        </w:tc>
        <w:tc>
          <w:tcPr>
            <w:tcW w:w="2940" w:type="dxa"/>
            <w:vAlign w:val="bottom"/>
          </w:tcPr>
          <w:p>
            <w:pPr>
              <w:jc w:val="center"/>
              <w:spacing w:after="0"/>
              <w:rPr>
                <w:sz w:val="20"/>
                <w:szCs w:val="20"/>
                <w:color w:val="auto"/>
              </w:rPr>
            </w:pPr>
            <w:r>
              <w:rPr>
                <w:rFonts w:ascii="Arial" w:cs="Arial" w:eastAsia="Arial" w:hAnsi="Arial"/>
                <w:sz w:val="18"/>
                <w:szCs w:val="18"/>
                <w:b w:val="1"/>
                <w:bCs w:val="1"/>
                <w:color w:val="auto"/>
                <w:w w:val="92"/>
              </w:rPr>
              <w:t>Not Applicable</w:t>
            </w:r>
          </w:p>
        </w:tc>
      </w:tr>
      <w:tr>
        <w:trPr>
          <w:trHeight w:val="186"/>
        </w:trPr>
        <w:tc>
          <w:tcPr>
            <w:tcW w:w="3800" w:type="dxa"/>
            <w:vAlign w:val="bottom"/>
          </w:tcPr>
          <w:p>
            <w:pPr>
              <w:jc w:val="center"/>
              <w:ind w:right="258"/>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2060" w:type="dxa"/>
            <w:vAlign w:val="bottom"/>
          </w:tcPr>
          <w:p>
            <w:pPr>
              <w:spacing w:after="0"/>
              <w:rPr>
                <w:sz w:val="16"/>
                <w:szCs w:val="16"/>
                <w:color w:val="auto"/>
              </w:rPr>
            </w:pPr>
          </w:p>
        </w:tc>
        <w:tc>
          <w:tcPr>
            <w:tcW w:w="2940" w:type="dxa"/>
            <w:vAlign w:val="bottom"/>
          </w:tcPr>
          <w:p>
            <w:pPr>
              <w:jc w:val="center"/>
              <w:spacing w:after="0"/>
              <w:rPr>
                <w:sz w:val="20"/>
                <w:szCs w:val="20"/>
                <w:color w:val="auto"/>
              </w:rPr>
            </w:pPr>
            <w:r>
              <w:rPr>
                <w:rFonts w:ascii="Arial" w:cs="Arial" w:eastAsia="Arial" w:hAnsi="Arial"/>
                <w:sz w:val="14"/>
                <w:szCs w:val="14"/>
                <w:b w:val="1"/>
                <w:bCs w:val="1"/>
                <w:color w:val="auto"/>
                <w:w w:val="98"/>
              </w:rPr>
              <w:t>(Zip Code)</w:t>
            </w:r>
          </w:p>
        </w:tc>
      </w:tr>
    </w:tbl>
    <w:p>
      <w:pPr>
        <w:spacing w:after="0" w:line="183"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Registrant’s telephone number, including area code: (352) 45-62-62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248920</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87" w:lineRule="exact"/>
        <w:rPr>
          <w:sz w:val="24"/>
          <w:szCs w:val="24"/>
          <w:color w:val="auto"/>
        </w:rPr>
      </w:pPr>
    </w:p>
    <w:p>
      <w:pPr>
        <w:ind w:left="4"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left="4"/>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31"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Common Stock, par value $0.01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rPr>
              <w:t>MX</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New York Stock Exchange</w:t>
            </w:r>
          </w:p>
        </w:tc>
        <w:tc>
          <w:tcPr>
            <w:tcW w:w="0" w:type="dxa"/>
            <w:vAlign w:val="bottom"/>
          </w:tcPr>
          <w:p>
            <w:pPr>
              <w:spacing w:after="0"/>
              <w:rPr>
                <w:sz w:val="1"/>
                <w:szCs w:val="1"/>
                <w:color w:val="auto"/>
              </w:rPr>
            </w:pPr>
          </w:p>
        </w:tc>
      </w:tr>
    </w:tbl>
    <w:p>
      <w:pPr>
        <w:spacing w:after="0" w:line="183" w:lineRule="exact"/>
        <w:rPr>
          <w:sz w:val="24"/>
          <w:szCs w:val="24"/>
          <w:color w:val="auto"/>
        </w:rPr>
      </w:pPr>
    </w:p>
    <w:p>
      <w:pPr>
        <w:ind w:left="4" w:right="26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38" w:lineRule="exact"/>
        <w:rPr>
          <w:sz w:val="24"/>
          <w:szCs w:val="24"/>
          <w:color w:val="auto"/>
        </w:rPr>
      </w:pPr>
    </w:p>
    <w:p>
      <w:pPr>
        <w:ind w:left="4"/>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left="4"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sectPr>
      </w:pPr>
    </w:p>
    <w:bookmarkStart w:id="1" w:name="page2"/>
    <w:bookmarkEnd w:id="1"/>
    <w:p>
      <w:pPr>
        <w:spacing w:after="0"/>
        <w:tabs>
          <w:tab w:leader="none" w:pos="11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43180"/>
                    </a:xfrm>
                    <a:prstGeom prst="rect">
                      <a:avLst/>
                    </a:prstGeom>
                    <a:noFill/>
                  </pic:spPr>
                </pic:pic>
              </a:graphicData>
            </a:graphic>
          </wp:anchor>
        </w:drawing>
        <w:t>Item 5.03.</w:t>
      </w:r>
      <w:r>
        <w:rPr>
          <w:sz w:val="20"/>
          <w:szCs w:val="20"/>
          <w:color w:val="auto"/>
        </w:rPr>
        <w:tab/>
      </w:r>
      <w:r>
        <w:rPr>
          <w:rFonts w:ascii="Arial" w:cs="Arial" w:eastAsia="Arial" w:hAnsi="Arial"/>
          <w:sz w:val="16"/>
          <w:szCs w:val="16"/>
          <w:b w:val="1"/>
          <w:bCs w:val="1"/>
          <w:color w:val="auto"/>
        </w:rPr>
        <w:t>Amendments to Articles of Incorporation or Bylaws; Change in Fiscal Year.</w:t>
      </w:r>
    </w:p>
    <w:p>
      <w:pPr>
        <w:spacing w:after="0" w:line="12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On December 30, 2020, MagnaChip Semiconductor Corporation (the “Company”) changed its name to “Magnachip Semiconductor Corporation” (the “Name Change”). The Name Change, which was effective as of December 30, 2020, was accomplished pursuant to a Certificate of Amendment (the “Certificate of Amendment”) to the Company’s Certificate of Incorporation, filed with the Secretary of State of Delaware on December 30, 2020. The Name Change was approved by the Company’s Board of Directors. Under Section 242 of the Delaware General Corporation Law, the Name Change does not require stockholder approval. The Name Change does not affect the rights of the Company’s security holders. There were no other changes to the Company’s Certificate of Incorporation in connection with the Name Change. The Company’s common stock continues to trade on the New York Stock Exchange under its current stock symbol “MX”. A copy of the Certificate of Amendment is filed as Exhibit 3.1 hereto and incorporated by reference herein.</w:t>
      </w:r>
    </w:p>
    <w:p>
      <w:pPr>
        <w:spacing w:after="0" w:line="336"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17"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(d)</w:t>
      </w:r>
      <w:r>
        <w:rPr>
          <w:sz w:val="20"/>
          <w:szCs w:val="20"/>
          <w:color w:val="auto"/>
        </w:rPr>
        <w:tab/>
      </w:r>
      <w:r>
        <w:rPr>
          <w:rFonts w:ascii="Arial" w:cs="Arial" w:eastAsia="Arial" w:hAnsi="Arial"/>
          <w:sz w:val="16"/>
          <w:szCs w:val="16"/>
          <w:b w:val="1"/>
          <w:bCs w:val="1"/>
          <w:color w:val="auto"/>
        </w:rPr>
        <w:t>Exhibits</w:t>
      </w:r>
    </w:p>
    <w:p>
      <w:pPr>
        <w:spacing w:after="0" w:line="248" w:lineRule="exact"/>
        <w:rPr>
          <w:sz w:val="20"/>
          <w:szCs w:val="20"/>
          <w:color w:val="auto"/>
        </w:rPr>
      </w:pPr>
    </w:p>
    <w:p>
      <w:pPr>
        <w:ind w:left="440"/>
        <w:spacing w:after="0"/>
        <w:rPr>
          <w:sz w:val="20"/>
          <w:szCs w:val="20"/>
          <w:color w:val="auto"/>
        </w:rPr>
      </w:pPr>
      <w:r>
        <w:rPr>
          <w:rFonts w:ascii="Arial" w:cs="Arial" w:eastAsia="Arial" w:hAnsi="Arial"/>
          <w:sz w:val="14"/>
          <w:szCs w:val="14"/>
          <w:b w:val="1"/>
          <w:bCs w:val="1"/>
          <w:color w:val="auto"/>
        </w:rPr>
        <w:t>Exhibit</w:t>
      </w:r>
    </w:p>
    <w:p>
      <w:pPr>
        <w:spacing w:after="0" w:line="4" w:lineRule="exact"/>
        <w:rPr>
          <w:sz w:val="20"/>
          <w:szCs w:val="20"/>
          <w:color w:val="auto"/>
        </w:rPr>
      </w:pPr>
    </w:p>
    <w:p>
      <w:pPr>
        <w:ind w:left="560"/>
        <w:spacing w:after="0"/>
        <w:tabs>
          <w:tab w:leader="none" w:pos="1280" w:val="left"/>
        </w:tabs>
        <w:rPr>
          <w:sz w:val="20"/>
          <w:szCs w:val="20"/>
          <w:color w:val="auto"/>
        </w:rPr>
      </w:pPr>
      <w:r>
        <w:rPr>
          <w:rFonts w:ascii="Arial" w:cs="Arial" w:eastAsia="Arial" w:hAnsi="Arial"/>
          <w:sz w:val="14"/>
          <w:szCs w:val="14"/>
          <w:b w:val="1"/>
          <w:bCs w:val="1"/>
          <w:color w:val="auto"/>
        </w:rPr>
        <w:t>No.</w:t>
      </w:r>
      <w:r>
        <w:rPr>
          <w:sz w:val="20"/>
          <w:szCs w:val="20"/>
          <w:color w:val="auto"/>
        </w:rPr>
        <w:tab/>
      </w:r>
      <w:r>
        <w:rPr>
          <w:rFonts w:ascii="Arial" w:cs="Arial" w:eastAsia="Arial" w:hAnsi="Arial"/>
          <w:sz w:val="14"/>
          <w:szCs w:val="14"/>
          <w:b w:val="1"/>
          <w:bCs w:val="1"/>
          <w:u w:val="single" w:color="auto"/>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-3175</wp:posOffset>
            </wp:positionV>
            <wp:extent cx="29146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91465" cy="8890"/>
                    </a:xfrm>
                    <a:prstGeom prst="rect">
                      <a:avLst/>
                    </a:prstGeom>
                    <a:noFill/>
                  </pic:spPr>
                </pic:pic>
              </a:graphicData>
            </a:graphic>
          </wp:anchor>
        </w:drawing>
      </w:r>
    </w:p>
    <w:p>
      <w:pPr>
        <w:spacing w:after="0" w:line="81" w:lineRule="exact"/>
        <w:rPr>
          <w:sz w:val="20"/>
          <w:szCs w:val="20"/>
          <w:color w:val="auto"/>
        </w:rPr>
      </w:pPr>
    </w:p>
    <w:p>
      <w:pPr>
        <w:ind w:left="440"/>
        <w:spacing w:after="0"/>
        <w:tabs>
          <w:tab w:leader="none" w:pos="1280" w:val="left"/>
        </w:tabs>
        <w:rPr>
          <w:rFonts w:ascii="Arial" w:cs="Arial" w:eastAsia="Arial" w:hAnsi="Arial"/>
          <w:sz w:val="16"/>
          <w:szCs w:val="16"/>
          <w:u w:val="single" w:color="auto"/>
          <w:color w:val="0000EE"/>
        </w:rPr>
      </w:pPr>
      <w:r>
        <w:rPr>
          <w:rFonts w:ascii="Arial" w:cs="Arial" w:eastAsia="Arial" w:hAnsi="Arial"/>
          <w:sz w:val="18"/>
          <w:szCs w:val="18"/>
          <w:color w:val="auto"/>
        </w:rPr>
        <w:t>3.1</w:t>
      </w:r>
      <w:r>
        <w:rPr>
          <w:sz w:val="20"/>
          <w:szCs w:val="20"/>
          <w:color w:val="auto"/>
        </w:rPr>
        <w:tab/>
      </w:r>
      <w:hyperlink w:anchor="page4">
        <w:r>
          <w:rPr>
            <w:rFonts w:ascii="Arial" w:cs="Arial" w:eastAsia="Arial" w:hAnsi="Arial"/>
            <w:sz w:val="16"/>
            <w:szCs w:val="16"/>
            <w:u w:val="single" w:color="auto"/>
            <w:color w:val="0000EE"/>
          </w:rPr>
          <w:t>Certificate of Amendment.</w:t>
        </w:r>
      </w:hyperlink>
    </w:p>
    <w:p>
      <w:pPr>
        <w:spacing w:after="0" w:line="117" w:lineRule="exact"/>
        <w:rPr>
          <w:sz w:val="20"/>
          <w:szCs w:val="20"/>
          <w:color w:val="auto"/>
        </w:rPr>
      </w:pPr>
    </w:p>
    <w:p>
      <w:pPr>
        <w:ind w:left="440"/>
        <w:spacing w:after="0"/>
        <w:tabs>
          <w:tab w:leader="none" w:pos="128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Cover Page Interactive Data File (embedded within the Inline XBRL document)</w:t>
      </w:r>
    </w:p>
    <w:p>
      <w:pPr>
        <w:sectPr>
          <w:pgSz w:w="11900" w:h="16838" w:orient="portrait"/>
          <w:cols w:equalWidth="0" w:num="1">
            <w:col w:w="10840"/>
          </w:cols>
          <w:pgMar w:left="440" w:top="297" w:right="619" w:bottom="1440" w:gutter="0" w:footer="0" w:header="0"/>
        </w:sectPr>
      </w:pPr>
    </w:p>
    <w:bookmarkStart w:id="2" w:name="page3"/>
    <w:bookmarkEnd w:id="2"/>
    <w:p>
      <w:pPr>
        <w:jc w:val="center"/>
        <w:ind w:right="-2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9465" cy="42545"/>
                    </a:xfrm>
                    <a:prstGeom prst="rect">
                      <a:avLst/>
                    </a:prstGeom>
                    <a:noFill/>
                  </pic:spPr>
                </pic:pic>
              </a:graphicData>
            </a:graphic>
          </wp:anchor>
        </w:drawing>
        <w:t>SIGNATURE</w:t>
      </w:r>
    </w:p>
    <w:p>
      <w:pPr>
        <w:spacing w:after="0" w:line="229"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MAGNACHIP SEMICONDUCTOR CORPORATION</w:t>
      </w:r>
    </w:p>
    <w:p>
      <w:pPr>
        <w:spacing w:after="0" w:line="225" w:lineRule="exact"/>
        <w:rPr>
          <w:sz w:val="20"/>
          <w:szCs w:val="20"/>
          <w:color w:val="auto"/>
        </w:rPr>
      </w:pPr>
    </w:p>
    <w:p>
      <w:pPr>
        <w:spacing w:after="0"/>
        <w:tabs>
          <w:tab w:leader="none" w:pos="5600" w:val="left"/>
          <w:tab w:leader="none" w:pos="6040" w:val="left"/>
        </w:tabs>
        <w:rPr>
          <w:sz w:val="20"/>
          <w:szCs w:val="20"/>
          <w:color w:val="auto"/>
        </w:rPr>
      </w:pPr>
      <w:r>
        <w:rPr>
          <w:rFonts w:ascii="Arial" w:cs="Arial" w:eastAsia="Arial" w:hAnsi="Arial"/>
          <w:sz w:val="18"/>
          <w:szCs w:val="18"/>
          <w:color w:val="auto"/>
        </w:rPr>
        <w:t>Dated: December 30,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Theodore S. 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14605</wp:posOffset>
            </wp:positionV>
            <wp:extent cx="314579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Theodore Kim</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Chief Compliance Officer, General Counsel and Secretary</w:t>
      </w:r>
    </w:p>
    <w:p>
      <w:pPr>
        <w:sectPr>
          <w:pgSz w:w="11900" w:h="16838" w:orient="portrait"/>
          <w:cols w:equalWidth="0" w:num="1">
            <w:col w:w="10700"/>
          </w:cols>
          <w:pgMar w:left="440" w:top="297" w:right="75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OF AMENDMENT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THE</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CERTIFICATE OF INCORPORATION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MAGNACHIP SEMICONDUCTOR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 Delaware Corporation</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MagnaChip Semiconductor Corporation, a corporation organized and existing under and by virtue of the General Corporation Law of the State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Delaware (the “</w:t>
      </w:r>
      <w:r>
        <w:rPr>
          <w:rFonts w:ascii="Arial" w:cs="Arial" w:eastAsia="Arial" w:hAnsi="Arial"/>
          <w:sz w:val="18"/>
          <w:szCs w:val="18"/>
          <w:u w:val="single" w:color="auto"/>
          <w:color w:val="auto"/>
        </w:rPr>
        <w:t>Corporation</w:t>
      </w:r>
      <w:r>
        <w:rPr>
          <w:rFonts w:ascii="Arial" w:cs="Arial" w:eastAsia="Arial" w:hAnsi="Arial"/>
          <w:sz w:val="18"/>
          <w:szCs w:val="18"/>
          <w:color w:val="auto"/>
        </w:rPr>
        <w:t>”), hereby certifies as follows:</w:t>
      </w:r>
    </w:p>
    <w:p>
      <w:pPr>
        <w:spacing w:after="0" w:line="207" w:lineRule="exact"/>
        <w:rPr>
          <w:sz w:val="20"/>
          <w:szCs w:val="20"/>
          <w:color w:val="auto"/>
        </w:rPr>
      </w:pPr>
    </w:p>
    <w:p>
      <w:pPr>
        <w:ind w:right="460" w:firstLine="440"/>
        <w:spacing w:after="0" w:line="282" w:lineRule="auto"/>
        <w:rPr>
          <w:sz w:val="20"/>
          <w:szCs w:val="20"/>
          <w:color w:val="auto"/>
        </w:rPr>
      </w:pPr>
      <w:r>
        <w:rPr>
          <w:rFonts w:ascii="Arial" w:cs="Arial" w:eastAsia="Arial" w:hAnsi="Arial"/>
          <w:sz w:val="18"/>
          <w:szCs w:val="18"/>
          <w:b w:val="1"/>
          <w:bCs w:val="1"/>
          <w:color w:val="auto"/>
        </w:rPr>
        <w:t xml:space="preserve">FIRST: </w:t>
      </w:r>
      <w:r>
        <w:rPr>
          <w:rFonts w:ascii="Arial" w:cs="Arial" w:eastAsia="Arial" w:hAnsi="Arial"/>
          <w:sz w:val="18"/>
          <w:szCs w:val="18"/>
          <w:color w:val="auto"/>
        </w:rPr>
        <w:t>That the Certificate of Incorporation of the Corporation was filed with the Secretary of State of the State of Delaware effective as of</w:t>
      </w:r>
      <w:r>
        <w:rPr>
          <w:rFonts w:ascii="Arial" w:cs="Arial" w:eastAsia="Arial" w:hAnsi="Arial"/>
          <w:sz w:val="18"/>
          <w:szCs w:val="18"/>
          <w:b w:val="1"/>
          <w:bCs w:val="1"/>
          <w:color w:val="auto"/>
        </w:rPr>
        <w:t xml:space="preserve"> </w:t>
      </w:r>
      <w:r>
        <w:rPr>
          <w:rFonts w:ascii="Arial" w:cs="Arial" w:eastAsia="Arial" w:hAnsi="Arial"/>
          <w:sz w:val="18"/>
          <w:szCs w:val="18"/>
          <w:color w:val="auto"/>
        </w:rPr>
        <w:t>March 10, 2011 at 12:30 p.m. (the “</w:t>
      </w:r>
      <w:r>
        <w:rPr>
          <w:rFonts w:ascii="Arial" w:cs="Arial" w:eastAsia="Arial" w:hAnsi="Arial"/>
          <w:sz w:val="18"/>
          <w:szCs w:val="18"/>
          <w:u w:val="single" w:color="auto"/>
          <w:color w:val="auto"/>
        </w:rPr>
        <w:t>Certificate of Incorporation</w:t>
      </w:r>
      <w:r>
        <w:rPr>
          <w:rFonts w:ascii="Arial" w:cs="Arial" w:eastAsia="Arial" w:hAnsi="Arial"/>
          <w:sz w:val="18"/>
          <w:szCs w:val="18"/>
          <w:color w:val="auto"/>
        </w:rPr>
        <w:t>”).</w:t>
      </w:r>
    </w:p>
    <w:p>
      <w:pPr>
        <w:spacing w:after="0" w:line="162" w:lineRule="exact"/>
        <w:rPr>
          <w:sz w:val="20"/>
          <w:szCs w:val="20"/>
          <w:color w:val="auto"/>
        </w:rPr>
      </w:pPr>
    </w:p>
    <w:p>
      <w:pPr>
        <w:ind w:right="280" w:firstLine="440"/>
        <w:spacing w:after="0" w:line="282" w:lineRule="auto"/>
        <w:rPr>
          <w:sz w:val="20"/>
          <w:szCs w:val="20"/>
          <w:color w:val="auto"/>
        </w:rPr>
      </w:pPr>
      <w:r>
        <w:rPr>
          <w:rFonts w:ascii="Arial" w:cs="Arial" w:eastAsia="Arial" w:hAnsi="Arial"/>
          <w:sz w:val="18"/>
          <w:szCs w:val="18"/>
          <w:b w:val="1"/>
          <w:bCs w:val="1"/>
          <w:color w:val="auto"/>
        </w:rPr>
        <w:t xml:space="preserve">SECOND: </w:t>
      </w:r>
      <w:r>
        <w:rPr>
          <w:rFonts w:ascii="Arial" w:cs="Arial" w:eastAsia="Arial" w:hAnsi="Arial"/>
          <w:sz w:val="18"/>
          <w:szCs w:val="18"/>
          <w:color w:val="auto"/>
        </w:rPr>
        <w:t>That the Certificate of Incorporation is hereby amended by changing ARTICLE FIRST thereof so that, as amended, said ARTICLE</w:t>
      </w:r>
      <w:r>
        <w:rPr>
          <w:rFonts w:ascii="Arial" w:cs="Arial" w:eastAsia="Arial" w:hAnsi="Arial"/>
          <w:sz w:val="18"/>
          <w:szCs w:val="18"/>
          <w:b w:val="1"/>
          <w:bCs w:val="1"/>
          <w:color w:val="auto"/>
        </w:rPr>
        <w:t xml:space="preserve"> </w:t>
      </w:r>
      <w:r>
        <w:rPr>
          <w:rFonts w:ascii="Arial" w:cs="Arial" w:eastAsia="Arial" w:hAnsi="Arial"/>
          <w:sz w:val="18"/>
          <w:szCs w:val="18"/>
          <w:color w:val="auto"/>
        </w:rPr>
        <w:t>FIRST shall be read in its entirety as follows: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FIRST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name of the corporation is Magnachip Semiconductor Corporation (the “</w:t>
      </w:r>
      <w:r>
        <w:rPr>
          <w:rFonts w:ascii="Arial" w:cs="Arial" w:eastAsia="Arial" w:hAnsi="Arial"/>
          <w:sz w:val="18"/>
          <w:szCs w:val="18"/>
          <w:u w:val="single" w:color="auto"/>
          <w:color w:val="auto"/>
        </w:rPr>
        <w:t>Corporation</w:t>
      </w:r>
      <w:r>
        <w:rPr>
          <w:rFonts w:ascii="Arial" w:cs="Arial" w:eastAsia="Arial" w:hAnsi="Arial"/>
          <w:sz w:val="18"/>
          <w:szCs w:val="18"/>
          <w:color w:val="auto"/>
        </w:rPr>
        <w:t>”).”</w:t>
      </w:r>
    </w:p>
    <w:p>
      <w:pPr>
        <w:spacing w:after="0" w:line="221" w:lineRule="exact"/>
        <w:rPr>
          <w:sz w:val="20"/>
          <w:szCs w:val="20"/>
          <w:color w:val="auto"/>
        </w:rPr>
      </w:pPr>
    </w:p>
    <w:p>
      <w:pPr>
        <w:ind w:right="80" w:firstLine="440"/>
        <w:spacing w:after="0" w:line="282" w:lineRule="auto"/>
        <w:rPr>
          <w:sz w:val="20"/>
          <w:szCs w:val="20"/>
          <w:color w:val="auto"/>
        </w:rPr>
      </w:pPr>
      <w:r>
        <w:rPr>
          <w:rFonts w:ascii="Arial" w:cs="Arial" w:eastAsia="Arial" w:hAnsi="Arial"/>
          <w:sz w:val="18"/>
          <w:szCs w:val="18"/>
          <w:b w:val="1"/>
          <w:bCs w:val="1"/>
          <w:color w:val="auto"/>
        </w:rPr>
        <w:t xml:space="preserve">THIRD: </w:t>
      </w:r>
      <w:r>
        <w:rPr>
          <w:rFonts w:ascii="Arial" w:cs="Arial" w:eastAsia="Arial" w:hAnsi="Arial"/>
          <w:sz w:val="18"/>
          <w:szCs w:val="18"/>
          <w:color w:val="auto"/>
        </w:rPr>
        <w:t>That the aforesaid amendment was duly adopted in accordance with the applicable provisions of Section 242 of the General Corporation</w:t>
      </w:r>
      <w:r>
        <w:rPr>
          <w:rFonts w:ascii="Arial" w:cs="Arial" w:eastAsia="Arial" w:hAnsi="Arial"/>
          <w:sz w:val="18"/>
          <w:szCs w:val="18"/>
          <w:b w:val="1"/>
          <w:bCs w:val="1"/>
          <w:color w:val="auto"/>
        </w:rPr>
        <w:t xml:space="preserve"> </w:t>
      </w:r>
      <w:r>
        <w:rPr>
          <w:rFonts w:ascii="Arial" w:cs="Arial" w:eastAsia="Arial" w:hAnsi="Arial"/>
          <w:sz w:val="18"/>
          <w:szCs w:val="18"/>
          <w:color w:val="auto"/>
        </w:rPr>
        <w:t>Law of the State of Delaware.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Follows]</w:t>
      </w:r>
    </w:p>
    <w:p>
      <w:pPr>
        <w:sectPr>
          <w:pgSz w:w="11900" w:h="16838" w:orient="portrait"/>
          <w:cols w:equalWidth="0" w:num="1">
            <w:col w:w="11020"/>
          </w:cols>
          <w:pgMar w:left="440" w:top="121" w:right="439" w:bottom="1440" w:gutter="0" w:footer="0" w:header="0"/>
        </w:sectPr>
      </w:pPr>
    </w:p>
    <w:bookmarkStart w:id="4" w:name="page5"/>
    <w:bookmarkEnd w:id="4"/>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IN WITNESS WHEREOF, the Corporation has caused this Certificate of Amendment to be signed this 30</w:t>
      </w:r>
      <w:r>
        <w:rPr>
          <w:rFonts w:ascii="Arial" w:cs="Arial" w:eastAsia="Arial" w:hAnsi="Arial"/>
          <w:sz w:val="14"/>
          <w:szCs w:val="14"/>
          <w:color w:val="auto"/>
        </w:rPr>
        <w:t>th</w:t>
      </w:r>
      <w:r>
        <w:rPr>
          <w:rFonts w:ascii="Arial" w:cs="Arial" w:eastAsia="Arial" w:hAnsi="Arial"/>
          <w:sz w:val="17"/>
          <w:szCs w:val="17"/>
          <w:color w:val="auto"/>
        </w:rPr>
        <w:t xml:space="preserve"> day of December, 2020.</w:t>
      </w:r>
    </w:p>
    <w:p>
      <w:pPr>
        <w:spacing w:after="0" w:line="260"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MAGNACHIP SEMICONDUCTOR CORPORATION</w:t>
      </w:r>
    </w:p>
    <w:p>
      <w:pPr>
        <w:spacing w:after="0" w:line="22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 /s/ Theodore S. 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4149725</wp:posOffset>
            </wp:positionH>
            <wp:positionV relativeFrom="paragraph">
              <wp:posOffset>14605</wp:posOffset>
            </wp:positionV>
            <wp:extent cx="256286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Theodore S. Kim</w:t>
      </w:r>
    </w:p>
    <w:p>
      <w:pPr>
        <w:spacing w:after="0" w:line="23"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Chief Compliance Officer, General Counsel and</w:t>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Secretary</w:t>
      </w:r>
    </w:p>
    <w:sectPr>
      <w:pgSz w:w="11900" w:h="16838" w:orient="portrait"/>
      <w:cols w:equalWidth="0" w:num="1">
        <w:col w:w="10400"/>
      </w:cols>
      <w:pgMar w:left="880" w:top="274" w:right="6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2020-12-30T15:17:13Z</dcterms:created>
  <dcterms:modified xsi:type="dcterms:W3CDTF">2020-12-30T15:17:13Z</dcterms:modified>
</cp:coreProperties>
</file>