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(Amendment No. 3)*</w:t>
      </w:r>
    </w:p>
    <w:p>
      <w:pPr>
        <w:spacing w:after="0" w:line="222" w:lineRule="exact"/>
        <w:rPr>
          <w:sz w:val="24"/>
          <w:szCs w:val="24"/>
          <w:color w:val="auto"/>
        </w:rPr>
      </w:pPr>
    </w:p>
    <w:p>
      <w:pPr>
        <w:jc w:val="center"/>
        <w:ind w:right="-459"/>
        <w:spacing w:after="0"/>
        <w:rPr>
          <w:sz w:val="20"/>
          <w:szCs w:val="20"/>
          <w:color w:val="auto"/>
        </w:rPr>
      </w:pPr>
      <w:r>
        <w:rPr>
          <w:rFonts w:ascii="Arial" w:cs="Arial" w:eastAsia="Arial" w:hAnsi="Arial"/>
          <w:sz w:val="25"/>
          <w:szCs w:val="25"/>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420" w:right="9020" w:hanging="7"/>
        <w:spacing w:after="0" w:line="227" w:lineRule="exact"/>
        <w:tabs>
          <w:tab w:leader="none" w:pos="7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0" w:lineRule="exact"/>
        <w:rPr>
          <w:sz w:val="24"/>
          <w:szCs w:val="24"/>
          <w:color w:val="auto"/>
        </w:rPr>
      </w:pPr>
    </w:p>
    <w:p>
      <w:pPr>
        <w:ind w:right="300" w:firstLine="648"/>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756" w:right="799" w:bottom="1440" w:gutter="0" w:footer="0" w:header="0"/>
        </w:sectPr>
      </w:pPr>
    </w:p>
    <w:bookmarkStart w:id="1" w:name="page2"/>
    <w:bookmarkEnd w:id="1"/>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00863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120" w:space="720"/>
            <w:col w:w="980" w:space="720"/>
            <w:col w:w="3700"/>
          </w:cols>
          <w:pgMar w:left="320" w:top="904" w:right="339" w:bottom="1440" w:gutter="0" w:footer="0" w:header="0"/>
        </w:sectPr>
      </w:pPr>
    </w:p>
    <w:p>
      <w:pPr>
        <w:spacing w:after="0" w:line="295" w:lineRule="exact"/>
        <w:rPr>
          <w:sz w:val="20"/>
          <w:szCs w:val="20"/>
          <w:color w:val="auto"/>
        </w:rPr>
      </w:pPr>
    </w:p>
    <w:p>
      <w:pPr>
        <w:ind w:left="2140" w:right="6640" w:hanging="1345"/>
        <w:spacing w:after="0" w:line="182" w:lineRule="auto"/>
        <w:tabs>
          <w:tab w:leader="none" w:pos="1816" w:val="left"/>
        </w:tabs>
        <w:numPr>
          <w:ilvl w:val="0"/>
          <w:numId w:val="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4714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25"/>
                <w:szCs w:val="25"/>
                <w:b w:val="1"/>
                <w:bCs w:val="1"/>
                <w:color w:val="auto"/>
              </w:rPr>
              <w:t>2</w:t>
            </w:r>
          </w:p>
        </w:tc>
        <w:tc>
          <w:tcPr>
            <w:tcW w:w="714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CHECK THE APPROPRIATE BOX IF A MEMBER OF A GROUP</w:t>
            </w:r>
          </w:p>
        </w:tc>
        <w:tc>
          <w:tcPr>
            <w:tcW w:w="2740" w:type="dxa"/>
            <w:vAlign w:val="bottom"/>
            <w:tcBorders>
              <w:top w:val="single" w:sz="8" w:color="auto"/>
            </w:tcBorders>
          </w:tcPr>
          <w:p>
            <w:pPr>
              <w:ind w:left="172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4"/>
        </w:trPr>
        <w:tc>
          <w:tcPr>
            <w:tcW w:w="1360" w:type="dxa"/>
            <w:vAlign w:val="bottom"/>
            <w:vMerge w:val="continue"/>
          </w:tcPr>
          <w:p>
            <w:pPr>
              <w:spacing w:after="0"/>
              <w:rPr>
                <w:sz w:val="17"/>
                <w:szCs w:val="17"/>
                <w:color w:val="auto"/>
              </w:rPr>
            </w:pPr>
          </w:p>
        </w:tc>
        <w:tc>
          <w:tcPr>
            <w:tcW w:w="7140" w:type="dxa"/>
            <w:vAlign w:val="bottom"/>
            <w:vMerge w:val="continue"/>
          </w:tcPr>
          <w:p>
            <w:pPr>
              <w:spacing w:after="0"/>
              <w:rPr>
                <w:sz w:val="17"/>
                <w:szCs w:val="17"/>
                <w:color w:val="auto"/>
              </w:rPr>
            </w:pPr>
          </w:p>
        </w:tc>
        <w:tc>
          <w:tcPr>
            <w:tcW w:w="2740" w:type="dxa"/>
            <w:vAlign w:val="bottom"/>
            <w:vMerge w:val="restart"/>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9"/>
        </w:trPr>
        <w:tc>
          <w:tcPr>
            <w:tcW w:w="136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25"/>
        <w:spacing w:after="0" w:line="181" w:lineRule="auto"/>
        <w:tabs>
          <w:tab w:leader="none" w:pos="182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202" w:lineRule="exact"/>
        <w:rPr>
          <w:sz w:val="20"/>
          <w:szCs w:val="20"/>
          <w:color w:val="auto"/>
        </w:rPr>
      </w:pPr>
    </w:p>
    <w:p>
      <w:pPr>
        <w:ind w:left="2140" w:right="5760" w:hanging="1345"/>
        <w:spacing w:after="0" w:line="182" w:lineRule="auto"/>
        <w:tabs>
          <w:tab w:leader="none" w:pos="1816" w:val="left"/>
        </w:tabs>
        <w:numPr>
          <w:ilvl w:val="0"/>
          <w:numId w:val="4"/>
        </w:numPr>
        <w:rPr>
          <w:rFonts w:ascii="Arial" w:cs="Arial" w:eastAsia="Arial" w:hAnsi="Arial"/>
          <w:sz w:val="36"/>
          <w:szCs w:val="36"/>
          <w:b w:val="1"/>
          <w:bCs w:val="1"/>
          <w:color w:val="auto"/>
          <w:vertAlign w:val="subscript"/>
        </w:rPr>
      </w:pPr>
      <w:r>
        <w:rPr>
          <w:rFonts w:ascii="Arial" w:cs="Arial" w:eastAsia="Arial" w:hAnsi="Arial"/>
          <w:sz w:val="15"/>
          <w:szCs w:val="15"/>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5</w:t>
            </w:r>
          </w:p>
        </w:tc>
        <w:tc>
          <w:tcPr>
            <w:tcW w:w="7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7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7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6</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vMerge w:val="continue"/>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2,612,588 shares of Common Stock</w:t>
            </w:r>
          </w:p>
        </w:tc>
        <w:tc>
          <w:tcPr>
            <w:tcW w:w="0" w:type="dxa"/>
            <w:vAlign w:val="bottom"/>
          </w:tcPr>
          <w:p>
            <w:pPr>
              <w:spacing w:after="0"/>
              <w:rPr>
                <w:sz w:val="1"/>
                <w:szCs w:val="1"/>
                <w:color w:val="auto"/>
              </w:rPr>
            </w:pPr>
          </w:p>
        </w:tc>
      </w:tr>
      <w:tr>
        <w:trPr>
          <w:trHeight w:val="95"/>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right w:val="single" w:sz="8" w:color="auto"/>
            </w:tcBorders>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7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00" w:type="dxa"/>
            <w:vAlign w:val="bottom"/>
            <w:tcBorders>
              <w:bottom w:val="single" w:sz="8" w:color="auto"/>
              <w:right w:val="single" w:sz="8" w:color="auto"/>
            </w:tcBorders>
          </w:tcPr>
          <w:p>
            <w:pPr>
              <w:spacing w:after="0"/>
              <w:rPr>
                <w:sz w:val="8"/>
                <w:szCs w:val="8"/>
                <w:color w:val="auto"/>
              </w:rPr>
            </w:pPr>
          </w:p>
        </w:tc>
        <w:tc>
          <w:tcPr>
            <w:tcW w:w="7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7</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vMerge w:val="continue"/>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9"/>
                <w:szCs w:val="9"/>
                <w:color w:val="auto"/>
              </w:rPr>
            </w:pPr>
          </w:p>
        </w:tc>
        <w:tc>
          <w:tcPr>
            <w:tcW w:w="7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7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8</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2,612,588 shares of Common Stock</w:t>
            </w:r>
          </w:p>
        </w:tc>
        <w:tc>
          <w:tcPr>
            <w:tcW w:w="0" w:type="dxa"/>
            <w:vAlign w:val="bottom"/>
          </w:tcPr>
          <w:p>
            <w:pPr>
              <w:spacing w:after="0"/>
              <w:rPr>
                <w:sz w:val="1"/>
                <w:szCs w:val="1"/>
                <w:color w:val="auto"/>
              </w:rPr>
            </w:pPr>
          </w:p>
        </w:tc>
      </w:tr>
      <w:tr>
        <w:trPr>
          <w:trHeight w:val="59"/>
        </w:trPr>
        <w:tc>
          <w:tcPr>
            <w:tcW w:w="17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2140" w:right="2860" w:hanging="1345"/>
        <w:spacing w:after="0" w:line="180" w:lineRule="auto"/>
        <w:tabs>
          <w:tab w:leader="none" w:pos="1816" w:val="left"/>
        </w:tabs>
        <w:numPr>
          <w:ilvl w:val="0"/>
          <w:numId w:val="5"/>
        </w:numPr>
        <w:rPr>
          <w:rFonts w:ascii="Arial" w:cs="Arial" w:eastAsia="Arial" w:hAnsi="Arial"/>
          <w:sz w:val="35"/>
          <w:szCs w:val="35"/>
          <w:b w:val="1"/>
          <w:bCs w:val="1"/>
          <w:color w:val="auto"/>
          <w:vertAlign w:val="subscript"/>
        </w:rPr>
      </w:pPr>
      <w:r>
        <w:rPr>
          <w:rFonts w:ascii="Arial" w:cs="Arial" w:eastAsia="Arial" w:hAnsi="Arial"/>
          <w:sz w:val="15"/>
          <w:szCs w:val="15"/>
          <w:color w:val="auto"/>
        </w:rPr>
        <w:t>AGGREGATE AMOUNT BENEFICIALLY OWNED BY EACH REPORTING PERSON 2,612,588 shares of Common Stock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1400" w:type="dxa"/>
            <w:vAlign w:val="bottom"/>
          </w:tcPr>
          <w:p>
            <w:pPr>
              <w:jc w:val="right"/>
              <w:ind w:right="294"/>
              <w:spacing w:after="0"/>
              <w:rPr>
                <w:sz w:val="20"/>
                <w:szCs w:val="20"/>
                <w:color w:val="auto"/>
              </w:rPr>
            </w:pPr>
            <w:r>
              <w:rPr>
                <w:rFonts w:ascii="Arial" w:cs="Arial" w:eastAsia="Arial" w:hAnsi="Arial"/>
                <w:sz w:val="25"/>
                <w:szCs w:val="25"/>
                <w:b w:val="1"/>
                <w:bCs w:val="1"/>
                <w:color w:val="auto"/>
              </w:rPr>
              <w:t>10</w:t>
            </w:r>
          </w:p>
        </w:tc>
        <w:tc>
          <w:tcPr>
            <w:tcW w:w="8140" w:type="dxa"/>
            <w:vAlign w:val="bottom"/>
          </w:tcPr>
          <w:p>
            <w:pPr>
              <w:ind w:left="4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0"/>
        </w:trPr>
        <w:tc>
          <w:tcPr>
            <w:tcW w:w="1400" w:type="dxa"/>
            <w:vAlign w:val="bottom"/>
            <w:tcBorders>
              <w:bottom w:val="single" w:sz="8" w:color="auto"/>
            </w:tcBorders>
          </w:tcPr>
          <w:p>
            <w:pPr>
              <w:spacing w:after="0"/>
              <w:rPr>
                <w:sz w:val="8"/>
                <w:szCs w:val="8"/>
                <w:color w:val="auto"/>
              </w:rPr>
            </w:pPr>
          </w:p>
        </w:tc>
        <w:tc>
          <w:tcPr>
            <w:tcW w:w="81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400" w:type="dxa"/>
            <w:vAlign w:val="bottom"/>
            <w:vMerge w:val="restart"/>
          </w:tcPr>
          <w:p>
            <w:pPr>
              <w:jc w:val="right"/>
              <w:ind w:right="294"/>
              <w:spacing w:after="0"/>
              <w:rPr>
                <w:sz w:val="20"/>
                <w:szCs w:val="20"/>
                <w:color w:val="auto"/>
              </w:rPr>
            </w:pPr>
            <w:r>
              <w:rPr>
                <w:rFonts w:ascii="Arial" w:cs="Arial" w:eastAsia="Arial" w:hAnsi="Arial"/>
                <w:sz w:val="25"/>
                <w:szCs w:val="25"/>
                <w:b w:val="1"/>
                <w:bCs w:val="1"/>
                <w:color w:val="auto"/>
              </w:rPr>
              <w:t>11</w:t>
            </w:r>
          </w:p>
        </w:tc>
        <w:tc>
          <w:tcPr>
            <w:tcW w:w="8140" w:type="dxa"/>
            <w:vAlign w:val="bottom"/>
          </w:tcPr>
          <w:p>
            <w:pPr>
              <w:ind w:left="42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8140" w:type="dxa"/>
            <w:vAlign w:val="bottom"/>
            <w:vMerge w:val="restart"/>
          </w:tcPr>
          <w:p>
            <w:pPr>
              <w:ind w:left="740"/>
              <w:spacing w:after="0"/>
              <w:rPr>
                <w:sz w:val="20"/>
                <w:szCs w:val="20"/>
                <w:color w:val="auto"/>
              </w:rPr>
            </w:pPr>
            <w:r>
              <w:rPr>
                <w:rFonts w:ascii="Arial" w:cs="Arial" w:eastAsia="Arial" w:hAnsi="Arial"/>
                <w:sz w:val="18"/>
                <w:szCs w:val="18"/>
                <w:color w:val="auto"/>
              </w:rPr>
              <w:t>7.35%</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00" w:type="dxa"/>
            <w:vAlign w:val="bottom"/>
            <w:vMerge w:val="restart"/>
          </w:tcPr>
          <w:p>
            <w:pPr>
              <w:jc w:val="right"/>
              <w:ind w:right="294"/>
              <w:spacing w:after="0"/>
              <w:rPr>
                <w:sz w:val="20"/>
                <w:szCs w:val="20"/>
                <w:color w:val="auto"/>
              </w:rPr>
            </w:pPr>
            <w:r>
              <w:rPr>
                <w:rFonts w:ascii="Arial" w:cs="Arial" w:eastAsia="Arial" w:hAnsi="Arial"/>
                <w:sz w:val="25"/>
                <w:szCs w:val="25"/>
                <w:b w:val="1"/>
                <w:bCs w:val="1"/>
                <w:color w:val="auto"/>
              </w:rPr>
              <w:t>12</w:t>
            </w:r>
          </w:p>
        </w:tc>
        <w:tc>
          <w:tcPr>
            <w:tcW w:w="8140" w:type="dxa"/>
            <w:vAlign w:val="bottom"/>
          </w:tcPr>
          <w:p>
            <w:pPr>
              <w:ind w:left="420"/>
              <w:spacing w:after="0" w:line="195" w:lineRule="exact"/>
              <w:rPr>
                <w:sz w:val="20"/>
                <w:szCs w:val="20"/>
                <w:color w:val="auto"/>
              </w:rPr>
            </w:pPr>
            <w:r>
              <w:rPr>
                <w:rFonts w:ascii="Arial" w:cs="Arial" w:eastAsia="Arial" w:hAnsi="Arial"/>
                <w:sz w:val="18"/>
                <w:szCs w:val="18"/>
                <w:color w:val="auto"/>
              </w:rPr>
              <w:t>TYPE OF REPORTING PERSON</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8140" w:type="dxa"/>
            <w:vAlign w:val="bottom"/>
            <w:vMerge w:val="restart"/>
          </w:tcPr>
          <w:p>
            <w:pPr>
              <w:ind w:left="740"/>
              <w:spacing w:after="0"/>
              <w:rPr>
                <w:sz w:val="20"/>
                <w:szCs w:val="20"/>
                <w:color w:val="auto"/>
              </w:rPr>
            </w:pPr>
            <w:r>
              <w:rPr>
                <w:rFonts w:ascii="Arial" w:cs="Arial" w:eastAsia="Arial" w:hAnsi="Arial"/>
                <w:sz w:val="18"/>
                <w:szCs w:val="18"/>
                <w:color w:val="auto"/>
              </w:rPr>
              <w:t>PN, IA</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4"/>
        </w:trPr>
        <w:tc>
          <w:tcPr>
            <w:tcW w:w="14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0086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120" w:space="720"/>
            <w:col w:w="980" w:space="720"/>
            <w:col w:w="3700"/>
          </w:cols>
          <w:pgMar w:left="320" w:top="904" w:right="339" w:bottom="1440" w:gutter="0" w:footer="0" w:header="0"/>
        </w:sectPr>
      </w:pPr>
    </w:p>
    <w:p>
      <w:pPr>
        <w:spacing w:after="0" w:line="295" w:lineRule="exact"/>
        <w:rPr>
          <w:sz w:val="20"/>
          <w:szCs w:val="20"/>
          <w:color w:val="auto"/>
        </w:rPr>
      </w:pPr>
    </w:p>
    <w:p>
      <w:pPr>
        <w:ind w:left="2140" w:right="6640" w:hanging="1345"/>
        <w:spacing w:after="0" w:line="182" w:lineRule="auto"/>
        <w:tabs>
          <w:tab w:leader="none" w:pos="1816" w:val="left"/>
        </w:tabs>
        <w:numPr>
          <w:ilvl w:val="0"/>
          <w:numId w:val="6"/>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4714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25"/>
                <w:szCs w:val="25"/>
                <w:b w:val="1"/>
                <w:bCs w:val="1"/>
                <w:color w:val="auto"/>
              </w:rPr>
              <w:t>2</w:t>
            </w:r>
          </w:p>
        </w:tc>
        <w:tc>
          <w:tcPr>
            <w:tcW w:w="714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CHECK THE APPROPRIATE BOX IF A MEMBER OF A GROUP</w:t>
            </w:r>
          </w:p>
        </w:tc>
        <w:tc>
          <w:tcPr>
            <w:tcW w:w="2740" w:type="dxa"/>
            <w:vAlign w:val="bottom"/>
            <w:tcBorders>
              <w:top w:val="single" w:sz="8" w:color="auto"/>
            </w:tcBorders>
          </w:tcPr>
          <w:p>
            <w:pPr>
              <w:ind w:left="172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4"/>
        </w:trPr>
        <w:tc>
          <w:tcPr>
            <w:tcW w:w="1360" w:type="dxa"/>
            <w:vAlign w:val="bottom"/>
            <w:vMerge w:val="continue"/>
          </w:tcPr>
          <w:p>
            <w:pPr>
              <w:spacing w:after="0"/>
              <w:rPr>
                <w:sz w:val="17"/>
                <w:szCs w:val="17"/>
                <w:color w:val="auto"/>
              </w:rPr>
            </w:pPr>
          </w:p>
        </w:tc>
        <w:tc>
          <w:tcPr>
            <w:tcW w:w="7140" w:type="dxa"/>
            <w:vAlign w:val="bottom"/>
            <w:vMerge w:val="continue"/>
          </w:tcPr>
          <w:p>
            <w:pPr>
              <w:spacing w:after="0"/>
              <w:rPr>
                <w:sz w:val="17"/>
                <w:szCs w:val="17"/>
                <w:color w:val="auto"/>
              </w:rPr>
            </w:pPr>
          </w:p>
        </w:tc>
        <w:tc>
          <w:tcPr>
            <w:tcW w:w="2740" w:type="dxa"/>
            <w:vAlign w:val="bottom"/>
            <w:vMerge w:val="restart"/>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9"/>
        </w:trPr>
        <w:tc>
          <w:tcPr>
            <w:tcW w:w="136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25"/>
        <w:spacing w:after="0" w:line="181" w:lineRule="auto"/>
        <w:tabs>
          <w:tab w:leader="none" w:pos="1820" w:val="left"/>
        </w:tabs>
        <w:numPr>
          <w:ilvl w:val="0"/>
          <w:numId w:val="7"/>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202" w:lineRule="exact"/>
        <w:rPr>
          <w:sz w:val="20"/>
          <w:szCs w:val="20"/>
          <w:color w:val="auto"/>
        </w:rPr>
      </w:pPr>
    </w:p>
    <w:p>
      <w:pPr>
        <w:ind w:left="2140" w:right="5760" w:hanging="1345"/>
        <w:spacing w:after="0" w:line="182" w:lineRule="auto"/>
        <w:tabs>
          <w:tab w:leader="none" w:pos="1816" w:val="left"/>
        </w:tabs>
        <w:numPr>
          <w:ilvl w:val="0"/>
          <w:numId w:val="8"/>
        </w:numPr>
        <w:rPr>
          <w:rFonts w:ascii="Arial" w:cs="Arial" w:eastAsia="Arial" w:hAnsi="Arial"/>
          <w:sz w:val="36"/>
          <w:szCs w:val="36"/>
          <w:b w:val="1"/>
          <w:bCs w:val="1"/>
          <w:color w:val="auto"/>
          <w:vertAlign w:val="subscript"/>
        </w:rPr>
      </w:pPr>
      <w:r>
        <w:rPr>
          <w:rFonts w:ascii="Arial" w:cs="Arial" w:eastAsia="Arial" w:hAnsi="Arial"/>
          <w:sz w:val="15"/>
          <w:szCs w:val="15"/>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5</w:t>
            </w:r>
          </w:p>
        </w:tc>
        <w:tc>
          <w:tcPr>
            <w:tcW w:w="7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7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7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6</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vMerge w:val="continue"/>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2,612,588 shares of Common Stock</w:t>
            </w:r>
          </w:p>
        </w:tc>
        <w:tc>
          <w:tcPr>
            <w:tcW w:w="0" w:type="dxa"/>
            <w:vAlign w:val="bottom"/>
          </w:tcPr>
          <w:p>
            <w:pPr>
              <w:spacing w:after="0"/>
              <w:rPr>
                <w:sz w:val="1"/>
                <w:szCs w:val="1"/>
                <w:color w:val="auto"/>
              </w:rPr>
            </w:pPr>
          </w:p>
        </w:tc>
      </w:tr>
      <w:tr>
        <w:trPr>
          <w:trHeight w:val="95"/>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right w:val="single" w:sz="8" w:color="auto"/>
            </w:tcBorders>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7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00" w:type="dxa"/>
            <w:vAlign w:val="bottom"/>
            <w:tcBorders>
              <w:bottom w:val="single" w:sz="8" w:color="auto"/>
              <w:right w:val="single" w:sz="8" w:color="auto"/>
            </w:tcBorders>
          </w:tcPr>
          <w:p>
            <w:pPr>
              <w:spacing w:after="0"/>
              <w:rPr>
                <w:sz w:val="8"/>
                <w:szCs w:val="8"/>
                <w:color w:val="auto"/>
              </w:rPr>
            </w:pPr>
          </w:p>
        </w:tc>
        <w:tc>
          <w:tcPr>
            <w:tcW w:w="7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7</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vMerge w:val="continue"/>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9"/>
                <w:szCs w:val="9"/>
                <w:color w:val="auto"/>
              </w:rPr>
            </w:pPr>
          </w:p>
        </w:tc>
        <w:tc>
          <w:tcPr>
            <w:tcW w:w="7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7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right"/>
              <w:ind w:right="674"/>
              <w:spacing w:after="0"/>
              <w:rPr>
                <w:sz w:val="20"/>
                <w:szCs w:val="20"/>
                <w:color w:val="auto"/>
              </w:rPr>
            </w:pPr>
            <w:r>
              <w:rPr>
                <w:rFonts w:ascii="Arial" w:cs="Arial" w:eastAsia="Arial" w:hAnsi="Arial"/>
                <w:sz w:val="25"/>
                <w:szCs w:val="25"/>
                <w:b w:val="1"/>
                <w:bCs w:val="1"/>
                <w:color w:val="auto"/>
              </w:rPr>
              <w:t>8</w:t>
            </w:r>
          </w:p>
        </w:tc>
        <w:tc>
          <w:tcPr>
            <w:tcW w:w="78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2,612,588 shares of Common Stock</w:t>
            </w:r>
          </w:p>
        </w:tc>
        <w:tc>
          <w:tcPr>
            <w:tcW w:w="0" w:type="dxa"/>
            <w:vAlign w:val="bottom"/>
          </w:tcPr>
          <w:p>
            <w:pPr>
              <w:spacing w:after="0"/>
              <w:rPr>
                <w:sz w:val="1"/>
                <w:szCs w:val="1"/>
                <w:color w:val="auto"/>
              </w:rPr>
            </w:pPr>
          </w:p>
        </w:tc>
      </w:tr>
      <w:tr>
        <w:trPr>
          <w:trHeight w:val="59"/>
        </w:trPr>
        <w:tc>
          <w:tcPr>
            <w:tcW w:w="17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2140" w:right="2860" w:hanging="1345"/>
        <w:spacing w:after="0" w:line="180" w:lineRule="auto"/>
        <w:tabs>
          <w:tab w:leader="none" w:pos="1816" w:val="left"/>
        </w:tabs>
        <w:numPr>
          <w:ilvl w:val="0"/>
          <w:numId w:val="9"/>
        </w:numPr>
        <w:rPr>
          <w:rFonts w:ascii="Arial" w:cs="Arial" w:eastAsia="Arial" w:hAnsi="Arial"/>
          <w:sz w:val="35"/>
          <w:szCs w:val="35"/>
          <w:b w:val="1"/>
          <w:bCs w:val="1"/>
          <w:color w:val="auto"/>
          <w:vertAlign w:val="subscript"/>
        </w:rPr>
      </w:pPr>
      <w:r>
        <w:rPr>
          <w:rFonts w:ascii="Arial" w:cs="Arial" w:eastAsia="Arial" w:hAnsi="Arial"/>
          <w:sz w:val="15"/>
          <w:szCs w:val="15"/>
          <w:color w:val="auto"/>
        </w:rPr>
        <w:t>AGGREGATE AMOUNT BENEFICIALLY OWNED BY EACH REPORTING PERSON 2,612,588 shares of Common Stock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1400" w:type="dxa"/>
            <w:vAlign w:val="bottom"/>
          </w:tcPr>
          <w:p>
            <w:pPr>
              <w:jc w:val="right"/>
              <w:ind w:right="294"/>
              <w:spacing w:after="0"/>
              <w:rPr>
                <w:sz w:val="20"/>
                <w:szCs w:val="20"/>
                <w:color w:val="auto"/>
              </w:rPr>
            </w:pPr>
            <w:r>
              <w:rPr>
                <w:rFonts w:ascii="Arial" w:cs="Arial" w:eastAsia="Arial" w:hAnsi="Arial"/>
                <w:sz w:val="25"/>
                <w:szCs w:val="25"/>
                <w:b w:val="1"/>
                <w:bCs w:val="1"/>
                <w:color w:val="auto"/>
              </w:rPr>
              <w:t>10</w:t>
            </w:r>
          </w:p>
        </w:tc>
        <w:tc>
          <w:tcPr>
            <w:tcW w:w="8140" w:type="dxa"/>
            <w:vAlign w:val="bottom"/>
          </w:tcPr>
          <w:p>
            <w:pPr>
              <w:ind w:left="4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0"/>
        </w:trPr>
        <w:tc>
          <w:tcPr>
            <w:tcW w:w="1400" w:type="dxa"/>
            <w:vAlign w:val="bottom"/>
            <w:tcBorders>
              <w:bottom w:val="single" w:sz="8" w:color="auto"/>
            </w:tcBorders>
          </w:tcPr>
          <w:p>
            <w:pPr>
              <w:spacing w:after="0"/>
              <w:rPr>
                <w:sz w:val="8"/>
                <w:szCs w:val="8"/>
                <w:color w:val="auto"/>
              </w:rPr>
            </w:pPr>
          </w:p>
        </w:tc>
        <w:tc>
          <w:tcPr>
            <w:tcW w:w="81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400" w:type="dxa"/>
            <w:vAlign w:val="bottom"/>
            <w:vMerge w:val="restart"/>
          </w:tcPr>
          <w:p>
            <w:pPr>
              <w:jc w:val="right"/>
              <w:ind w:right="294"/>
              <w:spacing w:after="0"/>
              <w:rPr>
                <w:sz w:val="20"/>
                <w:szCs w:val="20"/>
                <w:color w:val="auto"/>
              </w:rPr>
            </w:pPr>
            <w:r>
              <w:rPr>
                <w:rFonts w:ascii="Arial" w:cs="Arial" w:eastAsia="Arial" w:hAnsi="Arial"/>
                <w:sz w:val="25"/>
                <w:szCs w:val="25"/>
                <w:b w:val="1"/>
                <w:bCs w:val="1"/>
                <w:color w:val="auto"/>
              </w:rPr>
              <w:t>11</w:t>
            </w:r>
          </w:p>
        </w:tc>
        <w:tc>
          <w:tcPr>
            <w:tcW w:w="8140" w:type="dxa"/>
            <w:vAlign w:val="bottom"/>
          </w:tcPr>
          <w:p>
            <w:pPr>
              <w:ind w:left="42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8140" w:type="dxa"/>
            <w:vAlign w:val="bottom"/>
            <w:vMerge w:val="restart"/>
          </w:tcPr>
          <w:p>
            <w:pPr>
              <w:ind w:left="740"/>
              <w:spacing w:after="0"/>
              <w:rPr>
                <w:sz w:val="20"/>
                <w:szCs w:val="20"/>
                <w:color w:val="auto"/>
              </w:rPr>
            </w:pPr>
            <w:r>
              <w:rPr>
                <w:rFonts w:ascii="Arial" w:cs="Arial" w:eastAsia="Arial" w:hAnsi="Arial"/>
                <w:sz w:val="18"/>
                <w:szCs w:val="18"/>
                <w:color w:val="auto"/>
              </w:rPr>
              <w:t>7.35%</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00" w:type="dxa"/>
            <w:vAlign w:val="bottom"/>
            <w:vMerge w:val="restart"/>
          </w:tcPr>
          <w:p>
            <w:pPr>
              <w:jc w:val="right"/>
              <w:ind w:right="294"/>
              <w:spacing w:after="0"/>
              <w:rPr>
                <w:sz w:val="20"/>
                <w:szCs w:val="20"/>
                <w:color w:val="auto"/>
              </w:rPr>
            </w:pPr>
            <w:r>
              <w:rPr>
                <w:rFonts w:ascii="Arial" w:cs="Arial" w:eastAsia="Arial" w:hAnsi="Arial"/>
                <w:sz w:val="25"/>
                <w:szCs w:val="25"/>
                <w:b w:val="1"/>
                <w:bCs w:val="1"/>
                <w:color w:val="auto"/>
              </w:rPr>
              <w:t>12</w:t>
            </w:r>
          </w:p>
        </w:tc>
        <w:tc>
          <w:tcPr>
            <w:tcW w:w="8140" w:type="dxa"/>
            <w:vAlign w:val="bottom"/>
          </w:tcPr>
          <w:p>
            <w:pPr>
              <w:ind w:left="420"/>
              <w:spacing w:after="0" w:line="195" w:lineRule="exact"/>
              <w:rPr>
                <w:sz w:val="20"/>
                <w:szCs w:val="20"/>
                <w:color w:val="auto"/>
              </w:rPr>
            </w:pPr>
            <w:r>
              <w:rPr>
                <w:rFonts w:ascii="Arial" w:cs="Arial" w:eastAsia="Arial" w:hAnsi="Arial"/>
                <w:sz w:val="18"/>
                <w:szCs w:val="18"/>
                <w:color w:val="auto"/>
              </w:rPr>
              <w:t>TYPE OF REPORTING PERSON</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8140" w:type="dxa"/>
            <w:vAlign w:val="bottom"/>
            <w:vMerge w:val="restart"/>
          </w:tcPr>
          <w:p>
            <w:pPr>
              <w:ind w:left="740"/>
              <w:spacing w:after="0"/>
              <w:rPr>
                <w:sz w:val="20"/>
                <w:szCs w:val="20"/>
                <w:color w:val="auto"/>
              </w:rPr>
            </w:pPr>
            <w:r>
              <w:rPr>
                <w:rFonts w:ascii="Arial" w:cs="Arial" w:eastAsia="Arial" w:hAnsi="Arial"/>
                <w:sz w:val="18"/>
                <w:szCs w:val="18"/>
                <w:color w:val="auto"/>
              </w:rPr>
              <w:t>IN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4"/>
        </w:trPr>
        <w:tc>
          <w:tcPr>
            <w:tcW w:w="14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300863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3">
            <w:col w:w="5020" w:space="720"/>
            <w:col w:w="980" w:space="720"/>
            <w:col w:w="3500"/>
          </w:cols>
          <w:pgMar w:left="420" w:top="904" w:right="539" w:bottom="1440" w:gutter="0" w:footer="0" w:header="0"/>
        </w:sectPr>
      </w:pP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Issuer's principal executive offices are located at</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Luxembourg, Grand Duchy of Luxembourg.</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1920" w:hanging="565"/>
        <w:spacing w:after="0" w:line="342" w:lineRule="auto"/>
        <w:tabs>
          <w:tab w:leader="none" w:pos="1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Rubric Capital Management LP ("</w:t>
      </w:r>
      <w:r>
        <w:rPr>
          <w:rFonts w:ascii="Arial" w:cs="Arial" w:eastAsia="Arial" w:hAnsi="Arial"/>
          <w:sz w:val="16"/>
          <w:szCs w:val="16"/>
          <w:u w:val="single" w:color="auto"/>
          <w:color w:val="auto"/>
        </w:rPr>
        <w:t>Rubric Capital</w:t>
      </w:r>
      <w:r>
        <w:rPr>
          <w:rFonts w:ascii="Arial" w:cs="Arial" w:eastAsia="Arial" w:hAnsi="Arial"/>
          <w:sz w:val="16"/>
          <w:szCs w:val="16"/>
          <w:color w:val="auto"/>
        </w:rPr>
        <w:t>"), the investment adviser to certain investment funds and/or accounts (collectively, the "</w:t>
      </w:r>
      <w:r>
        <w:rPr>
          <w:rFonts w:ascii="Arial" w:cs="Arial" w:eastAsia="Arial" w:hAnsi="Arial"/>
          <w:sz w:val="16"/>
          <w:szCs w:val="16"/>
          <w:u w:val="single" w:color="auto"/>
          <w:color w:val="auto"/>
        </w:rPr>
        <w:t>Rubric Funds</w:t>
      </w:r>
      <w:r>
        <w:rPr>
          <w:rFonts w:ascii="Arial" w:cs="Arial" w:eastAsia="Arial" w:hAnsi="Arial"/>
          <w:sz w:val="16"/>
          <w:szCs w:val="16"/>
          <w:color w:val="auto"/>
        </w:rPr>
        <w:t>") that hold the shares of Common Stock (as defined in Item 2(d) below) reported herein; and</w:t>
      </w:r>
    </w:p>
    <w:p>
      <w:pPr>
        <w:spacing w:after="0" w:line="123" w:lineRule="exact"/>
        <w:rPr>
          <w:rFonts w:ascii="Arial" w:cs="Arial" w:eastAsia="Arial" w:hAnsi="Arial"/>
          <w:sz w:val="16"/>
          <w:szCs w:val="16"/>
          <w:color w:val="auto"/>
        </w:rPr>
      </w:pPr>
    </w:p>
    <w:p>
      <w:pPr>
        <w:ind w:left="1920" w:right="440" w:hanging="565"/>
        <w:spacing w:after="0" w:line="277"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360" w:right="1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address of the principal business office of each of the Reporting Persons is 155 East 44th St, Suite 1630, New York, NY 10017.</w:t>
      </w:r>
    </w:p>
    <w:p>
      <w:pPr>
        <w:spacing w:after="0" w:line="24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20" w:top="904" w:right="539" w:bottom="1440" w:gutter="0" w:footer="0" w:header="0"/>
          <w:type w:val="continuous"/>
        </w:sectPr>
      </w:pPr>
    </w:p>
    <w:bookmarkStart w:id="4" w:name="page5"/>
    <w:bookmarkEnd w:id="4"/>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-113030</wp:posOffset>
            </wp:positionV>
            <wp:extent cx="300863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020" w:space="720"/>
            <w:col w:w="980" w:space="720"/>
            <w:col w:w="3600"/>
          </w:cols>
          <w:pgMar w:left="420" w:top="904" w:right="439" w:bottom="1440" w:gutter="0" w:footer="0" w:header="0"/>
        </w:sectPr>
      </w:pPr>
    </w:p>
    <w:p>
      <w:pPr>
        <w:spacing w:after="0" w:line="278" w:lineRule="exact"/>
        <w:rPr>
          <w:sz w:val="20"/>
          <w:szCs w:val="20"/>
          <w:color w:val="auto"/>
        </w:rPr>
      </w:pPr>
    </w:p>
    <w:p>
      <w:pPr>
        <w:ind w:left="1360" w:hanging="1349"/>
        <w:spacing w:after="0" w:line="282" w:lineRule="auto"/>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2260" w:right="260" w:hanging="918"/>
        <w:spacing w:after="0" w:line="239"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900" w:hanging="558"/>
        <w:spacing w:after="0" w:line="207" w:lineRule="exact"/>
        <w:tabs>
          <w:tab w:leader="none" w:pos="19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8" w:lineRule="exact"/>
        <w:rPr>
          <w:sz w:val="20"/>
          <w:szCs w:val="20"/>
          <w:color w:val="auto"/>
        </w:rPr>
      </w:pPr>
    </w:p>
    <w:p>
      <w:pPr>
        <w:ind w:left="1360" w:right="2340"/>
        <w:spacing w:after="0" w:line="277"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-45085</wp:posOffset>
            </wp:positionV>
            <wp:extent cx="23996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360" w:right="4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ind w:left="1360" w:right="240"/>
        <w:spacing w:after="0" w:line="286" w:lineRule="auto"/>
        <w:rPr>
          <w:sz w:val="20"/>
          <w:szCs w:val="20"/>
          <w:color w:val="auto"/>
        </w:rPr>
      </w:pPr>
      <w:r>
        <w:rPr>
          <w:rFonts w:ascii="Arial" w:cs="Arial" w:eastAsia="Arial" w:hAnsi="Arial"/>
          <w:sz w:val="17"/>
          <w:szCs w:val="17"/>
          <w:color w:val="auto"/>
        </w:rPr>
        <w:t>The percentage set forth in Row (11) of the cover page for each of the Reporting Persons is based on the 35,538,475 shares of Common Stock outstanding as of October 30, 2020, as reported in the Company's Quarterly Report on Form 10-Q for the quarterly period ended September 30, 2020 filed with the Securities and Exchange Commission on November 6, 2020.</w:t>
      </w:r>
    </w:p>
    <w:p>
      <w:pPr>
        <w:spacing w:after="0" w:line="16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360" w:right="400"/>
        <w:spacing w:after="0" w:line="277" w:lineRule="auto"/>
        <w:rPr>
          <w:sz w:val="20"/>
          <w:szCs w:val="20"/>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408940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type w:val="continuous"/>
        </w:sectPr>
      </w:pPr>
    </w:p>
    <w:bookmarkStart w:id="5" w:name="page6"/>
    <w:bookmarkEnd w:id="5"/>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-113030</wp:posOffset>
            </wp:positionV>
            <wp:extent cx="300863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020" w:space="720"/>
            <w:col w:w="980" w:space="720"/>
            <w:col w:w="3600"/>
          </w:cols>
          <w:pgMar w:left="420" w:top="904" w:right="439" w:bottom="1440" w:gutter="0" w:footer="0" w:header="0"/>
        </w:sectPr>
      </w:pPr>
    </w:p>
    <w:p>
      <w:pPr>
        <w:spacing w:after="0" w:line="278" w:lineRule="exact"/>
        <w:rPr>
          <w:sz w:val="20"/>
          <w:szCs w:val="20"/>
          <w:color w:val="auto"/>
        </w:rPr>
      </w:pPr>
    </w:p>
    <w:p>
      <w:pPr>
        <w:ind w:left="1360" w:hanging="1349"/>
        <w:spacing w:after="0" w:line="282" w:lineRule="auto"/>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360" w:right="4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419100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type w:val="continuous"/>
        </w:sectPr>
      </w:pPr>
    </w:p>
    <w:bookmarkStart w:id="6" w:name="page7"/>
    <w:bookmarkEnd w:id="6"/>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00863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863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80"/>
        <w:spacing w:after="0"/>
        <w:rPr>
          <w:sz w:val="20"/>
          <w:szCs w:val="20"/>
          <w:color w:val="auto"/>
        </w:rPr>
      </w:pPr>
      <w:r>
        <w:rPr>
          <w:rFonts w:ascii="Arial" w:cs="Arial" w:eastAsia="Arial" w:hAnsi="Arial"/>
          <w:sz w:val="18"/>
          <w:szCs w:val="18"/>
          <w:b w:val="1"/>
          <w:bCs w:val="1"/>
          <w:color w:val="auto"/>
        </w:rPr>
        <w:t>13G/A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-106045</wp:posOffset>
            </wp:positionV>
            <wp:extent cx="242570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291465"/>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3">
            <w:col w:w="4320" w:space="720"/>
            <w:col w:w="1780" w:space="720"/>
            <w:col w:w="3700"/>
          </w:cols>
          <w:pgMar w:left="320" w:top="904" w:right="339" w:bottom="1440" w:gutter="0" w:footer="0" w:header="0"/>
        </w:sectPr>
      </w:pPr>
    </w:p>
    <w:p>
      <w:pPr>
        <w:spacing w:after="0" w:line="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Operating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2021-02-16T07:36:00Z</dcterms:created>
  <dcterms:modified xsi:type="dcterms:W3CDTF">2021-02-16T07:36:00Z</dcterms:modified>
</cp:coreProperties>
</file>