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22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225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00"/>
        <w:spacing w:after="0" w:line="250" w:lineRule="auto"/>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Brigade Leveraged Capital Structures</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Fund Ltd.</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line="292" w:lineRule="auto"/>
        <w:rPr>
          <w:sz w:val="20"/>
          <w:szCs w:val="20"/>
          <w:color w:val="auto"/>
        </w:rPr>
      </w:pPr>
      <w:r>
        <w:rPr>
          <w:rFonts w:ascii="Arial" w:cs="Arial" w:eastAsia="Arial" w:hAnsi="Arial"/>
          <w:sz w:val="17"/>
          <w:szCs w:val="17"/>
          <w:color w:val="0000FF"/>
        </w:rPr>
        <w:t>INTERTRUST CORP SERVICES (CAYMAN) LTD</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190 ELGIN AVENUE, GEORGE TOWN</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0"/>
          <w:szCs w:val="20"/>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0"/>
          <w:szCs w:val="20"/>
          <w:color w:val="auto"/>
        </w:rPr>
      </w:pPr>
    </w:p>
    <w:p>
      <w:pPr>
        <w:spacing w:after="0" w:line="347" w:lineRule="exact"/>
        <w:rPr>
          <w:sz w:val="20"/>
          <w:szCs w:val="20"/>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ind w:left="9"/>
        <w:spacing w:after="0"/>
        <w:rPr>
          <w:sz w:val="20"/>
          <w:szCs w:val="20"/>
          <w:color w:val="auto"/>
        </w:rPr>
      </w:pPr>
      <w:r>
        <w:rPr>
          <w:rFonts w:ascii="Arial" w:cs="Arial" w:eastAsia="Arial" w:hAnsi="Arial"/>
          <w:sz w:val="17"/>
          <w:szCs w:val="17"/>
          <w:color w:val="0000FF"/>
        </w:rPr>
        <w:t>10/15/2020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033" w:lineRule="exact"/>
        <w:rPr>
          <w:sz w:val="20"/>
          <w:szCs w:val="20"/>
          <w:color w:val="auto"/>
        </w:rPr>
      </w:pPr>
    </w:p>
    <w:p>
      <w:pPr>
        <w:sectPr>
          <w:pgSz w:w="11900" w:h="16838" w:orient="portrait"/>
          <w:cols w:equalWidth="0" w:num="3">
            <w:col w:w="3440" w:space="471"/>
            <w:col w:w="3649" w:space="1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gridSpan w:val="9"/>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3"/>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4"/>
          </w:tcPr>
          <w:p>
            <w:pPr>
              <w:ind w:left="40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GRAND</w:t>
            </w:r>
          </w:p>
        </w:tc>
        <w:tc>
          <w:tcPr>
            <w:tcW w:w="52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E9</w:t>
            </w:r>
          </w:p>
        </w:tc>
        <w:tc>
          <w:tcPr>
            <w:tcW w:w="1400" w:type="dxa"/>
            <w:vAlign w:val="bottom"/>
            <w:gridSpan w:val="4"/>
            <w:vMerge w:val="restart"/>
          </w:tcPr>
          <w:p>
            <w:pPr>
              <w:ind w:left="140"/>
              <w:spacing w:after="0"/>
              <w:rPr>
                <w:sz w:val="20"/>
                <w:szCs w:val="20"/>
                <w:color w:val="auto"/>
              </w:rPr>
            </w:pPr>
            <w:r>
              <w:rPr>
                <w:rFonts w:ascii="Arial" w:cs="Arial" w:eastAsia="Arial" w:hAnsi="Arial"/>
                <w:sz w:val="17"/>
                <w:szCs w:val="17"/>
                <w:color w:val="0000FF"/>
              </w:rPr>
              <w:t>KY1-9005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1120" w:type="dxa"/>
            <w:vAlign w:val="bottom"/>
            <w:gridSpan w:val="2"/>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00" w:type="dxa"/>
            <w:vAlign w:val="bottom"/>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340" w:type="dxa"/>
            <w:vAlign w:val="bottom"/>
            <w:gridSpan w:val="4"/>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4"/>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00" w:type="dxa"/>
            <w:vAlign w:val="bottom"/>
            <w:tcBorders>
              <w:bottom w:val="single" w:sz="8" w:color="2C2C2C"/>
            </w:tcBorders>
            <w:gridSpan w:val="6"/>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$.01 per share</w:t>
            </w:r>
          </w:p>
        </w:tc>
        <w:tc>
          <w:tcPr>
            <w:tcW w:w="1340" w:type="dxa"/>
            <w:vAlign w:val="bottom"/>
            <w:tcBorders>
              <w:bottom w:val="single" w:sz="8" w:color="2C2C2C"/>
            </w:tcBorders>
            <w:gridSpan w:val="4"/>
          </w:tcPr>
          <w:p>
            <w:pPr>
              <w:ind w:left="360"/>
              <w:spacing w:after="0"/>
              <w:rPr>
                <w:sz w:val="20"/>
                <w:szCs w:val="20"/>
                <w:color w:val="auto"/>
              </w:rPr>
            </w:pPr>
            <w:r>
              <w:rPr>
                <w:rFonts w:ascii="Arial" w:cs="Arial" w:eastAsia="Arial" w:hAnsi="Arial"/>
                <w:sz w:val="17"/>
                <w:szCs w:val="17"/>
                <w:color w:val="0000FF"/>
              </w:rPr>
              <w:t>10/15/2020</w:t>
            </w: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62,000</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w:t>
            </w: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1,649,282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0"/>
              </w:rPr>
              <w:t>Common Stock, par value $.01 per share</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1,719,806</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40" w:type="dxa"/>
            <w:vAlign w:val="bottom"/>
            <w:gridSpan w:val="9"/>
          </w:tcPr>
          <w:p>
            <w:pPr>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Brigade Leveraged Capital Structures Fund Ltd.</w:t>
              </w:r>
            </w:hyperlink>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w w:val="97"/>
              </w:rPr>
              <w:t>INTERTRUST CORP SERVICES (CAYMAN) LTD</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190 ELGIN AVENUE, GEORGE TOWN</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GRAND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E9</w:t>
            </w:r>
          </w:p>
        </w:tc>
        <w:tc>
          <w:tcPr>
            <w:tcW w:w="500" w:type="dxa"/>
            <w:vAlign w:val="bottom"/>
          </w:tcPr>
          <w:p>
            <w:pPr>
              <w:spacing w:after="0"/>
              <w:rPr>
                <w:sz w:val="20"/>
                <w:szCs w:val="20"/>
                <w:color w:val="auto"/>
              </w:rPr>
            </w:pPr>
          </w:p>
        </w:tc>
        <w:tc>
          <w:tcPr>
            <w:tcW w:w="900" w:type="dxa"/>
            <w:vAlign w:val="bottom"/>
            <w:gridSpan w:val="3"/>
            <w:vMerge w:val="restart"/>
          </w:tcPr>
          <w:p>
            <w:pPr>
              <w:spacing w:after="0"/>
              <w:rPr>
                <w:sz w:val="20"/>
                <w:szCs w:val="20"/>
                <w:color w:val="auto"/>
              </w:rPr>
            </w:pPr>
            <w:r>
              <w:rPr>
                <w:rFonts w:ascii="Arial" w:cs="Arial" w:eastAsia="Arial" w:hAnsi="Arial"/>
                <w:sz w:val="17"/>
                <w:szCs w:val="17"/>
                <w:color w:val="0000FF"/>
              </w:rPr>
              <w:t>KY1-9005</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40" w:type="dxa"/>
            <w:vAlign w:val="bottom"/>
            <w:gridSpan w:val="9"/>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BRIGADE CAPITAL MANAGEMENT, LP</w:t>
              </w:r>
            </w:hyperlink>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399 PARK AVENUE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16TH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-6623685</wp:posOffset>
            </wp:positionV>
            <wp:extent cx="7031355" cy="7124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12470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2766695" cy="135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66695" cy="135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3536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353695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MORGAN DONALD E III</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BRIGADE CAPITAL MANAGEMENT, LP</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399 PARK AVENUE, 16TH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Brigade Capital Management GP, LLC</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399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16TH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29" w:lineRule="exact"/>
        <w:rPr>
          <w:rFonts w:ascii="Arial" w:cs="Arial" w:eastAsia="Arial" w:hAnsi="Arial"/>
          <w:sz w:val="13"/>
          <w:szCs w:val="13"/>
          <w:color w:val="008000"/>
        </w:rPr>
      </w:pPr>
    </w:p>
    <w:p>
      <w:pPr>
        <w:ind w:right="40" w:firstLine="7"/>
        <w:spacing w:after="0" w:line="268"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0800"/>
          </w:cols>
          <w:pgMar w:left="500" w:top="110" w:right="599" w:bottom="1440" w:gutter="0" w:footer="0" w:header="0"/>
        </w:sectPr>
      </w:pPr>
    </w:p>
    <w:p>
      <w:pPr>
        <w:spacing w:after="0" w:line="43"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2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4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93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2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4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94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4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2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40" w:space="100"/>
            <w:col w:w="2060"/>
          </w:cols>
          <w:pgMar w:left="500" w:top="110"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1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421307" TargetMode="External"/><Relationship Id="rId14"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6" TargetMode="External"/><Relationship Id="rId19" Type="http://schemas.openxmlformats.org/officeDocument/2006/relationships/hyperlink" Target="http://www.sec.gov/cgi-bin/browse-edgar?action=getcompany&amp;CIK=0001421308" TargetMode="External"/><Relationship Id="rId20"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2020-10-19T13:14:07Z</dcterms:created>
  <dcterms:modified xsi:type="dcterms:W3CDTF">2020-10-19T13:14:07Z</dcterms:modified>
</cp:coreProperties>
</file>