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Kim Theodore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22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tc>
        <w:tc>
          <w:tcPr>
            <w:tcW w:w="20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80"/>
              <w:spacing w:after="0"/>
              <w:rPr>
                <w:sz w:val="20"/>
                <w:szCs w:val="20"/>
                <w:color w:val="auto"/>
              </w:rPr>
            </w:pPr>
            <w:r>
              <w:rPr>
                <w:rFonts w:ascii="Arial" w:cs="Arial" w:eastAsia="Arial" w:hAnsi="Arial"/>
                <w:sz w:val="18"/>
                <w:szCs w:val="18"/>
                <w:color w:val="0000FF"/>
              </w:rPr>
              <w:t>02/27/2020</w:t>
            </w: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16,711</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8"/>
                <w:szCs w:val="18"/>
                <w:color w:val="0000FF"/>
              </w:rPr>
              <w:t>103,536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02/27/2020</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6,184</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11.41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97,352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reflects shares of common stock issued in connection with the vesting of financial performance-based restricted stock units granted on October 22, 2019.</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represents the withholding by the Issuer of 6,184 shares of common stock to satisfy tax withholding obligations incurred by the Reporting Person upon the vesting of 16,711 shares of common stock issued in connection with the vesting of financial performance-based restricted stock units granted on October 22,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Compliance Officer, Executive Vice President and General Counsel</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Theodore Kim</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03/02/2020</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2020-03-02T15:10:11Z</dcterms:created>
  <dcterms:modified xsi:type="dcterms:W3CDTF">2020-03-02T15:10:11Z</dcterms:modified>
</cp:coreProperties>
</file>