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19685</wp:posOffset>
            </wp:positionV>
            <wp:extent cx="7048500" cy="4875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87553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180" w:space="44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Kim Young-Joon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440"/>
        <w:spacing w:after="0" w:line="363" w:lineRule="auto"/>
        <w:rPr>
          <w:sz w:val="20"/>
          <w:szCs w:val="20"/>
          <w:color w:val="auto"/>
        </w:rPr>
      </w:pPr>
      <w:r>
        <w:rPr>
          <w:rFonts w:ascii="Times New Roman" w:cs="Times New Roman" w:eastAsia="Times New Roman" w:hAnsi="Times New Roman"/>
          <w:sz w:val="16"/>
          <w:szCs w:val="16"/>
          <w:color w:val="0000FF"/>
        </w:rPr>
        <w:t>C/O MAGNACHIP SEMICONDUCTOR, LTD., 108, YEOUI-DAERO, YEONGDEUNGPO-GU</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SEOUL</w:t>
            </w: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M5</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07335</w:t>
            </w:r>
          </w:p>
        </w:tc>
      </w:tr>
      <w:tr>
        <w:trPr>
          <w:trHeight w:val="146"/>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MAGNACHIP SEMICONDUCTOR Corp </w:t>
              </w:r>
            </w:hyperlink>
            <w:r>
              <w:rPr>
                <w:rFonts w:ascii="Times New Roman" w:cs="Times New Roman" w:eastAsia="Times New Roman" w:hAnsi="Times New Roman"/>
                <w:sz w:val="20"/>
                <w:szCs w:val="20"/>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346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 xml:space="preserve">MX </w:t>
            </w:r>
            <w:r>
              <w:rPr>
                <w:rFonts w:ascii="Times New Roman" w:cs="Times New Roman" w:eastAsia="Times New Roman" w:hAnsi="Times New Roman"/>
                <w:sz w:val="20"/>
                <w:szCs w:val="20"/>
                <w:color w:val="000000"/>
              </w:rPr>
              <w:t>]</w:t>
            </w:r>
          </w:p>
        </w:tc>
        <w:tc>
          <w:tcPr>
            <w:tcW w:w="3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60" w:type="dxa"/>
            <w:vAlign w:val="bottom"/>
            <w:vMerge w:val="continue"/>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3"/>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2"/>
                <w:szCs w:val="12"/>
                <w:color w:val="auto"/>
              </w:rPr>
            </w:pPr>
          </w:p>
        </w:tc>
        <w:tc>
          <w:tcPr>
            <w:tcW w:w="1940" w:type="dxa"/>
            <w:vAlign w:val="bottom"/>
          </w:tcPr>
          <w:p>
            <w:pPr>
              <w:ind w:left="400"/>
              <w:spacing w:after="0" w:line="141" w:lineRule="exact"/>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5"/>
        </w:trPr>
        <w:tc>
          <w:tcPr>
            <w:tcW w:w="180" w:type="dxa"/>
            <w:vAlign w:val="bottom"/>
            <w:gridSpan w:val="2"/>
            <w:vMerge w:val="continue"/>
          </w:tcPr>
          <w:p>
            <w:pPr>
              <w:spacing w:after="0"/>
              <w:rPr>
                <w:sz w:val="3"/>
                <w:szCs w:val="3"/>
                <w:color w:val="auto"/>
              </w:rPr>
            </w:pPr>
          </w:p>
        </w:tc>
        <w:tc>
          <w:tcPr>
            <w:tcW w:w="36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color w:val="0000FF"/>
              </w:rPr>
              <w:t>See Remarks</w:t>
            </w: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5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06/01/2024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1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6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8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0000FF"/>
              </w:rPr>
              <w:t>06/01/2024</w:t>
            </w: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6"/>
                <w:szCs w:val="16"/>
                <w:color w:val="0000FF"/>
                <w:w w:val="96"/>
              </w:rPr>
              <w:t>133,000</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657,923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9"/>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3"/>
                <w:szCs w:val="13"/>
                <w:color w:val="0000FF"/>
              </w:rPr>
              <w:t>06/01/2024</w:t>
            </w:r>
          </w:p>
        </w:tc>
        <w:tc>
          <w:tcPr>
            <w:tcW w:w="112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267,000</w:t>
            </w:r>
          </w:p>
        </w:tc>
        <w:tc>
          <w:tcPr>
            <w:tcW w:w="28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01/31/2027</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267,000</w:t>
            </w:r>
          </w:p>
        </w:tc>
        <w:tc>
          <w:tcPr>
            <w:tcW w:w="70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267,000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Restricted</w:t>
            </w: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0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Units</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("PRSU") represents a contingent right to receive one share of Issuer's common stock.</w:t>
      </w:r>
    </w:p>
    <w:p>
      <w:pPr>
        <w:spacing w:after="0" w:line="38" w:lineRule="exact"/>
        <w:rPr>
          <w:rFonts w:ascii="Times New Roman" w:cs="Times New Roman" w:eastAsia="Times New Roman" w:hAnsi="Times New Roman"/>
          <w:sz w:val="13"/>
          <w:szCs w:val="13"/>
          <w:color w:val="008000"/>
        </w:rPr>
      </w:pPr>
    </w:p>
    <w:p>
      <w:pPr>
        <w:ind w:left="40" w:right="200" w:hanging="2"/>
        <w:spacing w:after="0" w:line="283"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a number of shares of Issuer common stock that the Reporting Person would receive upon vesting and settlement of the PRSUs at the target level of performance, provided that the actual number of PRSUs that would become eligible to vest ranges from 0% to 300% of the target number of PRSUs, based on actual achievement. The PRSUs vest upon Issuer's common stock achieving a specified price per share.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Director and Chief Executive Officer</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Theodore Kim, Attorney-in-</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06/13/2024</w:t>
            </w:r>
          </w:p>
        </w:tc>
        <w:tc>
          <w:tcPr>
            <w:tcW w:w="0" w:type="dxa"/>
            <w:vAlign w:val="bottom"/>
          </w:tcPr>
          <w:p>
            <w:pPr>
              <w:spacing w:after="0"/>
              <w:rPr>
                <w:sz w:val="1"/>
                <w:szCs w:val="1"/>
                <w:color w:val="auto"/>
              </w:rPr>
            </w:pPr>
          </w:p>
        </w:tc>
      </w:tr>
      <w:tr>
        <w:trPr>
          <w:trHeight w:val="85"/>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611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2024-06-13T15:35:04Z</dcterms:created>
  <dcterms:modified xsi:type="dcterms:W3CDTF">2024-06-13T15:35:04Z</dcterms:modified>
</cp:coreProperties>
</file>