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29,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6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3660" w:type="dxa"/>
            <w:vAlign w:val="bottom"/>
            <w:gridSpan w:val="2"/>
          </w:tcPr>
          <w:p>
            <w:pPr>
              <w:jc w:val="right"/>
              <w:ind w:right="3012"/>
              <w:spacing w:after="0"/>
              <w:rPr>
                <w:sz w:val="20"/>
                <w:szCs w:val="20"/>
                <w:color w:val="auto"/>
              </w:rPr>
            </w:pPr>
            <w:r>
              <w:rPr>
                <w:rFonts w:ascii="Arial" w:cs="Arial" w:eastAsia="Arial" w:hAnsi="Arial"/>
                <w:sz w:val="18"/>
                <w:szCs w:val="18"/>
                <w:b w:val="1"/>
                <w:bCs w:val="1"/>
                <w:color w:val="auto"/>
              </w:rPr>
              <w:t>.</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w w:val="92"/>
              </w:rPr>
              <w:t>Commission file number 333-126019-09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8"/>
              </w:rPr>
              <w:t>Delaware</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5100" w:type="dxa"/>
            <w:vAlign w:val="bottom"/>
          </w:tcPr>
          <w:p>
            <w:pPr>
              <w:jc w:val="center"/>
              <w:ind w:right="174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8"/>
              </w:rPr>
              <w:t>incorporation or organization)</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5100" w:type="dxa"/>
            <w:vAlign w:val="bottom"/>
          </w:tcPr>
          <w:p>
            <w:pPr>
              <w:jc w:val="center"/>
              <w:ind w:right="1741"/>
              <w:spacing w:after="0"/>
              <w:rPr>
                <w:sz w:val="20"/>
                <w:szCs w:val="20"/>
                <w:color w:val="auto"/>
              </w:rPr>
            </w:pPr>
            <w:r>
              <w:rPr>
                <w:rFonts w:ascii="Arial" w:cs="Arial" w:eastAsia="Arial" w:hAnsi="Arial"/>
                <w:sz w:val="18"/>
                <w:szCs w:val="18"/>
                <w:b w:val="1"/>
                <w:bCs w:val="1"/>
                <w:color w:val="auto"/>
                <w:w w:val="88"/>
              </w:rPr>
              <w:t>c/o MagnaChip Semiconductor S.A.</w:t>
            </w:r>
          </w:p>
        </w:tc>
        <w:tc>
          <w:tcPr>
            <w:tcW w:w="2920" w:type="dxa"/>
            <w:vAlign w:val="bottom"/>
          </w:tcPr>
          <w:p>
            <w:pPr>
              <w:spacing w:after="0"/>
              <w:rPr>
                <w:sz w:val="24"/>
                <w:szCs w:val="24"/>
                <w:color w:val="auto"/>
              </w:rPr>
            </w:pPr>
          </w:p>
        </w:tc>
      </w:tr>
      <w:tr>
        <w:trPr>
          <w:trHeight w:val="216"/>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74, rue de Merl, B.P. 709, L-2017</w:t>
            </w:r>
          </w:p>
        </w:tc>
        <w:tc>
          <w:tcPr>
            <w:tcW w:w="2920" w:type="dxa"/>
            <w:vAlign w:val="bottom"/>
          </w:tcPr>
          <w:p>
            <w:pPr>
              <w:spacing w:after="0"/>
              <w:rPr>
                <w:sz w:val="18"/>
                <w:szCs w:val="18"/>
                <w:color w:val="auto"/>
              </w:rPr>
            </w:pPr>
          </w:p>
        </w:tc>
      </w:tr>
      <w:tr>
        <w:trPr>
          <w:trHeight w:val="231"/>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 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9"/>
              </w:rPr>
              <w:t>As of August 1, 2008, the registrant had 52,923,482.797 of the registrant’s common units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r>
      <w:tr>
        <w:trPr>
          <w:trHeight w:val="277"/>
        </w:trPr>
        <w:tc>
          <w:tcPr>
            <w:tcW w:w="27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12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34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00" w:type="dxa"/>
            <w:vAlign w:val="bottom"/>
            <w:tcBorders>
              <w:top w:val="single" w:sz="8" w:color="0000EE"/>
            </w:tcBorders>
          </w:tcPr>
          <w:p>
            <w:pPr>
              <w:spacing w:after="0"/>
              <w:rPr>
                <w:sz w:val="24"/>
                <w:szCs w:val="24"/>
                <w:color w:val="auto"/>
              </w:rPr>
            </w:pPr>
          </w:p>
        </w:tc>
        <w:tc>
          <w:tcPr>
            <w:tcW w:w="61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Changes in Unitholders’ Equity</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w:t>
              </w:r>
            </w:hyperlink>
          </w:p>
        </w:tc>
        <w:tc>
          <w:tcPr>
            <w:tcW w:w="1400" w:type="dxa"/>
            <w:vAlign w:val="bottom"/>
            <w:tcBorders>
              <w:top w:val="single" w:sz="8" w:color="0000EE"/>
            </w:tcBorders>
            <w:gridSpan w:val="4"/>
          </w:tcPr>
          <w:p>
            <w:pPr>
              <w:spacing w:after="0"/>
              <w:rPr>
                <w:sz w:val="24"/>
                <w:szCs w:val="24"/>
                <w:color w:val="auto"/>
              </w:rPr>
            </w:pPr>
          </w:p>
        </w:tc>
        <w:tc>
          <w:tcPr>
            <w:tcW w:w="468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Condensed Consolidated Financial Statements</w:t>
              </w:r>
            </w:hyperlink>
          </w:p>
        </w:tc>
        <w:tc>
          <w:tcPr>
            <w:tcW w:w="58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Management’s Discussion and Analysis of Financial Condition and Results of Operations</w:t>
              </w:r>
            </w:hyperlink>
          </w:p>
        </w:tc>
        <w:tc>
          <w:tcPr>
            <w:tcW w:w="3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Quantitative and Qualitative Disclosures About Market Risk</w:t>
              </w:r>
            </w:hyperlink>
          </w:p>
        </w:tc>
        <w:tc>
          <w:tcPr>
            <w:tcW w:w="54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4T.</w:t>
            </w:r>
          </w:p>
        </w:tc>
        <w:tc>
          <w:tcPr>
            <w:tcW w:w="970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24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PART II OTHER INFORMATION</w:t>
              </w:r>
            </w:hyperlink>
          </w:p>
        </w:tc>
        <w:tc>
          <w:tcPr>
            <w:tcW w:w="842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Risk Factors</w:t>
              </w:r>
            </w:hyperlink>
          </w:p>
        </w:tc>
        <w:tc>
          <w:tcPr>
            <w:tcW w:w="882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Unregistered Sales of Equity Securities and Use of Proceeds</w:t>
              </w:r>
            </w:hyperlink>
          </w:p>
        </w:tc>
        <w:tc>
          <w:tcPr>
            <w:tcW w:w="546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6.</w:t>
            </w:r>
          </w:p>
        </w:tc>
        <w:tc>
          <w:tcPr>
            <w:tcW w:w="9700" w:type="dxa"/>
            <w:vAlign w:val="bottom"/>
            <w:gridSpan w:val="1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200" w:type="dxa"/>
            <w:vAlign w:val="bottom"/>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83"/>
        </w:trPr>
        <w:tc>
          <w:tcPr>
            <w:tcW w:w="10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13"/>
          </w:tcPr>
          <w:p>
            <w:pPr>
              <w:ind w:left="4480"/>
              <w:spacing w:after="0"/>
              <w:rPr>
                <w:sz w:val="20"/>
                <w:szCs w:val="20"/>
                <w:color w:val="auto"/>
              </w:rPr>
            </w:pPr>
            <w:r>
              <w:rPr>
                <w:rFonts w:ascii="Arial" w:cs="Arial" w:eastAsia="Arial" w:hAnsi="Arial"/>
                <w:sz w:val="18"/>
                <w:szCs w:val="18"/>
                <w:color w:val="auto"/>
              </w:rPr>
              <w:t>2</w:t>
            </w:r>
          </w:p>
        </w:tc>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320" w:type="dxa"/>
            <w:vAlign w:val="bottom"/>
            <w:gridSpan w:val="4"/>
          </w:tcPr>
          <w:p>
            <w:pPr>
              <w:jc w:val="center"/>
              <w:ind w:left="29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3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2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89"/>
              </w:rPr>
              <w:t>MagnaChip Semiconductor LLC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2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5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w w:val="91"/>
              </w:rPr>
              <w:t>(Unaudited; in thousands of US dollars, except unit data)</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June 29,</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July 1,</w:t>
            </w:r>
          </w:p>
        </w:tc>
        <w:tc>
          <w:tcPr>
            <w:tcW w:w="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June 29,</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July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194,676</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194,053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397,728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6"/>
              </w:rPr>
              <w:t>Cost of sales</w:t>
            </w:r>
          </w:p>
        </w:tc>
        <w:tc>
          <w:tcPr>
            <w:tcW w:w="23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145,522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166,299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300,708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w w:val="93"/>
              </w:rPr>
              <w:t>Selling, general and administrative expenses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60" w:type="dxa"/>
            <w:vAlign w:val="bottom"/>
            <w:gridSpan w:val="3"/>
            <w:vMerge w:val="continue"/>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23,010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25,531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42,234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32,534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71,841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12,084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6"/>
              </w:rPr>
              <w:t>Operating loss</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(42,395)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(85,319)</w:t>
            </w:r>
          </w:p>
        </w:tc>
        <w:tc>
          <w:tcPr>
            <w:tcW w:w="0" w:type="dxa"/>
            <w:vAlign w:val="bottom"/>
          </w:tcPr>
          <w:p>
            <w:pPr>
              <w:spacing w:after="0"/>
              <w:rPr>
                <w:sz w:val="1"/>
                <w:szCs w:val="1"/>
                <w:color w:val="auto"/>
              </w:rPr>
            </w:pPr>
          </w:p>
        </w:tc>
      </w:tr>
      <w:tr>
        <w:trPr>
          <w:trHeight w:val="222"/>
        </w:trPr>
        <w:tc>
          <w:tcPr>
            <w:tcW w:w="3360" w:type="dxa"/>
            <w:vAlign w:val="bottom"/>
            <w:gridSpan w:val="3"/>
          </w:tcPr>
          <w:p>
            <w:pPr>
              <w:spacing w:after="0"/>
              <w:rPr>
                <w:sz w:val="20"/>
                <w:szCs w:val="20"/>
                <w:color w:val="auto"/>
              </w:rPr>
            </w:pPr>
            <w:r>
              <w:rPr>
                <w:rFonts w:ascii="Arial" w:cs="Arial" w:eastAsia="Arial" w:hAnsi="Arial"/>
                <w:sz w:val="18"/>
                <w:szCs w:val="18"/>
                <w:color w:val="auto"/>
              </w:rPr>
              <w:t>Other income (expenses)</w:t>
            </w:r>
          </w:p>
        </w:tc>
        <w:tc>
          <w:tcPr>
            <w:tcW w:w="3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(14,952)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Foreign currency gain (loss), net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(31,149)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13,868</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(74,013)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(56,315)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(43,479)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(121,704)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(108,210)</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Income tax expenses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gridSpan w:val="3"/>
            <w:vMerge w:val="continue"/>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5,786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(45,324)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(127,490)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(112,306)</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6,399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(62,874)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(48,307)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(133,889)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(118,159)</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Net loss per common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Basic and diluted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Basic and diluted</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52,736,809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52,772,652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52,658,459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52,746,718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June 29,</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149,212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645,283</w:t>
            </w:r>
          </w:p>
        </w:tc>
        <w:tc>
          <w:tcPr>
            <w:tcW w:w="22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118,058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70,615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1,084,930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1,055,957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w w:val="89"/>
              </w:rPr>
              <w:t>Series A redeemable convertible preferred units; $1,000 par value; 60,000 units authorized, 50,091 units issued and 0 unit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640"/>
              <w:spacing w:after="0"/>
              <w:rPr>
                <w:sz w:val="20"/>
                <w:szCs w:val="20"/>
                <w:color w:val="auto"/>
              </w:rPr>
            </w:pPr>
            <w:r>
              <w:rPr>
                <w:rFonts w:ascii="Arial" w:cs="Arial" w:eastAsia="Arial" w:hAnsi="Arial"/>
                <w:sz w:val="18"/>
                <w:szCs w:val="18"/>
                <w:color w:val="auto"/>
              </w:rPr>
              <w:t>outstanding at June 29, 2008 and December 31, 2007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Series B redeemable convertible preferred units; $1,000 par value; 550,000 units authorized, 450,692 units issued and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93,997 units outstanding at June 29, 2008 and December 31, 2007</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135,804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135,804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w w:val="92"/>
              </w:rPr>
              <w:t>Common units; $1 par value; 65,000,000 units authorized, 52,919,108 and 52,844,222 units issued and outstanding at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640"/>
              <w:spacing w:after="0"/>
              <w:rPr>
                <w:sz w:val="20"/>
                <w:szCs w:val="20"/>
                <w:color w:val="auto"/>
              </w:rPr>
            </w:pPr>
            <w:r>
              <w:rPr>
                <w:rFonts w:ascii="Arial" w:cs="Arial" w:eastAsia="Arial" w:hAnsi="Arial"/>
                <w:sz w:val="18"/>
                <w:szCs w:val="18"/>
                <w:color w:val="auto"/>
              </w:rPr>
              <w:t>June 29, 2008 and December 31, 2007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(698,338)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(564,449)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unitholders’ equity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(575,451)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(477,479)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645,283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2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Units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1"/>
                <w:szCs w:val="11"/>
                <w:color w:val="auto"/>
              </w:rPr>
            </w:pPr>
          </w:p>
        </w:tc>
        <w:tc>
          <w:tcPr>
            <w:tcW w:w="9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Income</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29, 2008</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Balance at March 30, 2008</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52,847,472</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$52,847</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(635,464)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51,592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$(527,890)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143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Repurchase of common units</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(71,636)</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(59,593)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valuation of derivatives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779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14,697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(44,117)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June 29, 2008</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52,919,108</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52,919</w:t>
            </w:r>
          </w:p>
        </w:tc>
        <w:tc>
          <w:tcPr>
            <w:tcW w:w="160" w:type="dxa"/>
            <w:vAlign w:val="bottom"/>
          </w:tcPr>
          <w:p>
            <w:pPr>
              <w:spacing w:after="0"/>
              <w:rPr>
                <w:sz w:val="20"/>
                <w:szCs w:val="20"/>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2,900</w:t>
            </w:r>
          </w:p>
        </w:tc>
        <w:tc>
          <w:tcPr>
            <w:tcW w:w="16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(698,338)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67,068</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29, 2008</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Balance at January 1, 2008</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52,844,222</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$52,844</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3,077</w:t>
            </w: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(564,449)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31,049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$(477,479)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157,085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157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Repurchase of common units</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(82,199)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(6,399)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(127,490)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valuation of derivatives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36,883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(91,471)</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June 29, 2008</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52,919,108</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52,919</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2,900</w:t>
            </w:r>
          </w:p>
        </w:tc>
        <w:tc>
          <w:tcPr>
            <w:tcW w:w="1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(698,338)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67,068</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(575,451)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Additional</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Paid-In</w:t>
            </w:r>
          </w:p>
        </w:tc>
        <w:tc>
          <w:tcPr>
            <w:tcW w:w="220" w:type="dxa"/>
            <w:vAlign w:val="bottom"/>
          </w:tcPr>
          <w:p>
            <w:pPr>
              <w:spacing w:after="0"/>
              <w:rPr>
                <w:sz w:val="11"/>
                <w:szCs w:val="11"/>
                <w:color w:val="auto"/>
              </w:rPr>
            </w:pPr>
          </w:p>
        </w:tc>
        <w:tc>
          <w:tcPr>
            <w:tcW w:w="10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5"/>
              </w:rPr>
              <w:t>Capital</w:t>
            </w:r>
          </w:p>
        </w:tc>
        <w:tc>
          <w:tcPr>
            <w:tcW w:w="2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Income</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1, 2007</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Balance at April 1, 2007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52,720,784</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$52,721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2,476</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 (441,720)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31,538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(354,985)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Unit-based compensation</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accrued on preferred units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(2,983)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(45,324)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Fair valuation of derivatives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(50,719)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52,800,784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52,801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(490,027)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26,143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(408,562)</w:t>
            </w: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July 1, 2007</w:t>
            </w: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52,720,784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$52,721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(370,314)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30,601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(284,541)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Exercise of unit options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Unit-based compensation</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Dividends accrued on preferred units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(5,853)</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carried over from prior year (FIN 48)</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(1,554)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(112,306)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Fair valuation of derivatives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(116,764)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52,800,784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52,801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(490,027)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26,143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(408,562)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9"/>
              </w:rPr>
              <w:t>June 29,</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July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(127,490)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Gain on disposal of property, plant and equipment, net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(36,938)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(49,967)</w:t>
            </w:r>
          </w:p>
        </w:tc>
        <w:tc>
          <w:tcPr>
            <w:tcW w:w="0" w:type="dxa"/>
            <w:vAlign w:val="bottom"/>
          </w:tcPr>
          <w:p>
            <w:pPr>
              <w:spacing w:after="0"/>
              <w:rPr>
                <w:sz w:val="1"/>
                <w:szCs w:val="1"/>
                <w:color w:val="auto"/>
              </w:rPr>
            </w:pPr>
          </w:p>
        </w:tc>
      </w:tr>
      <w:tr>
        <w:trPr>
          <w:trHeight w:val="221"/>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Payment for intellectual property registration</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property, plant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(24,126)</w:t>
            </w:r>
          </w:p>
        </w:tc>
        <w:tc>
          <w:tcPr>
            <w:tcW w:w="0" w:type="dxa"/>
            <w:vAlign w:val="bottom"/>
          </w:tcPr>
          <w:p>
            <w:pPr>
              <w:spacing w:after="0"/>
              <w:rPr>
                <w:sz w:val="1"/>
                <w:szCs w:val="1"/>
                <w:color w:val="auto"/>
              </w:rPr>
            </w:pPr>
          </w:p>
        </w:tc>
      </w:tr>
      <w:tr>
        <w:trPr>
          <w:trHeight w:val="221"/>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Exercise of unit options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Repurchase of common units</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Repayment of short-term borrowings</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(150,000)</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(34,439)</w:t>
            </w:r>
          </w:p>
        </w:tc>
        <w:tc>
          <w:tcPr>
            <w:tcW w:w="0" w:type="dxa"/>
            <w:vAlign w:val="bottom"/>
          </w:tcPr>
          <w:p>
            <w:pPr>
              <w:spacing w:after="0"/>
              <w:rPr>
                <w:sz w:val="1"/>
                <w:szCs w:val="1"/>
                <w:color w:val="auto"/>
              </w:rPr>
            </w:pPr>
          </w:p>
        </w:tc>
      </w:tr>
      <w:tr>
        <w:trPr>
          <w:trHeight w:val="221"/>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gridSpan w:val="2"/>
          </w:tcPr>
          <w:p>
            <w:pPr>
              <w:spacing w:after="0"/>
              <w:rPr>
                <w:sz w:val="20"/>
                <w:szCs w:val="20"/>
                <w:color w:val="auto"/>
              </w:rPr>
            </w:pPr>
            <w:r>
              <w:rPr>
                <w:rFonts w:ascii="Arial" w:cs="Arial" w:eastAsia="Arial" w:hAnsi="Arial"/>
                <w:sz w:val="18"/>
                <w:szCs w:val="18"/>
                <w:color w:val="auto"/>
              </w:rPr>
              <w:t>End of the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36,503</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ind w:right="8920" w:firstLine="8"/>
        <w:spacing w:after="0" w:line="391"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420" w:firstLine="456"/>
        <w:spacing w:after="0" w:line="290"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fairly present the information required to be set forth therein. All inter-company accounts and transactions have been eliminated. The results of operations for the six-month period ended June 29, 2008 are not necessarily indicative of the results to be expected for a full year or for any other periods.</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year-end condensed balance sheet data was derived from audited financial statements, but does not include all disclosures required by accounting principles generally accepted in the United States of America.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December 2007, the Financial Accounting Standards Board (“FASB”) issued Statements of Financial Accounting Standards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141R”), which replaces FASB Statement No. 141. SFAS 141R establishes principles and requirements for how an acquirer recognizes and measures in its financial statements the identifiable assets acquired, the liabilities assumed, any non controlling interest in the acquiree and the goodwill acquired. This statement also establishes disclosure requirements which will enable users to evaluate the nature and financial effects of the business combination. SFAS 141R is effective as of the beginning of an entity’s fiscal year that begins after December 15, 2008. The Company is currently evaluating the potential impact, if any, of the adoption of SFAS 141R on its consolidated financial statements.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2007, the FASB issued SFAS No. 160, “</w:t>
      </w:r>
      <w:r>
        <w:rPr>
          <w:rFonts w:ascii="Arial" w:cs="Arial" w:eastAsia="Arial" w:hAnsi="Arial"/>
          <w:sz w:val="16"/>
          <w:szCs w:val="16"/>
          <w:i w:val="1"/>
          <w:iCs w:val="1"/>
          <w:color w:val="auto"/>
        </w:rPr>
        <w:t>Noncontrolling Interests in Consolidated Financial Statement—amendments of ARB No. 51</w:t>
      </w:r>
      <w:r>
        <w:rPr>
          <w:rFonts w:ascii="Arial" w:cs="Arial" w:eastAsia="Arial" w:hAnsi="Arial"/>
          <w:sz w:val="16"/>
          <w:szCs w:val="16"/>
          <w:color w:val="auto"/>
        </w:rPr>
        <w:t xml:space="preserve"> (“SFAS 160”).” SFAS 160 states that accounting and reporting for minority interests will be recharacterized as noncontrolling interests and classified as a component of equity. SFAS 160 also establishes reporting requirements that provide sufficient disclosures that clearly identify and distinguish between the interests of the parent and the interests of the noncontrolling owners. SFAS 160 applies to all entities that prepare consolidated financial statements, except not-for-profit organizations, but will affect only those entities that have an outstanding noncontrolling interest in one or more subsidiaries or that deconsolidate a subsidiary. This statement is effective as of the beginning of an entity’s first fiscal year beginning after December 15, 2008. The Company is currently evaluating the potential impact, if any, of the adoption of SFAS 160 on its consolidated financial statements.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February 2007, the FASB issued SFAS No. 159, “</w:t>
      </w:r>
      <w:r>
        <w:rPr>
          <w:rFonts w:ascii="Arial" w:cs="Arial" w:eastAsia="Arial" w:hAnsi="Arial"/>
          <w:sz w:val="16"/>
          <w:szCs w:val="16"/>
          <w:i w:val="1"/>
          <w:iCs w:val="1"/>
          <w:color w:val="auto"/>
        </w:rPr>
        <w:t>The Fair Value Option for Financial Assets and Financial Liabilities – 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Statement No. 115</w:t>
      </w:r>
      <w:r>
        <w:rPr>
          <w:rFonts w:ascii="Arial" w:cs="Arial" w:eastAsia="Arial" w:hAnsi="Arial"/>
          <w:sz w:val="16"/>
          <w:szCs w:val="16"/>
          <w:color w:val="auto"/>
        </w:rPr>
        <w:t>” (“SFAS 159”), which permits all entities to choose to measure many financial instruments and certain other items at fair value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consequently report unrealized gains and losses on these items in earnings. SFAS 159 was effective for the Company’s fiscal year beginning January 1, 2008. The Company has not elected the fair value option to measure certain financial instruments. The adoption of SFAS 159 did not have a material impact on the Company’s consolidated financial position, results of operations or cash flows.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adopted the provisions of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on January 1, 2008. SFAS 157 defines fair value, establishes a market-based framework or hierarchy for measuring fair value, and expands disclosures about fair value measurements. SFAS 157 is applicable whenever another accounting pronouncement requires or permits assets and liabilities to be measured at fair value. SFAS 157 does not expand or require any new fair value measures, however the application of this statement may change current practice. In February 2008, the FASB decided that an entity need not apply this standard to nonfinancial assets and liabilities that are recognized or disclosed at fair value in the financial statements on a nonrecurring basis until 2009. Accordingly, the Company’s adoption of this standard in 2008 was limited to financial assets and liabilities, which primarily affects the valuation of its derivative contract. The adoption of SFAS 157 did not have a material effect on the Company’s financial condition or results of operations. The Company is still in the process of evaluating this standard with respect to its effect on nonfinancial assets and liabilities and therefore has not yet determined the impact that it will have on its consolidated financial statements upon full adoption in 2009. Nonfinancial assets and liabilities for which the Company has not applied the provisions of SFAS 157 include those measured at fair value in impairment testing and those initially measured at fair value in a business combination.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June 29, 2008 and December 31, 2007 consist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June 29,</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50,094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Materials in-transit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ind w:left="46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63,532</w:t>
            </w:r>
          </w:p>
        </w:tc>
        <w:tc>
          <w:tcPr>
            <w:tcW w:w="32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jc w:val="right"/>
              <w:ind w:right="6172"/>
              <w:spacing w:after="0"/>
              <w:rPr>
                <w:sz w:val="20"/>
                <w:szCs w:val="20"/>
                <w:color w:val="auto"/>
              </w:rPr>
            </w:pPr>
            <w:r>
              <w:rPr>
                <w:rFonts w:ascii="Arial" w:cs="Arial" w:eastAsia="Arial" w:hAnsi="Arial"/>
                <w:sz w:val="18"/>
                <w:szCs w:val="18"/>
                <w:b w:val="1"/>
                <w:bCs w:val="1"/>
                <w:color w:val="auto"/>
                <w:w w:val="89"/>
              </w:rPr>
              <w:t>3. Property, Plant and Equipment</w:t>
            </w: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0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as of June 29, 2008 and December 31, 2007 comprise the following:</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$ 135,599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398,474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others</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588,142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(353,335)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(367,501)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Land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11,142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$ 246,239</w:t>
            </w:r>
          </w:p>
        </w:tc>
        <w:tc>
          <w:tcPr>
            <w:tcW w:w="32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jc w:val="right"/>
              <w:ind w:right="2912"/>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as of June 29, 2008 and December 31, 2007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June 29,</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8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154,976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8,961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(115,109)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(109,297)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82,079</w:t>
            </w:r>
          </w:p>
        </w:tc>
        <w:tc>
          <w:tcPr>
            <w:tcW w:w="3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Goodwill has resulted from the acquisition of ISRON Corporation on March 6, 2005. On an ongoing basis, the Company evaluates goodwill at the reporting unit level for indications of potential impairment. Goodwill is tested for impairment based on the present value of discounted cash flows, and, if impaired, written down to fair value based on discounted cash flows. The Company performs its annual goodwill impairment test during the first quarter of each fiscal year, as well as any additional impairment test required on an event-driven basis. In the first quarter of each of fiscal 2008 and 2007, the Company performed its annual goodwill impairment test and determined that goodwill was not impaired.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Short-term borrowings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is charged at current rates when drawn upon.</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Presently, borrowings under the credit agreement bear interest equal to the 3-month London Inter-bank Offering Rate (“LIBOR”) plus 4.75% or Alternate Base Rate (“ABR”) plus 3.75%. Additionally, the Company is required to pay the administrative agent for the account of each lender a commitment fee equal to 0.5% on the average daily unused amount of the commitment of each lender during the period from December 23, 2004 to but excluding the date on which such commitments terminate. As of June 29, 2008 and December 31, 2007, the Company had borrowed $85 million and $80 million, respectively, under this credit agreement.</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Short-term borrowings as of June 29, 2008 and December 31, 2007 are presented as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20" w:type="dxa"/>
            <w:vAlign w:val="bottom"/>
            <w:gridSpan w:val="4"/>
          </w:tcPr>
          <w:p>
            <w:pPr>
              <w:jc w:val="right"/>
              <w:ind w:right="1660"/>
              <w:spacing w:after="0"/>
              <w:rPr>
                <w:sz w:val="20"/>
                <w:szCs w:val="20"/>
                <w:color w:val="auto"/>
              </w:rPr>
            </w:pPr>
            <w:r>
              <w:rPr>
                <w:rFonts w:ascii="Arial" w:cs="Arial" w:eastAsia="Arial" w:hAnsi="Arial"/>
                <w:sz w:val="14"/>
                <w:szCs w:val="14"/>
                <w:b w:val="1"/>
                <w:bCs w:val="1"/>
                <w:color w:val="auto"/>
              </w:rPr>
              <w:t>As of June 29, 2008</w:t>
            </w:r>
          </w:p>
        </w:tc>
        <w:tc>
          <w:tcPr>
            <w:tcW w:w="1760" w:type="dxa"/>
            <w:vAlign w:val="bottom"/>
            <w:gridSpan w:val="6"/>
          </w:tcPr>
          <w:p>
            <w:pPr>
              <w:ind w:left="280"/>
              <w:spacing w:after="0"/>
              <w:rPr>
                <w:sz w:val="20"/>
                <w:szCs w:val="20"/>
                <w:color w:val="auto"/>
              </w:rPr>
            </w:pPr>
            <w:r>
              <w:rPr>
                <w:rFonts w:ascii="Arial" w:cs="Arial" w:eastAsia="Arial" w:hAnsi="Arial"/>
                <w:sz w:val="14"/>
                <w:szCs w:val="14"/>
                <w:b w:val="1"/>
                <w:bCs w:val="1"/>
                <w:color w:val="auto"/>
              </w:rPr>
              <w:t>Amount of principal</w:t>
            </w:r>
          </w:p>
        </w:tc>
        <w:tc>
          <w:tcPr>
            <w:tcW w:w="0" w:type="dxa"/>
            <w:vAlign w:val="bottom"/>
          </w:tcPr>
          <w:p>
            <w:pPr>
              <w:spacing w:after="0"/>
              <w:rPr>
                <w:sz w:val="1"/>
                <w:szCs w:val="1"/>
                <w:color w:val="auto"/>
              </w:rPr>
            </w:pPr>
          </w:p>
        </w:tc>
      </w:tr>
      <w:tr>
        <w:trPr>
          <w:trHeight w:val="129"/>
        </w:trPr>
        <w:tc>
          <w:tcPr>
            <w:tcW w:w="5460" w:type="dxa"/>
            <w:vAlign w:val="bottom"/>
          </w:tcPr>
          <w:p>
            <w:pPr>
              <w:spacing w:after="0"/>
              <w:rPr>
                <w:sz w:val="11"/>
                <w:szCs w:val="11"/>
                <w:color w:val="auto"/>
              </w:rPr>
            </w:pPr>
          </w:p>
        </w:tc>
        <w:tc>
          <w:tcPr>
            <w:tcW w:w="19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June 29,</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98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8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Annual interest rate (%)</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Euro dollar Revolving Loan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2008-06-30 ~ 2008-07-28</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 month LIBOR + 4.75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$ 80,000</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ABR Revolving Loan</w:t>
            </w:r>
          </w:p>
        </w:tc>
        <w:tc>
          <w:tcPr>
            <w:tcW w:w="1980" w:type="dxa"/>
            <w:vAlign w:val="bottom"/>
          </w:tcPr>
          <w:p>
            <w:pPr>
              <w:jc w:val="right"/>
              <w:ind w:right="500"/>
              <w:spacing w:after="0"/>
              <w:rPr>
                <w:sz w:val="20"/>
                <w:szCs w:val="20"/>
                <w:color w:val="auto"/>
              </w:rPr>
            </w:pPr>
            <w:r>
              <w:rPr>
                <w:rFonts w:ascii="Arial" w:cs="Arial" w:eastAsia="Arial" w:hAnsi="Arial"/>
                <w:sz w:val="18"/>
                <w:szCs w:val="18"/>
                <w:color w:val="auto"/>
              </w:rPr>
              <w:t>2008-06-30</w:t>
            </w:r>
          </w:p>
        </w:tc>
        <w:tc>
          <w:tcPr>
            <w:tcW w:w="22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ABR + 3.75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$ 85,000</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980" w:type="dxa"/>
            <w:vAlign w:val="bottom"/>
            <w:vMerge w:val="restart"/>
          </w:tcPr>
          <w:p>
            <w:pPr>
              <w:jc w:val="right"/>
              <w:ind w:right="15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32"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 xml:space="preserve">Priority Senior Secured Notes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/8% Second Priority Senior Secured Notes. At the same time, such subsidiaries issued $250 million aggregate principal amount of 8% Senior Subordinated Notes.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June 29, 2008 and December 31, 2007 are presented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Amount of</w:t>
            </w:r>
          </w:p>
        </w:tc>
      </w:tr>
      <w:tr>
        <w:trPr>
          <w:trHeight w:val="161"/>
        </w:trPr>
        <w:tc>
          <w:tcPr>
            <w:tcW w:w="786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4"/>
                <w:szCs w:val="14"/>
                <w:color w:val="auto"/>
              </w:rPr>
            </w:pPr>
          </w:p>
        </w:tc>
        <w:tc>
          <w:tcPr>
            <w:tcW w:w="1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Annual interest rate (%)</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 month LIBOR + 3.250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w:t>
            </w:r>
          </w:p>
        </w:tc>
        <w:tc>
          <w:tcPr>
            <w:tcW w:w="20" w:type="dxa"/>
            <w:vAlign w:val="bottom"/>
          </w:tcPr>
          <w:p>
            <w:pPr>
              <w:spacing w:after="0"/>
              <w:rPr>
                <w:sz w:val="18"/>
                <w:szCs w:val="18"/>
                <w:color w:val="auto"/>
              </w:rPr>
            </w:pPr>
          </w:p>
        </w:tc>
      </w:tr>
      <w:tr>
        <w:trPr>
          <w:trHeight w:val="216"/>
        </w:trPr>
        <w:tc>
          <w:tcPr>
            <w:tcW w:w="786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Second Priority Senior Secured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6.875</w:t>
            </w: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$ 750,000</w:t>
            </w:r>
          </w:p>
        </w:tc>
      </w:tr>
      <w:tr>
        <w:trPr>
          <w:trHeight w:val="20"/>
        </w:trPr>
        <w:tc>
          <w:tcPr>
            <w:tcW w:w="7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notes are due in full upon maturity.</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June 29, 2008, the Company and all of its subsidiaries except for MagnaChip Semiconductor (Shanghai) Company Limited have jointly and severally guaranteed each series of the Second Priority Senior Secured Notes on a second priority senior secured basis. As of June 29, 2008, the Company and all of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the Second Priority Senior Secured Notes and Senior Subordinated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June 27, 2005, the Company entered into an interest rate swap agreement (the “Swap”) to hedge the effect of the volatility of the 3-month London Inter-Bank Offering Rate (“LIBOR”) resulting from the Company’s $300 million of Floating Rate Second Priority Senior Secured Notes (the “Notes”). Under the terms of the Swap, the Company received a variable interest rate equal to the three-month LIBOR rate plus 3.25%. In exchange, the Company paid interest at a fixed rate of 7.34%. The Swap effectively replaced the variable interest rate on the notes with a fixed interest rate through the expiration date of the Swap on June 15, 2008.</w:t>
      </w:r>
    </w:p>
    <w:p>
      <w:pPr>
        <w:spacing w:after="0" w:line="14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Swap qualified as a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as amended, since at both the inception of the hedge and on an ongoing basis, the hedging relationship was expected to be highly effective in achieving offsetting cash flows attributable to the hedged risk during the term of the hedge. The Company utilized the “hypothetical derivative method” to measure the effectiveness by comparing the changes in value of the actual derivative versus the change in fair value of the “hypothetical derivative.”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Swap agreement expired on June 15,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Severance Benefits</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June 29, 2008, 98% of all employees of the Company were eligible for severance benefits.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value of accrued severance benefits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Three months ended</w:t>
            </w:r>
          </w:p>
        </w:tc>
        <w:tc>
          <w:tcPr>
            <w:tcW w:w="15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9"/>
              </w:rPr>
              <w:t>June 29,</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July 1,</w:t>
            </w:r>
          </w:p>
        </w:tc>
        <w:tc>
          <w:tcPr>
            <w:tcW w:w="28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2"/>
              </w:rPr>
              <w:t>June 29,</w:t>
            </w:r>
          </w:p>
        </w:tc>
        <w:tc>
          <w:tcPr>
            <w:tcW w:w="58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July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$73,672</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$65,101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$75,869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Provisions</w:t>
            </w:r>
          </w:p>
        </w:tc>
        <w:tc>
          <w:tcPr>
            <w:tcW w:w="580" w:type="dxa"/>
            <w:vAlign w:val="bottom"/>
          </w:tcPr>
          <w:p>
            <w:pPr>
              <w:jc w:val="right"/>
              <w:spacing w:after="0"/>
              <w:rPr>
                <w:sz w:val="20"/>
                <w:szCs w:val="20"/>
                <w:color w:val="auto"/>
              </w:rPr>
            </w:pPr>
            <w:r>
              <w:rPr>
                <w:rFonts w:ascii="Arial" w:cs="Arial" w:eastAsia="Arial" w:hAnsi="Arial"/>
                <w:sz w:val="18"/>
                <w:szCs w:val="18"/>
                <w:color w:val="auto"/>
              </w:rPr>
              <w:t>3,156</w:t>
            </w:r>
          </w:p>
        </w:tc>
        <w:tc>
          <w:tcPr>
            <w:tcW w:w="18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5,198</w:t>
            </w:r>
          </w:p>
        </w:tc>
        <w:tc>
          <w:tcPr>
            <w:tcW w:w="580" w:type="dxa"/>
            <w:vAlign w:val="bottom"/>
          </w:tcPr>
          <w:p>
            <w:pPr>
              <w:jc w:val="right"/>
              <w:spacing w:after="0"/>
              <w:rPr>
                <w:sz w:val="20"/>
                <w:szCs w:val="20"/>
                <w:color w:val="auto"/>
              </w:rPr>
            </w:pPr>
            <w:r>
              <w:rPr>
                <w:rFonts w:ascii="Arial" w:cs="Arial" w:eastAsia="Arial" w:hAnsi="Arial"/>
                <w:sz w:val="18"/>
                <w:szCs w:val="18"/>
                <w:color w:val="auto"/>
              </w:rPr>
              <w:t>6,890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Effect of foreign currency translation and other</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(3,537)</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1,321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(7,856)</w:t>
            </w:r>
          </w:p>
        </w:tc>
        <w:tc>
          <w:tcPr>
            <w:tcW w:w="58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(816)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(681)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70,615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68,453</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70,615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68,453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severance benefits are funded approximately 2.07% and 2.46% as of June 29, 2008 and July 1, 2007,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to pay the following future benefits to its employees upon their normal retirement 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2010</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2012</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2014 – 2018</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7,154</w:t>
            </w:r>
          </w:p>
        </w:tc>
      </w:tr>
    </w:tbl>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Units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units (the “Series A”) and 447,420 units as Series B redeemable convertible preferred units (the “Series B”) on September 23, 2004 and additionally issued 364 units of Series A and 3,272 units of Series B on November 30, 2004, respectively. All of Series A were redeemed by cash on December 27, 2004 and some of the Series B were redeemed by cash on December 15, 2004 and December 27, 2004.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for the three and six months ended June 29, 2008 and July 1,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126"/>
              <w:spacing w:after="0"/>
              <w:rPr>
                <w:sz w:val="20"/>
                <w:szCs w:val="20"/>
                <w:color w:val="auto"/>
              </w:rPr>
            </w:pPr>
            <w:r>
              <w:rPr>
                <w:rFonts w:ascii="Arial" w:cs="Arial" w:eastAsia="Arial" w:hAnsi="Arial"/>
                <w:sz w:val="14"/>
                <w:szCs w:val="14"/>
                <w:b w:val="1"/>
                <w:bCs w:val="1"/>
                <w:color w:val="auto"/>
                <w:w w:val="85"/>
              </w:rPr>
              <w:t>Three months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3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100" w:type="dxa"/>
            <w:vAlign w:val="bottom"/>
          </w:tcPr>
          <w:p>
            <w:pPr>
              <w:spacing w:after="0"/>
              <w:rPr>
                <w:sz w:val="11"/>
                <w:szCs w:val="11"/>
                <w:color w:val="auto"/>
              </w:rPr>
            </w:pPr>
          </w:p>
        </w:tc>
        <w:tc>
          <w:tcPr>
            <w:tcW w:w="140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466"/>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477"/>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$ 132,523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120,244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$ 135,804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123,227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left="126"/>
              <w:spacing w:after="0"/>
              <w:rPr>
                <w:sz w:val="20"/>
                <w:szCs w:val="20"/>
                <w:color w:val="auto"/>
              </w:rPr>
            </w:pPr>
            <w:r>
              <w:rPr>
                <w:rFonts w:ascii="Arial" w:cs="Arial" w:eastAsia="Arial" w:hAnsi="Arial"/>
                <w:sz w:val="14"/>
                <w:szCs w:val="14"/>
                <w:b w:val="1"/>
                <w:bCs w:val="1"/>
                <w:color w:val="auto"/>
                <w:w w:val="84"/>
              </w:rPr>
              <w:t>Six months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3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100" w:type="dxa"/>
            <w:vAlign w:val="bottom"/>
          </w:tcPr>
          <w:p>
            <w:pPr>
              <w:spacing w:after="0"/>
              <w:rPr>
                <w:sz w:val="11"/>
                <w:szCs w:val="11"/>
                <w:color w:val="auto"/>
              </w:rPr>
            </w:pPr>
          </w:p>
        </w:tc>
        <w:tc>
          <w:tcPr>
            <w:tcW w:w="140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July 1,</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466"/>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477"/>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$ 129,405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117,374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$ 135,804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123,227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Unit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illustrates the computation of basic and diluted loss per common unit for the three-month and six-month periods ended June 29, 2008 and July 1,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June 29,</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8"/>
              <w:spacing w:after="0" w:line="129" w:lineRule="exact"/>
              <w:rPr>
                <w:sz w:val="20"/>
                <w:szCs w:val="20"/>
                <w:color w:val="auto"/>
              </w:rPr>
            </w:pPr>
            <w:r>
              <w:rPr>
                <w:rFonts w:ascii="Arial" w:cs="Arial" w:eastAsia="Arial" w:hAnsi="Arial"/>
                <w:sz w:val="14"/>
                <w:szCs w:val="14"/>
                <w:b w:val="1"/>
                <w:bCs w:val="1"/>
                <w:color w:val="auto"/>
              </w:rPr>
              <w:t>July 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9"/>
              </w:rPr>
              <w:t>June 29,</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8"/>
              <w:spacing w:after="0" w:line="129" w:lineRule="exact"/>
              <w:rPr>
                <w:sz w:val="20"/>
                <w:szCs w:val="20"/>
                <w:color w:val="auto"/>
              </w:rPr>
            </w:pPr>
            <w:r>
              <w:rPr>
                <w:rFonts w:ascii="Arial" w:cs="Arial" w:eastAsia="Arial" w:hAnsi="Arial"/>
                <w:sz w:val="14"/>
                <w:szCs w:val="14"/>
                <w:b w:val="1"/>
                <w:bCs w:val="1"/>
                <w:color w:val="auto"/>
              </w:rPr>
              <w:t>July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(127,490)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2,983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(133,889)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(118,159)</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units outstanding</w:t>
            </w: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52,736,809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52,772,652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52,658,459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52,746,718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unit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60" w:type="dxa"/>
            <w:vAlign w:val="bottom"/>
            <w:vMerge w:val="restart"/>
          </w:tcPr>
          <w:p>
            <w:pPr>
              <w:jc w:val="right"/>
              <w:ind w:right="572"/>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restricted units issued were excluded from the computation of diluted loss per unit as they would have an anti-dilutive effect on the calculation: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74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420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0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June 29,</w:t>
            </w: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July 1,</w:t>
            </w:r>
          </w:p>
        </w:tc>
        <w:tc>
          <w:tcPr>
            <w:tcW w:w="20" w:type="dxa"/>
            <w:vAlign w:val="bottom"/>
          </w:tcPr>
          <w:p>
            <w:pPr>
              <w:spacing w:after="0"/>
              <w:rPr>
                <w:sz w:val="11"/>
                <w:szCs w:val="11"/>
                <w:color w:val="auto"/>
              </w:rPr>
            </w:pPr>
          </w:p>
        </w:tc>
      </w:tr>
      <w:tr>
        <w:trPr>
          <w:trHeight w:val="161"/>
        </w:trPr>
        <w:tc>
          <w:tcPr>
            <w:tcW w:w="42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Options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4,903,725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4,725,871</w:t>
            </w: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Restricted units</w:t>
            </w: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445,155</w:t>
            </w:r>
          </w:p>
        </w:tc>
        <w:tc>
          <w:tcPr>
            <w:tcW w:w="20" w:type="dxa"/>
            <w:vAlign w:val="bottom"/>
          </w:tcPr>
          <w:p>
            <w:pPr>
              <w:spacing w:after="0"/>
              <w:rPr>
                <w:sz w:val="18"/>
                <w:szCs w:val="18"/>
                <w:color w:val="auto"/>
              </w:rPr>
            </w:pPr>
          </w:p>
        </w:tc>
      </w:tr>
      <w:tr>
        <w:trPr>
          <w:trHeight w:val="363"/>
        </w:trPr>
        <w:tc>
          <w:tcPr>
            <w:tcW w:w="4200" w:type="dxa"/>
            <w:vAlign w:val="bottom"/>
          </w:tcPr>
          <w:p>
            <w:pPr>
              <w:spacing w:after="0"/>
              <w:rPr>
                <w:sz w:val="24"/>
                <w:szCs w:val="24"/>
                <w:color w:val="auto"/>
              </w:rPr>
            </w:pPr>
          </w:p>
        </w:tc>
        <w:tc>
          <w:tcPr>
            <w:tcW w:w="5500" w:type="dxa"/>
            <w:vAlign w:val="bottom"/>
          </w:tcPr>
          <w:p>
            <w:pPr>
              <w:jc w:val="right"/>
              <w:ind w:right="3812"/>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ind w:right="8140" w:firstLine="8"/>
        <w:spacing w:after="0" w:line="347" w:lineRule="auto"/>
        <w:tabs>
          <w:tab w:leader="none" w:pos="26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Impairment Charges </w:t>
      </w:r>
      <w:r>
        <w:rPr>
          <w:rFonts w:ascii="Arial" w:cs="Arial" w:eastAsia="Arial" w:hAnsi="Arial"/>
          <w:sz w:val="18"/>
          <w:szCs w:val="18"/>
          <w:b w:val="1"/>
          <w:bCs w:val="1"/>
          <w:i w:val="1"/>
          <w:iCs w:val="1"/>
          <w:color w:val="auto"/>
        </w:rPr>
        <w:t>Assets impairment</w:t>
      </w:r>
    </w:p>
    <w:p>
      <w:pPr>
        <w:spacing w:after="0" w:line="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During the three months ended July 1, 2007, the Company recognized impairment charges of $10,106 thousand under SFAS No. 144, </w:t>
      </w:r>
      <w:r>
        <w:rPr>
          <w:rFonts w:ascii="Arial" w:cs="Arial" w:eastAsia="Arial" w:hAnsi="Arial"/>
          <w:sz w:val="16"/>
          <w:szCs w:val="16"/>
          <w:i w:val="1"/>
          <w:iCs w:val="1"/>
          <w:color w:val="auto"/>
        </w:rPr>
        <w:t>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or Disposal of Long Lived Assets </w:t>
      </w:r>
      <w:r>
        <w:rPr>
          <w:rFonts w:ascii="Arial" w:cs="Arial" w:eastAsia="Arial" w:hAnsi="Arial"/>
          <w:sz w:val="16"/>
          <w:szCs w:val="16"/>
          <w:color w:val="auto"/>
        </w:rPr>
        <w:t>(“SFAS No. 144”). The impairment charges were recorded related to the closure of one of the Company’s five-inch</w:t>
      </w:r>
      <w:r>
        <w:rPr>
          <w:rFonts w:ascii="Arial" w:cs="Arial" w:eastAsia="Arial" w:hAnsi="Arial"/>
          <w:sz w:val="16"/>
          <w:szCs w:val="16"/>
          <w:i w:val="1"/>
          <w:iCs w:val="1"/>
          <w:color w:val="auto"/>
        </w:rPr>
        <w:t xml:space="preserve"> </w:t>
      </w:r>
      <w:r>
        <w:rPr>
          <w:rFonts w:ascii="Arial" w:cs="Arial" w:eastAsia="Arial" w:hAnsi="Arial"/>
          <w:sz w:val="16"/>
          <w:szCs w:val="16"/>
          <w:color w:val="auto"/>
        </w:rPr>
        <w:t>wafer fabrication facilities that had generated losses and no longer supported the Company’s strategic technology roadmap.</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SFAS No. 144 requires the Company to evaluate the recoverability of certain long-lived assets whenever events or changes in circumstances indicate that the carrying amount may not be recoverable. The net book value of the asset group before the impairment charges as of July 1, 2007 was approximately $10,228 thousand.</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impairment charge was measured as an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During the three months ended July 1, 2007, the Company recognized $1,978 thousand of restructuring accruals under SFAS 146, </w:t>
      </w:r>
      <w:r>
        <w:rPr>
          <w:rFonts w:ascii="Arial" w:cs="Arial" w:eastAsia="Arial" w:hAnsi="Arial"/>
          <w:sz w:val="16"/>
          <w:szCs w:val="16"/>
          <w:i w:val="1"/>
          <w:iCs w:val="1"/>
          <w:color w:val="auto"/>
        </w:rPr>
        <w:t>Accounting for Costs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Associated with Exit or Disposal Activities </w:t>
      </w:r>
      <w:r>
        <w:rPr>
          <w:rFonts w:ascii="Arial" w:cs="Arial" w:eastAsia="Arial" w:hAnsi="Arial"/>
          <w:sz w:val="16"/>
          <w:szCs w:val="16"/>
          <w:color w:val="auto"/>
        </w:rPr>
        <w:t>(“SFAS No. 146”). The restructuring charges were related to the closure of the Company’s five-inch wafer fabrication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and those charges consisted of one-time termination benefits, transfer of machinery and other associated costs. Up to the first quarter of 2008, actual payments were charged against the restructuring accruals and the Company believes the restructuring activities were substantially completed as of March 30, 2008. Accordingly, the Company reversed $875 thousand of unused restructuring accruals.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Uncertainty in Income Taxes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subsidiaries file income tax returns in Korea, Japan, Taiwan, U.S. and other various jurisdictions. The Company is subject to income tax examinations by tax authorities of these jurisdictions for all years since the beginning of its operation in October 2004.</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The Company adopted the provisions of FASB Interpretation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on January 1, 2007. As a result of the implementation of FIN No. 48, the Company recognized a $1,554 thousand of liabilities for unrecognized tax benefit, which are related to the temporary difference arising from the timing of expensing certain inventories. Such liabilities were accounted for as an increase to the January 1, 2007 balance of accumulated deficits. As of June 29, 2008 and July 1, 2007, the Company recorded $1,620 thousand and $1,625 thousand of liabilities for unrecognized tax benefits, respectively.</w:t>
      </w:r>
    </w:p>
    <w:p>
      <w:pPr>
        <w:spacing w:after="0" w:line="14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 recognizes interest and penalties accrued related to unrecognized tax benefits as income tax expenses. The Company recognized $37 thousand and $76 thousand of interest and penalties as income tax expenses for the three and six months ended June 29, 2008, respectively. And it also recognized $40 thousand and $80 thousand of interest and penalties as income tax expenses for the three and six months ended July 1, 2007, respectively. Total interest and penalties accrued as of June 29, 2008, July 1, 2007 and as of the FIN No. 48 adoption date were $696 thousand, $622 thousand and $530 thousand, respectively.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has determined, based on the nature of its operations and products offered to customers, that its reportable segments are Display Solutions, Imaging Solutions, Semiconductor Manufacturing Services and Power Solutions, The Display Solutions segment’s primary products are flat panel display drivers and the Imaging Solutions segment’s primary products are CMOS image sensors. The Semiconductor Manufacturing Service segment provides for wafer foundry services to clients. The Power Solutions segment’s primary products are MOSFETs, analog switches, DC-DC converters and linear regulators. Net sales and gross profit for the “All other” category primarily relates to certain business activities that do not constitute operating or reportable segments.</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The Company’s chief operating decision maker (“CODM”) as defined by SFAS 131, </w:t>
      </w:r>
      <w:r>
        <w:rPr>
          <w:rFonts w:ascii="Arial" w:cs="Arial" w:eastAsia="Arial" w:hAnsi="Arial"/>
          <w:sz w:val="16"/>
          <w:szCs w:val="16"/>
          <w:i w:val="1"/>
          <w:iCs w:val="1"/>
          <w:color w:val="auto"/>
        </w:rPr>
        <w:t>Disclosure about Segments of an Enterprise and Relate Information</w:t>
      </w:r>
      <w:r>
        <w:rPr>
          <w:rFonts w:ascii="Arial" w:cs="Arial" w:eastAsia="Arial" w:hAnsi="Arial"/>
          <w:sz w:val="16"/>
          <w:szCs w:val="16"/>
          <w:color w:val="auto"/>
        </w:rPr>
        <w:t>, allocates resources to and assesses the performance of each segment using information about its revenue and gross profit. The Company does not identify or allocate assets by segments, nor does the CODM evaluate operating segments using discrete asset information. In addition, the Company does not allocate operating expense, interest income or expense, other income or expense, or income tax to the segments. Management does not evaluate segments based on these criteria. The following sets forth information relating to the reportable segments: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June 29,</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5"/>
              <w:spacing w:after="0" w:line="129" w:lineRule="exact"/>
              <w:rPr>
                <w:sz w:val="20"/>
                <w:szCs w:val="20"/>
                <w:color w:val="auto"/>
              </w:rPr>
            </w:pPr>
            <w:r>
              <w:rPr>
                <w:rFonts w:ascii="Arial" w:cs="Arial" w:eastAsia="Arial" w:hAnsi="Arial"/>
                <w:sz w:val="14"/>
                <w:szCs w:val="14"/>
                <w:b w:val="1"/>
                <w:bCs w:val="1"/>
                <w:color w:val="auto"/>
                <w:w w:val="87"/>
              </w:rPr>
              <w:t>July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5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83,663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86,711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Power Solutions</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ind w:left="440"/>
              <w:spacing w:after="0"/>
              <w:rPr>
                <w:sz w:val="20"/>
                <w:szCs w:val="20"/>
                <w:color w:val="auto"/>
              </w:rPr>
            </w:pPr>
            <w:r>
              <w:rPr>
                <w:rFonts w:ascii="Arial" w:cs="Arial" w:eastAsia="Arial" w:hAnsi="Arial"/>
                <w:sz w:val="18"/>
                <w:szCs w:val="18"/>
                <w:color w:val="auto"/>
              </w:rPr>
              <w:t>All other</w:t>
            </w:r>
          </w:p>
        </w:tc>
        <w:tc>
          <w:tcPr>
            <w:tcW w:w="5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segment net sales</w:t>
            </w:r>
          </w:p>
        </w:tc>
        <w:tc>
          <w:tcPr>
            <w:tcW w:w="5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194,676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(Loss)</w:t>
            </w: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vMerge w:val="continue"/>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Display Solutions</w:t>
            </w:r>
          </w:p>
        </w:tc>
        <w:tc>
          <w:tcPr>
            <w:tcW w:w="5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Imaging Solutions</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Semiconductor Manufacturing Services</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Power Solutions</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5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880"/>
              <w:spacing w:after="0"/>
              <w:rPr>
                <w:sz w:val="20"/>
                <w:szCs w:val="20"/>
                <w:color w:val="auto"/>
              </w:rPr>
            </w:pPr>
            <w:r>
              <w:rPr>
                <w:rFonts w:ascii="Arial" w:cs="Arial" w:eastAsia="Arial" w:hAnsi="Arial"/>
                <w:sz w:val="18"/>
                <w:szCs w:val="18"/>
                <w:color w:val="auto"/>
              </w:rPr>
              <w:t>Total segment gross profit</w:t>
            </w:r>
          </w:p>
        </w:tc>
        <w:tc>
          <w:tcPr>
            <w:tcW w:w="5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49,154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June 29,</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5"/>
              <w:spacing w:after="0" w:line="129" w:lineRule="exact"/>
              <w:rPr>
                <w:sz w:val="20"/>
                <w:szCs w:val="20"/>
                <w:color w:val="auto"/>
              </w:rPr>
            </w:pPr>
            <w:r>
              <w:rPr>
                <w:rFonts w:ascii="Arial" w:cs="Arial" w:eastAsia="Arial" w:hAnsi="Arial"/>
                <w:sz w:val="14"/>
                <w:szCs w:val="14"/>
                <w:b w:val="1"/>
                <w:bCs w:val="1"/>
                <w:color w:val="auto"/>
                <w:w w:val="87"/>
              </w:rPr>
              <w:t>July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5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177,623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169,538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Power Solutions</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ind w:left="440"/>
              <w:spacing w:after="0"/>
              <w:rPr>
                <w:sz w:val="20"/>
                <w:szCs w:val="20"/>
                <w:color w:val="auto"/>
              </w:rPr>
            </w:pPr>
            <w:r>
              <w:rPr>
                <w:rFonts w:ascii="Arial" w:cs="Arial" w:eastAsia="Arial" w:hAnsi="Arial"/>
                <w:sz w:val="18"/>
                <w:szCs w:val="18"/>
                <w:color w:val="auto"/>
              </w:rPr>
              <w:t>All other</w:t>
            </w:r>
          </w:p>
        </w:tc>
        <w:tc>
          <w:tcPr>
            <w:tcW w:w="5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segment net sales</w:t>
            </w:r>
          </w:p>
        </w:tc>
        <w:tc>
          <w:tcPr>
            <w:tcW w:w="5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397,728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(Loss)</w:t>
            </w: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vMerge w:val="continue"/>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Display Solutions</w:t>
            </w:r>
          </w:p>
        </w:tc>
        <w:tc>
          <w:tcPr>
            <w:tcW w:w="5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Imaging Solutions</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Semiconductor Manufacturing Services</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Power Solutions</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5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tcPr>
          <w:p>
            <w:pPr>
              <w:ind w:left="880"/>
              <w:spacing w:after="0"/>
              <w:rPr>
                <w:sz w:val="20"/>
                <w:szCs w:val="20"/>
                <w:color w:val="auto"/>
              </w:rPr>
            </w:pPr>
            <w:r>
              <w:rPr>
                <w:rFonts w:ascii="Arial" w:cs="Arial" w:eastAsia="Arial" w:hAnsi="Arial"/>
                <w:sz w:val="18"/>
                <w:szCs w:val="18"/>
                <w:color w:val="auto"/>
              </w:rPr>
              <w:t>Total segment gross profit</w:t>
            </w:r>
          </w:p>
        </w:tc>
        <w:tc>
          <w:tcPr>
            <w:tcW w:w="5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97,020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300" w:type="dxa"/>
            <w:vAlign w:val="bottom"/>
            <w:vMerge w:val="restart"/>
          </w:tcPr>
          <w:p>
            <w:pPr>
              <w:jc w:val="right"/>
              <w:ind w:right="383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29, 2008, approximately 98% of the Company’s property, plant and equipment were located in Korea.</w:t>
      </w:r>
    </w:p>
    <w:p>
      <w:pPr>
        <w:spacing w:after="0" w:line="17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Net sales from the Company’s ten largest customers accounted for 58.9% and 63.1% for the three months ended June 29, 2008 and July 1, 2007, respectively, and 59.6% and 65.6% for the six months ended June 29, 2008 and July 1, 2007, respectively.</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recorded $45.0 million and $52.6 million of sales to one customer within the Display Solutions segment, which represents greater than 10% of net sales, for the three months ended June 29, 2008 and July 1, 2007, respectively, and $91.1 million and $95.4 million for the six months ended June 29, 2008 and July 1, 2007,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Advisory agreements were entered into as of October 6, 2004 by and between the Company and each of the advisors including Court Square Advisor,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(successor in interest to CVC Management LLC) (“Court Square”), CVC Capital Partners Asia Limited (“CVC Capital”) and Francisco Partners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(“Francisco Partners”). The Company was to pay each of Court Square and Francisco Partners an annual advisory fee the amount of which shall be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greater of $1,379,163 per annum or 0.14777% per annum of annual consolidated revenue, and is also to pay CVC Capital an annual advisory fee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shall be the greater of $741,673 per annum or 0.07946% per annum of annual consolidated revenue plus reasonable out-of-pocket expenses for an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of 10 years (subsequently extended for an additional year), subject to termination by either party upon written notice 90 days prior to the expiration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term or any extension thereof. During the year ended December 31, 2005 and the three-month period ended December 31, 2004, the Company accrued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$3,545 thousand and $890 thousand of accrued expenses under these agreements, respectively. During the year ended December 31, 2006, due to lower financial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performances, the advisors agreed to waive the advisory fee and, therefore, the Company did not accrue any expenses. Effective June 30, 2007, the parties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advisory agreements entered into that certain First Amendment to Advisory Agreement (the “Amendment”) under which all rights and obligations of the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terminate except for indemnity and liability provisions. The Amendment provides that upon a sale of the Company to an unaffiliated third party or a firmly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underwritten public offering of common equity of the Company with net proceeds of $50 million or more, the Company must pay a termination fee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advisors in the amount of all advisory fees not paid under the advisory agreements plus the net present value of all advisory fees that would have been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October 6, 2014 had the advisory agreements not been amended. The amount of the termination fee will be determined through discussions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parties to the advisory agreements, and the Company currently expects the termination fee will be approximately $9.8 million.</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has made a contingent commitment to its employees that it will pay an incentive of approximately $30 million in total. This incentive payment is subject to management’s discretion and would be distributed to all employees, other than senior management, who are employed by the Company at the closing date of the Company’s initial public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1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Below are condensed consolidating balance sheets as of June 29, 2008 and December 31, 2007, condensed consolidating statements of operations for the three months and six months ended June 29, 2008 and July 1, 2007 and condensed consolidating statement of cash flows for the six months ended June 29, 2008 and July 1, 2007 of those entities that guarantee the Senior Subordinated Notes, those that do not, MagnaChip Semiconductor LLC, and the co-issuers.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29,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Guarantors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$189,599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$102,170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(97,093)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144,768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88,675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(87,921)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19,065</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(10,579)</w:t>
            </w:r>
          </w:p>
        </w:tc>
        <w:tc>
          <w:tcPr>
            <w:tcW w:w="680" w:type="dxa"/>
            <w:vAlign w:val="bottom"/>
          </w:tcPr>
          <w:p>
            <w:pPr>
              <w:jc w:val="right"/>
              <w:spacing w:after="0"/>
              <w:rPr>
                <w:sz w:val="20"/>
                <w:szCs w:val="20"/>
                <w:color w:val="auto"/>
              </w:rPr>
            </w:pPr>
            <w:r>
              <w:rPr>
                <w:rFonts w:ascii="Arial" w:cs="Arial" w:eastAsia="Arial" w:hAnsi="Arial"/>
                <w:sz w:val="18"/>
                <w:szCs w:val="18"/>
                <w:color w:val="auto"/>
              </w:rPr>
              <w:t>1,573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(46,708)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(46,965)</w:t>
            </w:r>
          </w:p>
        </w:tc>
        <w:tc>
          <w:tcPr>
            <w:tcW w:w="0" w:type="dxa"/>
            <w:vAlign w:val="bottom"/>
          </w:tcPr>
          <w:p>
            <w:pPr>
              <w:spacing w:after="0"/>
              <w:rPr>
                <w:sz w:val="1"/>
                <w:szCs w:val="1"/>
                <w:color w:val="auto"/>
              </w:rPr>
            </w:pPr>
          </w:p>
        </w:tc>
      </w:tr>
      <w:tr>
        <w:trPr>
          <w:trHeight w:val="215"/>
        </w:trPr>
        <w:tc>
          <w:tcPr>
            <w:tcW w:w="5540" w:type="dxa"/>
            <w:vAlign w:val="bottom"/>
            <w:gridSpan w:val="2"/>
          </w:tcPr>
          <w:p>
            <w:pPr>
              <w:spacing w:after="0"/>
              <w:rPr>
                <w:sz w:val="20"/>
                <w:szCs w:val="20"/>
                <w:color w:val="auto"/>
              </w:rPr>
            </w:pPr>
            <w:r>
              <w:rPr>
                <w:rFonts w:ascii="Arial" w:cs="Arial" w:eastAsia="Arial" w:hAnsi="Arial"/>
                <w:sz w:val="18"/>
                <w:szCs w:val="18"/>
                <w:color w:val="auto"/>
                <w:w w:val="99"/>
              </w:rPr>
              <w:t>Income (loss) before income taxes, equity in earnings (loss) of related</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equity investment</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(3,191)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(57,287)</w:t>
            </w:r>
          </w:p>
        </w:tc>
        <w:tc>
          <w:tcPr>
            <w:tcW w:w="680" w:type="dxa"/>
            <w:vAlign w:val="bottom"/>
          </w:tcPr>
          <w:p>
            <w:pPr>
              <w:jc w:val="right"/>
              <w:spacing w:after="0"/>
              <w:rPr>
                <w:sz w:val="20"/>
                <w:szCs w:val="20"/>
                <w:color w:val="auto"/>
              </w:rPr>
            </w:pPr>
            <w:r>
              <w:rPr>
                <w:rFonts w:ascii="Arial" w:cs="Arial" w:eastAsia="Arial" w:hAnsi="Arial"/>
                <w:sz w:val="18"/>
                <w:szCs w:val="18"/>
                <w:color w:val="auto"/>
              </w:rPr>
              <w:t>4,295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Loss before equity in loss of related investment</w:t>
            </w: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(3,752)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(57,324)</w:t>
            </w:r>
          </w:p>
        </w:tc>
        <w:tc>
          <w:tcPr>
            <w:tcW w:w="680" w:type="dxa"/>
            <w:vAlign w:val="bottom"/>
          </w:tcPr>
          <w:p>
            <w:pPr>
              <w:jc w:val="right"/>
              <w:spacing w:after="0"/>
              <w:rPr>
                <w:sz w:val="20"/>
                <w:szCs w:val="20"/>
                <w:color w:val="auto"/>
              </w:rPr>
            </w:pPr>
            <w:r>
              <w:rPr>
                <w:rFonts w:ascii="Arial" w:cs="Arial" w:eastAsia="Arial" w:hAnsi="Arial"/>
                <w:sz w:val="18"/>
                <w:szCs w:val="18"/>
                <w:color w:val="auto"/>
              </w:rPr>
              <w:t>1,615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(59,593)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(55,963)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(59,593)</w:t>
            </w:r>
          </w:p>
        </w:tc>
        <w:tc>
          <w:tcPr>
            <w:tcW w:w="200" w:type="dxa"/>
            <w:vAlign w:val="bottom"/>
            <w:gridSpan w:val="2"/>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(59,715)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 (57,324)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(55,202)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172,241</w:t>
            </w:r>
          </w:p>
        </w:tc>
        <w:tc>
          <w:tcPr>
            <w:tcW w:w="18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(62,874)</w:t>
            </w:r>
          </w:p>
        </w:tc>
        <w:tc>
          <w:tcPr>
            <w:tcW w:w="200" w:type="dxa"/>
            <w:vAlign w:val="bottom"/>
            <w:gridSpan w:val="2"/>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(59,715)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 (57,324)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(55,202)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172,241</w:t>
            </w:r>
          </w:p>
        </w:tc>
        <w:tc>
          <w:tcPr>
            <w:tcW w:w="18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6"/>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29,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Co-Issuers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$ 382,977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$ 207,485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(192,734)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397,728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295,857</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180,445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(175,594)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300,708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87,120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34,425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73,191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(101,758)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(105,524)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before income taxes, equity in earnings (loss) of related</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(121,379)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(121,704)</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(121,460)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(127,490)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(127,277)</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(136,072)</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(120,161)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383,510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(127,817)</w:t>
            </w:r>
          </w:p>
        </w:tc>
        <w:tc>
          <w:tcPr>
            <w:tcW w:w="2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(121,460)   </w:t>
            </w:r>
            <w:r>
              <w:rPr>
                <w:rFonts w:ascii="Arial" w:cs="Arial" w:eastAsia="Arial" w:hAnsi="Arial"/>
                <w:sz w:val="18"/>
                <w:szCs w:val="18"/>
                <w:u w:val="single" w:color="auto"/>
                <w:color w:val="auto"/>
              </w:rPr>
              <w:t>$</w:t>
            </w:r>
            <w:r>
              <w:rPr>
                <w:rFonts w:ascii="Arial" w:cs="Arial" w:eastAsia="Arial" w:hAnsi="Arial"/>
                <w:sz w:val="18"/>
                <w:szCs w:val="18"/>
                <w:color w:val="auto"/>
              </w:rPr>
              <w:t>(134,729)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384,006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(127,490)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(127,817)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(121,460)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(134,729)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384,006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(133,889)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55"/>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$188,651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(74,855)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165,326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69,832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(68,859)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21,905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32,778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(42,395)</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(1,524)</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earning (loss) of related</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(43,479)</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(45,324)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(45,135)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(43,557)</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(43,079)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131,771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(45,324)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(45,352)</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(43,470)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(42,901)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131,723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(45,324)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(48,307)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(45,352)</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(43,470)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(42,901)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131,723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6"/>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Co-Issuers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$ 335,257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$ 137,099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(126,520)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345,836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301,040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117,832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(115,713)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303,159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40,707</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68,076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(86,650)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(85,319)</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(2,630)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(20,015)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(22,891)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before income taxes, equity in earnings (loss) of related</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(3,191)</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(106,665)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(108,210)</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(106,699)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(112,306)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(112,061)</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(109,002)</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(106,669)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327,732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9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3"/>
              </w:rPr>
              <w:t xml:space="preserve">(112,278)   </w:t>
            </w:r>
            <w:r>
              <w:rPr>
                <w:rFonts w:ascii="Arial" w:cs="Arial" w:eastAsia="Arial" w:hAnsi="Arial"/>
                <w:sz w:val="18"/>
                <w:szCs w:val="18"/>
                <w:u w:val="single" w:color="auto"/>
                <w:color w:val="auto"/>
                <w:w w:val="93"/>
              </w:rPr>
              <w:t>$</w:t>
            </w:r>
            <w:r>
              <w:rPr>
                <w:rFonts w:ascii="Arial" w:cs="Arial" w:eastAsia="Arial" w:hAnsi="Arial"/>
                <w:sz w:val="18"/>
                <w:szCs w:val="18"/>
                <w:color w:val="auto"/>
                <w:w w:val="93"/>
              </w:rPr>
              <w:t>(106,699)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(108,533)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327,510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(112,306)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(112,278)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(106,699)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(108,533)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327,510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(118,159)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55"/>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29,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(Parent)</w:t>
            </w: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Co-Issuers</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158,193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91,595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(100,576)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6,464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inter-company loans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270,880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241,161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(439,392)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(530,633)</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(327,318)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1,297,343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824,512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(1,460,056)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(436,003)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396,116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618,005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529,442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(462,277)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140,615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78,019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(100,576)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269,192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Long-term borrowings</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621,000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839,056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(1,460,056)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838,599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971,670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1,030,324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(1,759,307)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1,084,930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 redeemable convertible preferred units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440"/>
              <w:spacing w:after="0"/>
              <w:rPr>
                <w:sz w:val="20"/>
                <w:szCs w:val="20"/>
                <w:color w:val="auto"/>
              </w:rPr>
            </w:pPr>
            <w:r>
              <w:rPr>
                <w:rFonts w:ascii="Arial" w:cs="Arial" w:eastAsia="Arial" w:hAnsi="Arial"/>
                <w:sz w:val="18"/>
                <w:szCs w:val="18"/>
                <w:color w:val="auto"/>
              </w:rPr>
              <w:t>Series B redeemable convertible preferred units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135,804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redeemable convertible preferred units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Unitholders’ equity</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156,044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108,164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(266,274)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(698,338)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(648,598)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(613,405)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(736,128)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1,998,131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(698,338)</w:t>
            </w: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67,820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64,691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(203,815)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(575,451)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(442,483)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(353,665)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(500,882)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1,297,030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(575,451)</w:t>
            </w:r>
          </w:p>
        </w:tc>
        <w:tc>
          <w:tcPr>
            <w:tcW w:w="0" w:type="dxa"/>
            <w:vAlign w:val="bottom"/>
          </w:tcPr>
          <w:p>
            <w:pPr>
              <w:spacing w:after="0"/>
              <w:rPr>
                <w:sz w:val="1"/>
                <w:szCs w:val="1"/>
                <w:color w:val="auto"/>
              </w:rPr>
            </w:pPr>
          </w:p>
        </w:tc>
      </w:tr>
      <w:tr>
        <w:trPr>
          <w:trHeight w:val="215"/>
        </w:trPr>
        <w:tc>
          <w:tcPr>
            <w:tcW w:w="4980" w:type="dxa"/>
            <w:vAlign w:val="bottom"/>
          </w:tcPr>
          <w:p>
            <w:pPr>
              <w:ind w:left="880"/>
              <w:spacing w:after="0"/>
              <w:rPr>
                <w:sz w:val="20"/>
                <w:szCs w:val="20"/>
                <w:color w:val="auto"/>
              </w:rPr>
            </w:pPr>
            <w:r>
              <w:rPr>
                <w:rFonts w:ascii="Arial" w:cs="Arial" w:eastAsia="Arial" w:hAnsi="Arial"/>
                <w:sz w:val="18"/>
                <w:szCs w:val="18"/>
                <w:color w:val="auto"/>
                <w:w w:val="93"/>
              </w:rPr>
              <w:t>Total liabilities , redeemable convertible preferred units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080"/>
              <w:spacing w:after="0"/>
              <w:rPr>
                <w:sz w:val="20"/>
                <w:szCs w:val="20"/>
                <w:color w:val="auto"/>
              </w:rPr>
            </w:pPr>
            <w:r>
              <w:rPr>
                <w:rFonts w:ascii="Arial" w:cs="Arial" w:eastAsia="Arial" w:hAnsi="Arial"/>
                <w:sz w:val="18"/>
                <w:szCs w:val="18"/>
                <w:color w:val="auto"/>
              </w:rPr>
              <w:t>and unitholder’s equity</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(436,003)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396,116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618,005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529,442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(462,277)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645,283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Co-Issuers</w:t>
            </w:r>
          </w:p>
        </w:tc>
        <w:tc>
          <w:tcPr>
            <w:tcW w:w="12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131,101</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71,930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5,846</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inter-company loan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9,309</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242,487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150,136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275,997</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86,571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(348,345)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(431,611)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(243,130)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1,023,086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809,754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634,837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(1,444,591)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(347,053)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483,042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643,921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573,666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(645,693)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101,056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64,389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(75,468)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40,381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16,412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211,563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132,167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621,000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823,591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(1,444,591)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73,700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833,897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911,130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977,853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(1,667,944)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1,055,957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 redeemable convertible preferred units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Series B redeemable convertible preferred unites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129,405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39,005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155,888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107,946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(265,733)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(520,781)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(491,945)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(601,399)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1,614,125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(564,449)</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31,049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29,843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(350,855)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(267,209)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(404,187)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1,022,251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(477,479)</w:t>
            </w:r>
          </w:p>
        </w:tc>
        <w:tc>
          <w:tcPr>
            <w:tcW w:w="0" w:type="dxa"/>
            <w:vAlign w:val="bottom"/>
          </w:tcPr>
          <w:p>
            <w:pPr>
              <w:spacing w:after="0"/>
              <w:rPr>
                <w:sz w:val="1"/>
                <w:szCs w:val="1"/>
                <w:color w:val="auto"/>
              </w:rPr>
            </w:pPr>
          </w:p>
        </w:tc>
      </w:tr>
      <w:tr>
        <w:trPr>
          <w:trHeight w:val="215"/>
        </w:trPr>
        <w:tc>
          <w:tcPr>
            <w:tcW w:w="5200" w:type="dxa"/>
            <w:vAlign w:val="bottom"/>
          </w:tcPr>
          <w:p>
            <w:pPr>
              <w:ind w:left="880"/>
              <w:spacing w:after="0"/>
              <w:rPr>
                <w:sz w:val="20"/>
                <w:szCs w:val="20"/>
                <w:color w:val="auto"/>
              </w:rPr>
            </w:pPr>
            <w:r>
              <w:rPr>
                <w:rFonts w:ascii="Arial" w:cs="Arial" w:eastAsia="Arial" w:hAnsi="Arial"/>
                <w:sz w:val="18"/>
                <w:szCs w:val="18"/>
                <w:color w:val="auto"/>
                <w:w w:val="99"/>
              </w:rPr>
              <w:t>Total liabilities, redeemable convertible preferred units</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1080"/>
              <w:spacing w:after="0"/>
              <w:rPr>
                <w:sz w:val="20"/>
                <w:szCs w:val="20"/>
                <w:color w:val="auto"/>
              </w:rPr>
            </w:pPr>
            <w:r>
              <w:rPr>
                <w:rFonts w:ascii="Arial" w:cs="Arial" w:eastAsia="Arial" w:hAnsi="Arial"/>
                <w:sz w:val="18"/>
                <w:szCs w:val="18"/>
                <w:color w:val="auto"/>
              </w:rPr>
              <w:t>and unitholders’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(347,053)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483,042</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643,921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573,666</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(645,693)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29,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Co-Issuers</w:t>
            </w:r>
          </w:p>
        </w:tc>
        <w:tc>
          <w:tcPr>
            <w:tcW w:w="12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(127,490)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(127,817)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(121,460)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(134,729)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384,006</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(127,490)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40,040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(14,758)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Loss (gain) on disposal of property, plant and equipment, net</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(3,472)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127,277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136,072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120,161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(383,510)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(40,986)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(21,060)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44,254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399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Payment for intellectal property registration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property, plant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(30,085)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(17,935)</w:t>
            </w: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Repayment of short-term borrowings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(150,000)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(260,000)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(25,875)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(27,842)</w:t>
            </w: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163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End of the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238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5,373</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27,443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3,449</w:t>
            </w:r>
          </w:p>
        </w:tc>
        <w:tc>
          <w:tcPr>
            <w:tcW w:w="16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Co-Issuers</w:t>
            </w:r>
          </w:p>
        </w:tc>
        <w:tc>
          <w:tcPr>
            <w:tcW w:w="12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(112,306)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(112,278)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(106,699)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(108,533)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327,510</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(112,306)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87,890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Impairment charges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112,061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109,002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(327,732)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(33,036)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(19,630)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(6,247)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24,099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(10,740)</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152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(38,398)</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(23,176)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for intellectual property registration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(22,502)</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(21,818)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40,194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(41,112)</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79"/>
              </w:rPr>
              <w:t>321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892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72,608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 forward-looking statements within the meaning of the federal securities laws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and the “Risk Factors” and elsewhere in this report.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Korea-based designer and manufacturer of analog and mixed-signal semiconductor products for high volume consumer applications, such as mobile phones, digital televisions, flat panel displays, notebook computers, mobile multimedia devices and digital cameras. 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 We offer semiconductor manufacturing services to providers of analog and mixed-signal semiconductors that require differentiated, specialty process technologies such as high voltage CMOS, embedded memory and power management.</w:t>
      </w:r>
    </w:p>
    <w:p>
      <w:pPr>
        <w:spacing w:after="0" w:line="12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variety of analog and mixed-signal semiconductor products and services we offer is based on a technology platform and strategy that allows us to address multiple end markets and to develop and introduce new products quickly. We believe that our manufacturing integration and broad intellectual property enable us to respond quickly to our consumer electronics and semiconductor customers’ needs. To maintain and increase our profitability, we must forecast trends in consumer product demand and invest in relevant research and development activities and in appropriate capital equipment. We expect to maintain or increase our expenditures on research and development in future periods to establish our position as a leading provider of semiconductor products and services in the segments in which we compete.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semiconductor markets in which we compete are characterized by the use of advanced production technology and rapid technological advances. The prices of our products tend to decrease regularly over their useful lives, and such price decreases can be significant as new generations of products are introduced. We manage our pricing, production and product development activities so as to benefit from, or at least mitigate any adverse impact of, declining market prices for our products. For example, in some periods we are able to offset the impact of declining selling prices for existing products through the introduction of new products that command selling prices above the average selling price of our existing products. In addition, we seek to manage our inventories and manufacturing capacity so as to preclude losses from inevitable product and productive capacity obsolescence.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Demand for our products and services is driven primarily by overall demand for the consumer end products in which our products are used and, consequently, can be adversely affected by periods of weak consumer spending in developed countries. Nonetheless, the consumer electronics market is large and rapidly growing, driven by consumers seeking to enjoy rich media content, such as digital and high definition audio and video, mobile television, games and digital photography. As a company, we seek to address market segments with higher growth rates than the overall consumer electronics industry. In recent years, we have experienced increasing demand from OEMs and consumers in developing countries such as China and India, and we expect to derive a substantial portion of our growth in the next decade from growing demand in such markets. We also expect that new competitors will emerge in these markets that may place increased pressure on the pricing for our products and services, but we believe that the competitive offerings will be, at least initially, of lower quality than the products and services that we offer, and that the impact from the increased competition will be more than offset by demand arising from such markets. Further, we believe we are well-positioned geographically to capture this demand, with our Korea-based operations.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Within particular operating segments and products, net sales are driven by “design wins” in which we or another company is selected by an electronics OEM or other potential customer to supply its demand of a particular product. These competitions typically determine the semiconductor supplier for the life of a particular end product and specify in many cases the production volume and pricing of a particular semiconductor product throughout the life of the end product. In any given period, our net sales depend heavily upon the end-market demand for the goods in which our products are used and the inventory levels maintained by our customers.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products and services require investments in capital equipment. We focus on specialty technologies, however, that do not require investments in leading edge manufacturing equipment, and as a result, our business tends not to be as subject to the pronounced boom and bust cycles characteristic of other semiconductor markets, in which the introduction of substantial, high-fixed cost capacity can cause product prices to plunge dramatically. In general, we seek to invest in manufacturing capacity that can be used for multiple high-value applications over an extended period of time. We believe this capital investment strategy enables us to optimize our capital investments and facilitates deeper and more diversified product and service offerings.</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step function change in the technology necessary to deliver our products and services. We believe that our established relationships and close collaboration with leading customers, such as LG Display (formerly LG.Philips LCD), Sharp, and Samsung, enhance our visibility into new product opportunities, market and technology trends and improve our ability to meet these challenges successfully.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report in four separate business segments because we derive our revenues from four principal business lines: Display Solutions, Imaging Solutions, Semiconductor Manufacturing Services, and Power Solutions. We have identified these segments based on how we allocate resources and assess our performance.</w:t>
      </w:r>
    </w:p>
    <w:p>
      <w:pPr>
        <w:spacing w:after="0" w:line="59" w:lineRule="exact"/>
        <w:rPr>
          <w:sz w:val="20"/>
          <w:szCs w:val="20"/>
          <w:color w:val="auto"/>
        </w:rPr>
      </w:pPr>
    </w:p>
    <w:p>
      <w:pPr>
        <w:ind w:left="900" w:right="28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Our Display Solutions segment offers flat panel display drivers for a wide range of small to large panel displays used in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televisions, mobile phones, LCD monitors, notebook computers and mobile multimedia devices, such as handheld games. Our products cover a broad range of interfaces, packages and technologies, including AMOLED, LTPS and TFT technologies.</w:t>
      </w:r>
    </w:p>
    <w:p>
      <w:pPr>
        <w:spacing w:after="0" w:line="25" w:lineRule="exact"/>
        <w:rPr>
          <w:rFonts w:ascii="Arial" w:cs="Arial" w:eastAsia="Arial" w:hAnsi="Arial"/>
          <w:sz w:val="16"/>
          <w:szCs w:val="16"/>
          <w:color w:val="auto"/>
        </w:rPr>
      </w:pPr>
    </w:p>
    <w:p>
      <w:pPr>
        <w:ind w:left="900" w:right="28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Our Imaging Solutions segment covers a broad spectrum of videographics array, or VGA; 1.3, 2.1 and 3.2 megapixel, or MP;</w:t>
      </w:r>
      <w:r>
        <w:rPr>
          <w:rFonts w:ascii="Arial" w:cs="Arial" w:eastAsia="Arial" w:hAnsi="Arial"/>
          <w:sz w:val="16"/>
          <w:szCs w:val="16"/>
          <w:i w:val="1"/>
          <w:iCs w:val="1"/>
          <w:color w:val="auto"/>
        </w:rPr>
        <w:t xml:space="preserve"> </w:t>
      </w:r>
      <w:r>
        <w:rPr>
          <w:rFonts w:ascii="Arial" w:cs="Arial" w:eastAsia="Arial" w:hAnsi="Arial"/>
          <w:sz w:val="16"/>
          <w:szCs w:val="16"/>
          <w:color w:val="auto"/>
        </w:rPr>
        <w:t>CMOS image sensors for large and rapidly growing camera-equipped applications, such as mobile handsets, PCs, digital cameras, notebook computers and security cameras. Our image sensors are designed to provide brighter, sharper and more colorful image quality for use primarily in applications that require a small form factor, low power consumption and high sensitivity in a variety of light conditions.</w:t>
      </w:r>
    </w:p>
    <w:p>
      <w:pPr>
        <w:spacing w:after="0" w:line="31" w:lineRule="exact"/>
        <w:rPr>
          <w:rFonts w:ascii="Arial" w:cs="Arial" w:eastAsia="Arial" w:hAnsi="Arial"/>
          <w:sz w:val="16"/>
          <w:szCs w:val="16"/>
          <w:color w:val="auto"/>
        </w:rPr>
      </w:pPr>
    </w:p>
    <w:p>
      <w:pPr>
        <w:ind w:left="900" w:right="60" w:hanging="325"/>
        <w:spacing w:after="0" w:line="28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Our Semiconductor Manufacturing Services segment manufactures wafers for analog and mixed-signal</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companies based on their designs. The activities conducted within this segment are, in substance, identical to those conducted in our Display Solution and Imaging Solution businesses. The only difference is that, in the Semiconductor Manufacturing Services segment, the product designs originate from our customers. The customers provide us with their designs, and we manufacture and sell the products to the customers based upon such designs. We offer over 180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offering is targeted at customers who require differentiated, specialty analog and mixed-signal process technologies such as high voltage CMOS, embedded memory and power. These customers typically serve high growth and high volume applications in the consumer, computing, wireless and industrial end markets.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Power Solutions: </w:t>
      </w:r>
      <w:r>
        <w:rPr>
          <w:rFonts w:ascii="Arial" w:cs="Arial" w:eastAsia="Arial" w:hAnsi="Arial"/>
          <w:sz w:val="16"/>
          <w:szCs w:val="16"/>
          <w:color w:val="auto"/>
        </w:rPr>
        <w:t>Our Power Solutions segment produces MOSFETs, analog switches, DC-DC converters and linear regulators, such as LDOs. Our</w:t>
      </w:r>
      <w:r>
        <w:rPr>
          <w:rFonts w:ascii="Arial" w:cs="Arial" w:eastAsia="Arial" w:hAnsi="Arial"/>
          <w:sz w:val="16"/>
          <w:szCs w:val="16"/>
          <w:i w:val="1"/>
          <w:iCs w:val="1"/>
          <w:color w:val="auto"/>
        </w:rPr>
        <w:t xml:space="preserve"> </w:t>
      </w:r>
      <w:r>
        <w:rPr>
          <w:rFonts w:ascii="Arial" w:cs="Arial" w:eastAsia="Arial" w:hAnsi="Arial"/>
          <w:sz w:val="16"/>
          <w:szCs w:val="16"/>
          <w:color w:val="auto"/>
        </w:rPr>
        <w:t>power solutions products are designed for applications such as mobile phones, LCD televisions, and desktop computers, and allow electronics manufacturers to achieve specific design goals of high efficiency and low standby power consumption. Going forward, we expect to expand our power management product portfolio through the addition, for example, of more advanced DC-DC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consolidated results of operations for the three months ended June 29, 2008 and July 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720" w:type="dxa"/>
            <w:vAlign w:val="bottom"/>
            <w:gridSpan w:val="9"/>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72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7"/>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June 29,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center"/>
              <w:ind w:left="276"/>
              <w:spacing w:after="0" w:line="149" w:lineRule="exact"/>
              <w:rPr>
                <w:sz w:val="20"/>
                <w:szCs w:val="20"/>
                <w:color w:val="auto"/>
              </w:rPr>
            </w:pPr>
            <w:r>
              <w:rPr>
                <w:rFonts w:ascii="Arial" w:cs="Arial" w:eastAsia="Arial" w:hAnsi="Arial"/>
                <w:sz w:val="14"/>
                <w:szCs w:val="14"/>
                <w:b w:val="1"/>
                <w:bCs w:val="1"/>
                <w:color w:val="auto"/>
                <w:w w:val="87"/>
              </w:rPr>
              <w:t>July 1,</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66"/>
              <w:spacing w:after="0" w:line="12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8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3"/>
              </w:rPr>
              <w:t>net sales</w:t>
            </w:r>
          </w:p>
        </w:tc>
        <w:tc>
          <w:tcPr>
            <w:tcW w:w="28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0"/>
              </w:rPr>
              <w:t>net sales</w:t>
            </w:r>
          </w:p>
        </w:tc>
        <w:tc>
          <w:tcPr>
            <w:tcW w:w="1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ind w:left="2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i w:val="1"/>
                <w:iCs w:val="1"/>
                <w:color w:val="auto"/>
                <w:w w:val="80"/>
              </w:rPr>
              <w:t>millions;</w:t>
            </w:r>
          </w:p>
        </w:tc>
        <w:tc>
          <w:tcPr>
            <w:tcW w:w="3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i w:val="1"/>
                <w:iCs w:val="1"/>
                <w:color w:val="auto"/>
                <w:w w:val="81"/>
              </w:rPr>
              <w:t>%)</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$ 194.7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$ 194.1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 of sales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166.3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85.7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25.5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8"/>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6"/>
              </w:rPr>
              <w:t>(9.4)</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4"/>
              </w:rPr>
              <w:t>(42.4)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expense, net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74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(45.0)</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vMerge w:val="restart"/>
          </w:tcPr>
          <w:p>
            <w:pPr>
              <w:jc w:val="right"/>
              <w:ind w:right="30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gridSpan w:val="2"/>
            <w:vMerge w:val="continue"/>
          </w:tcPr>
          <w:p>
            <w:pPr>
              <w:spacing w:after="0"/>
              <w:rPr>
                <w:sz w:val="19"/>
                <w:szCs w:val="19"/>
                <w:color w:val="auto"/>
              </w:rPr>
            </w:pPr>
          </w:p>
        </w:tc>
        <w:tc>
          <w:tcPr>
            <w:tcW w:w="740" w:type="dxa"/>
            <w:vAlign w:val="bottom"/>
            <w:gridSpan w:val="4"/>
          </w:tcPr>
          <w:p>
            <w:pPr>
              <w:jc w:val="right"/>
              <w:ind w:right="92"/>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(43.5)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4"/>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4"/>
          </w:tcPr>
          <w:p>
            <w:pPr>
              <w:jc w:val="right"/>
              <w:ind w:right="92"/>
              <w:spacing w:after="0"/>
              <w:rPr>
                <w:sz w:val="20"/>
                <w:szCs w:val="20"/>
                <w:color w:val="auto"/>
              </w:rPr>
            </w:pPr>
            <w:r>
              <w:rPr>
                <w:rFonts w:ascii="Arial" w:cs="Arial" w:eastAsia="Arial" w:hAnsi="Arial"/>
                <w:sz w:val="18"/>
                <w:szCs w:val="18"/>
                <w:color w:val="auto"/>
                <w:w w:val="90"/>
              </w:rPr>
              <w:t>$ (59.6)</w:t>
            </w:r>
          </w:p>
        </w:tc>
        <w:tc>
          <w:tcPr>
            <w:tcW w:w="140" w:type="dxa"/>
            <w:vAlign w:val="bottom"/>
          </w:tcPr>
          <w:p>
            <w:pPr>
              <w:spacing w:after="0"/>
              <w:rPr>
                <w:sz w:val="19"/>
                <w:szCs w:val="19"/>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(30.6)%</w:t>
            </w:r>
          </w:p>
        </w:tc>
        <w:tc>
          <w:tcPr>
            <w:tcW w:w="880" w:type="dxa"/>
            <w:vAlign w:val="bottom"/>
            <w:gridSpan w:val="4"/>
          </w:tcPr>
          <w:p>
            <w:pPr>
              <w:jc w:val="right"/>
              <w:ind w:right="12"/>
              <w:spacing w:after="0"/>
              <w:rPr>
                <w:sz w:val="20"/>
                <w:szCs w:val="20"/>
                <w:color w:val="auto"/>
              </w:rPr>
            </w:pPr>
            <w:r>
              <w:rPr>
                <w:rFonts w:ascii="Arial" w:cs="Arial" w:eastAsia="Arial" w:hAnsi="Arial"/>
                <w:sz w:val="18"/>
                <w:szCs w:val="18"/>
                <w:color w:val="auto"/>
              </w:rPr>
              <w:t>$ (45.3)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(23.4)%</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 (14.3)</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85"/>
              </w:rPr>
              <w:t>Three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June 29,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7"/>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July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center"/>
              <w:ind w:left="396"/>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ind w:left="80"/>
              <w:spacing w:after="0" w:line="142" w:lineRule="exact"/>
              <w:rPr>
                <w:sz w:val="20"/>
                <w:szCs w:val="20"/>
                <w:color w:val="auto"/>
              </w:rPr>
            </w:pPr>
            <w:r>
              <w:rPr>
                <w:rFonts w:ascii="Arial" w:cs="Arial" w:eastAsia="Arial" w:hAnsi="Arial"/>
                <w:sz w:val="14"/>
                <w:szCs w:val="14"/>
                <w:b w:val="1"/>
                <w:bCs w:val="1"/>
                <w:i w:val="1"/>
                <w:iCs w:val="1"/>
                <w:color w:val="auto"/>
                <w:w w:val="93"/>
              </w:rPr>
              <w:t>(in</w:t>
            </w:r>
          </w:p>
        </w:tc>
        <w:tc>
          <w:tcPr>
            <w:tcW w:w="840" w:type="dxa"/>
            <w:vAlign w:val="bottom"/>
            <w:gridSpan w:val="5"/>
          </w:tcPr>
          <w:p>
            <w:pPr>
              <w:spacing w:after="0" w:line="142" w:lineRule="exact"/>
              <w:rPr>
                <w:sz w:val="20"/>
                <w:szCs w:val="20"/>
                <w:color w:val="auto"/>
              </w:rPr>
            </w:pPr>
            <w:r>
              <w:rPr>
                <w:rFonts w:ascii="Arial" w:cs="Arial" w:eastAsia="Arial" w:hAnsi="Arial"/>
                <w:sz w:val="14"/>
                <w:szCs w:val="14"/>
                <w:b w:val="1"/>
                <w:bCs w:val="1"/>
                <w:i w:val="1"/>
                <w:iCs w:val="1"/>
                <w:color w:val="auto"/>
              </w:rPr>
              <w:t>millions; %)</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Imaging Solutions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880" w:type="dxa"/>
            <w:vAlign w:val="bottom"/>
            <w:gridSpan w:val="4"/>
          </w:tcPr>
          <w:p>
            <w:pPr>
              <w:jc w:val="right"/>
              <w:ind w:right="30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75.1</w:t>
            </w: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Power Solutions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140" w:type="dxa"/>
            <w:vAlign w:val="bottom"/>
          </w:tcPr>
          <w:p>
            <w:pPr>
              <w:spacing w:after="0"/>
              <w:rPr>
                <w:sz w:val="19"/>
                <w:szCs w:val="19"/>
                <w:color w:val="auto"/>
              </w:rPr>
            </w:pPr>
          </w:p>
        </w:tc>
        <w:tc>
          <w:tcPr>
            <w:tcW w:w="840" w:type="dxa"/>
            <w:vAlign w:val="bottom"/>
            <w:gridSpan w:val="4"/>
            <w:vMerge w:val="continue"/>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19"/>
                <w:szCs w:val="19"/>
                <w:color w:val="auto"/>
              </w:rPr>
            </w:pPr>
          </w:p>
        </w:tc>
        <w:tc>
          <w:tcPr>
            <w:tcW w:w="880" w:type="dxa"/>
            <w:vAlign w:val="bottom"/>
            <w:gridSpan w:val="4"/>
            <w:vMerge w:val="continue"/>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derive a majority of our net sales from four operating segments: Display Solutions, Imaging Solutions, Semiconductor Manufacturing Services and Power Solutions. The “All other” category represents certain business activities other than these business segments, principally composed of rental and unit processing.</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Total net sales for the three months ended June 29, 2008 increased $0.6 million, or 0.3% compared to the three months ended July 1, 2007. Net sales generated in the four operating segments during the current quarter were $193.4 million, an increase of $15.8 million or 8.9% from the net sales of the three operating segments from which we earned revenues for the prior-year quarter. We achieved this result even though demand was lower than expected as our customers tightened their inventory control due to the current uncertain economic environment. Importantly, we continued to add new accounts and to offer new products and services that we expect to contribute to revenue growth in future quarters.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three months ended June 29, 2008 were $83.7 million, a $1.5 million or 1.7% decrease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$85.1 million for the three months ended July 1, 2007. The decrease resulted from a 12.0% decrease in average selling prices, primarily from display driver products for LCD televisions and PC monitors, coupled with a 5.1% sales volume decrease. We expect that strong demand for display driver interfaces that manage power consumption efficiently as well as for high-resolution and feature-rich display drivers will contribute positively to the results of our Display Solutions segment in future quarters.</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Net sales from Imaging Solutions increased $3.5 million in the current quarter, or 20.2% compared to net sales generated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quarter. This increase resulted from a 39.2% sales volume increase mainly driven by small form factor VGA products, and was partially offset by a 13.4% decrease in average selling prices.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second quarter of 2008 were $86.7 million, an $11.6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15.5% increase compared to net sales of $75.1 million for the prior year quarter. This increase was primarily due to a 19.7% sales volume increase and was partially offset by a 5.5% decrease in average selling prices. We expect the results for our Semiconductor Manufacturing Services segment to remain stable or grow in the remainder of 2008.</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Power Solutions. </w:t>
      </w:r>
      <w:r>
        <w:rPr>
          <w:rFonts w:ascii="Arial" w:cs="Arial" w:eastAsia="Arial" w:hAnsi="Arial"/>
          <w:sz w:val="18"/>
          <w:szCs w:val="18"/>
          <w:color w:val="auto"/>
        </w:rPr>
        <w:t>Net sales from Power Solutions for the second quarter of 2008 were $2.1 million. We shipped our first products and recorded our first</w:t>
      </w:r>
      <w:r>
        <w:rPr>
          <w:rFonts w:ascii="Arial" w:cs="Arial" w:eastAsia="Arial" w:hAnsi="Arial"/>
          <w:sz w:val="18"/>
          <w:szCs w:val="18"/>
          <w:i w:val="1"/>
          <w:iCs w:val="1"/>
          <w:color w:val="auto"/>
        </w:rPr>
        <w:t xml:space="preserve"> </w:t>
      </w:r>
      <w:r>
        <w:rPr>
          <w:rFonts w:ascii="Arial" w:cs="Arial" w:eastAsia="Arial" w:hAnsi="Arial"/>
          <w:sz w:val="18"/>
          <w:szCs w:val="18"/>
          <w:color w:val="auto"/>
        </w:rPr>
        <w:t>sales revenue in the quarter. We have built our new product pipeline with the launch of our 30V and 40V MOSFET series and development of LDO and USB solutions. We expect revenues from our Power Solutions segment to grow in the remainder of 2008.</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Net sales from All other for the three months ended June 29, 2008 were $1.3 million compared to $16.5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July 1, 2007. This decrease of $15.2 million was primarily due to a $14.9 million decrease in unit processing services rendered to Hynix as Hynix increased its internal capacity. We rendered no unit processing services to Hynix during the three months ended June 29,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the three months ended June 29, 2008 and July 1, 2007,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8"/>
          </w:tcPr>
          <w:p>
            <w:pPr>
              <w:jc w:val="center"/>
              <w:ind w:right="398"/>
              <w:spacing w:after="0"/>
              <w:rPr>
                <w:sz w:val="20"/>
                <w:szCs w:val="20"/>
                <w:color w:val="auto"/>
              </w:rPr>
            </w:pPr>
            <w:r>
              <w:rPr>
                <w:rFonts w:ascii="Arial" w:cs="Arial" w:eastAsia="Arial" w:hAnsi="Arial"/>
                <w:sz w:val="14"/>
                <w:szCs w:val="14"/>
                <w:b w:val="1"/>
                <w:bCs w:val="1"/>
                <w:color w:val="auto"/>
                <w:w w:val="85"/>
              </w:rPr>
              <w:t>Three months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center"/>
              <w:ind w:left="112"/>
              <w:spacing w:after="0"/>
              <w:rPr>
                <w:sz w:val="20"/>
                <w:szCs w:val="20"/>
                <w:color w:val="auto"/>
              </w:rPr>
            </w:pPr>
            <w:r>
              <w:rPr>
                <w:rFonts w:ascii="Arial" w:cs="Arial" w:eastAsia="Arial" w:hAnsi="Arial"/>
                <w:sz w:val="14"/>
                <w:szCs w:val="14"/>
                <w:b w:val="1"/>
                <w:bCs w:val="1"/>
                <w:color w:val="auto"/>
                <w:w w:val="85"/>
              </w:rPr>
              <w:t>June 29, 2008</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center"/>
              <w:ind w:left="228"/>
              <w:spacing w:after="0"/>
              <w:rPr>
                <w:sz w:val="20"/>
                <w:szCs w:val="20"/>
                <w:color w:val="auto"/>
              </w:rPr>
            </w:pPr>
            <w:r>
              <w:rPr>
                <w:rFonts w:ascii="Arial" w:cs="Arial" w:eastAsia="Arial" w:hAnsi="Arial"/>
                <w:sz w:val="14"/>
                <w:szCs w:val="14"/>
                <w:b w:val="1"/>
                <w:bCs w:val="1"/>
                <w:color w:val="auto"/>
                <w:w w:val="86"/>
              </w:rPr>
              <w:t>July 1, 2007</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86"/>
              </w:rPr>
              <w:t>Amount</w:t>
            </w: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 of Total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46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w w:val="76"/>
              </w:rPr>
              <w:t>millions;</w:t>
            </w:r>
          </w:p>
        </w:tc>
        <w:tc>
          <w:tcPr>
            <w:tcW w:w="500" w:type="dxa"/>
            <w:vAlign w:val="bottom"/>
            <w:tcBorders>
              <w:top w:val="single" w:sz="8" w:color="auto"/>
            </w:tcBorders>
            <w:gridSpan w:val="2"/>
          </w:tcPr>
          <w:p>
            <w:pPr>
              <w:jc w:val="right"/>
              <w:ind w:right="228"/>
              <w:spacing w:after="0" w:line="142" w:lineRule="exact"/>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$ 117.4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60.5%</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Asia Pacific</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6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194.1</w:t>
            </w:r>
          </w:p>
        </w:tc>
        <w:tc>
          <w:tcPr>
            <w:tcW w:w="22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5"/>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June 29, 2008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7"/>
          </w:tcPr>
          <w:p>
            <w:pPr>
              <w:spacing w:after="0"/>
              <w:rPr>
                <w:sz w:val="20"/>
                <w:szCs w:val="20"/>
                <w:color w:val="auto"/>
              </w:rPr>
            </w:pPr>
            <w:r>
              <w:rPr>
                <w:rFonts w:ascii="Arial" w:cs="Arial" w:eastAsia="Arial" w:hAnsi="Arial"/>
                <w:sz w:val="14"/>
                <w:szCs w:val="14"/>
                <w:b w:val="1"/>
                <w:bCs w:val="1"/>
                <w:color w:val="auto"/>
              </w:rPr>
              <w:t>July 1, 2007</w:t>
            </w:r>
          </w:p>
        </w:tc>
        <w:tc>
          <w:tcPr>
            <w:tcW w:w="200" w:type="dxa"/>
            <w:vAlign w:val="bottom"/>
          </w:tcPr>
          <w:p>
            <w:pPr>
              <w:spacing w:after="0"/>
              <w:rPr>
                <w:sz w:val="14"/>
                <w:szCs w:val="14"/>
                <w:color w:val="auto"/>
              </w:rPr>
            </w:pPr>
          </w:p>
        </w:tc>
        <w:tc>
          <w:tcPr>
            <w:tcW w:w="5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7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0"/>
              </w:rPr>
              <w:t>net sales</w:t>
            </w:r>
          </w:p>
        </w:tc>
        <w:tc>
          <w:tcPr>
            <w:tcW w:w="260" w:type="dxa"/>
            <w:vAlign w:val="bottom"/>
          </w:tcPr>
          <w:p>
            <w:pPr>
              <w:spacing w:after="0"/>
              <w:rPr>
                <w:sz w:val="14"/>
                <w:szCs w:val="14"/>
                <w:color w:val="auto"/>
              </w:rPr>
            </w:pPr>
          </w:p>
        </w:tc>
        <w:tc>
          <w:tcPr>
            <w:tcW w:w="740" w:type="dxa"/>
            <w:vAlign w:val="bottom"/>
            <w:gridSpan w:val="4"/>
          </w:tcPr>
          <w:p>
            <w:pPr>
              <w:jc w:val="right"/>
              <w:ind w:right="178"/>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net sales</w:t>
            </w:r>
          </w:p>
        </w:tc>
        <w:tc>
          <w:tcPr>
            <w:tcW w:w="20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6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i w:val="1"/>
                <w:iCs w:val="1"/>
                <w:color w:val="auto"/>
                <w:w w:val="90"/>
              </w:rPr>
              <w:t>millions;</w:t>
            </w:r>
          </w:p>
        </w:tc>
        <w:tc>
          <w:tcPr>
            <w:tcW w:w="200" w:type="dxa"/>
            <w:vAlign w:val="bottom"/>
          </w:tcPr>
          <w:p>
            <w:pPr>
              <w:jc w:val="right"/>
              <w:spacing w:after="0"/>
              <w:rPr>
                <w:sz w:val="20"/>
                <w:szCs w:val="20"/>
                <w:color w:val="auto"/>
              </w:rPr>
            </w:pPr>
            <w:r>
              <w:rPr>
                <w:rFonts w:ascii="Arial" w:cs="Arial" w:eastAsia="Arial" w:hAnsi="Arial"/>
                <w:sz w:val="12"/>
                <w:szCs w:val="12"/>
                <w:b w:val="1"/>
                <w:bCs w:val="1"/>
                <w:i w:val="1"/>
                <w:iCs w:val="1"/>
                <w:color w:val="auto"/>
                <w:w w:val="81"/>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8.1</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Imaging Solutions</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38"/>
              <w:spacing w:after="0"/>
              <w:rPr>
                <w:sz w:val="20"/>
                <w:szCs w:val="20"/>
                <w:color w:val="auto"/>
              </w:rPr>
            </w:pPr>
            <w:r>
              <w:rPr>
                <w:rFonts w:ascii="Arial" w:cs="Arial" w:eastAsia="Arial" w:hAnsi="Arial"/>
                <w:sz w:val="18"/>
                <w:szCs w:val="18"/>
                <w:color w:val="auto"/>
              </w:rPr>
              <w:t>1.3</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11.7</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Power Solutions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1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6.6</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5"/>
            <w:vMerge w:val="restart"/>
          </w:tcPr>
          <w:p>
            <w:pPr>
              <w:jc w:val="right"/>
              <w:ind w:right="8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9"/>
                <w:szCs w:val="19"/>
                <w:color w:val="auto"/>
              </w:rPr>
            </w:pPr>
          </w:p>
        </w:tc>
        <w:tc>
          <w:tcPr>
            <w:tcW w:w="820" w:type="dxa"/>
            <w:vAlign w:val="bottom"/>
            <w:gridSpan w:val="4"/>
            <w:vMerge w:val="continue"/>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38"/>
              <w:spacing w:after="0"/>
              <w:rPr>
                <w:sz w:val="20"/>
                <w:szCs w:val="20"/>
                <w:color w:val="auto"/>
              </w:rPr>
            </w:pPr>
            <w:r>
              <w:rPr>
                <w:rFonts w:ascii="Arial" w:cs="Arial" w:eastAsia="Arial" w:hAnsi="Arial"/>
                <w:sz w:val="18"/>
                <w:szCs w:val="18"/>
                <w:color w:val="auto"/>
              </w:rPr>
              <w:t>27.8</w:t>
            </w:r>
          </w:p>
        </w:tc>
        <w:tc>
          <w:tcPr>
            <w:tcW w:w="900" w:type="dxa"/>
            <w:vAlign w:val="bottom"/>
            <w:gridSpan w:val="5"/>
            <w:vMerge w:val="continue"/>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Total gross profit increased $21.4 million in the second quarter of 2008, or 77.1%, compared to the gross profit generated in the prior-year quarter. Gross profit percentage for the current quarter was 25.2% of net sales, an increase of 10.9% from 14.3% for the prior-year quarter. This increase in gross profit percentage was primarily attributable to an overall decrease in unit costs due to an increase in overall production volume and a decrease in depreciation expense. We expect our gross profit to benefit in the next several quarters from the sale of inventory reflecting our reduced cost structure as well as due to increased capacity utilization.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Gross profit percentage for Display Solutions for the three months ended June 29, 2008 improved to 22.8% compared to 9.6%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July 1, 2007 due to a decrease in unit costs that resulted from an increase in overall production volume.</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Gross profit percentage for Imaging Solutions decreased to minus 9.1% in the second quarter ended June 29, 2008 compared to 7.3% of</w:t>
      </w:r>
      <w:r>
        <w:rPr>
          <w:rFonts w:ascii="Arial" w:cs="Arial" w:eastAsia="Arial" w:hAnsi="Arial"/>
          <w:sz w:val="16"/>
          <w:szCs w:val="16"/>
          <w:i w:val="1"/>
          <w:iCs w:val="1"/>
          <w:color w:val="auto"/>
        </w:rPr>
        <w:t xml:space="preserve"> </w:t>
      </w:r>
      <w:r>
        <w:rPr>
          <w:rFonts w:ascii="Arial" w:cs="Arial" w:eastAsia="Arial" w:hAnsi="Arial"/>
          <w:sz w:val="16"/>
          <w:szCs w:val="16"/>
          <w:color w:val="auto"/>
        </w:rPr>
        <w:t>positive gross profit percentage for the three months ended July 1, 2008. This change was primarily due to a 13.4% decrease in average selling prices.</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improved to 35.1%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2008 from 15.6% in the prior-year quarter. This increase was due to a 19.7% increase in sales volume and a decrease in unit costs, resulting from an increase in overall production volume.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Power Solutions. </w:t>
      </w:r>
      <w:r>
        <w:rPr>
          <w:rFonts w:ascii="Arial" w:cs="Arial" w:eastAsia="Arial" w:hAnsi="Arial"/>
          <w:sz w:val="18"/>
          <w:szCs w:val="18"/>
          <w:color w:val="auto"/>
        </w:rPr>
        <w:t>Gross profit percentage for Power Solutions was 17.5% for the three months ended June 29, 2008.</w:t>
      </w:r>
    </w:p>
    <w:p>
      <w:pPr>
        <w:spacing w:after="0" w:line="171"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the current period increased to 88.4% from 40.2% in the second quarter of 2007. This improvement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percentage was mainly attributable to lower fixed cost per unit.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$23.0 million or 11.8% of net sales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29, 2008, compared to $25.5 million or 13.2% for the three months ended July 1, 2007. The decrease of $2.5 million or 9.9% from the prior-year quarter was from various expenses including outside service fees, depreciation and amortization, sales commissions, and miscellaneous expenses.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quarter were $35.5 million, an increase of $3.0 million or 9.1%</w:t>
      </w:r>
      <w:r>
        <w:rPr>
          <w:rFonts w:ascii="Arial" w:cs="Arial" w:eastAsia="Arial" w:hAnsi="Arial"/>
          <w:sz w:val="16"/>
          <w:szCs w:val="16"/>
          <w:i w:val="1"/>
          <w:iCs w:val="1"/>
          <w:color w:val="auto"/>
        </w:rPr>
        <w:t xml:space="preserve"> </w:t>
      </w:r>
      <w:r>
        <w:rPr>
          <w:rFonts w:ascii="Arial" w:cs="Arial" w:eastAsia="Arial" w:hAnsi="Arial"/>
          <w:sz w:val="16"/>
          <w:szCs w:val="16"/>
          <w:color w:val="auto"/>
        </w:rPr>
        <w:t>from $32.5 million for the prior year quarter. This increase in research and development expenses essentially represented our focus on the introduction of new products, especially in the Imaging Solutions and Display Solutions segments. As a percentage of net sales, research and development expenses for the current quarter increased to 18.2% compared to 16.8% for the prior-year quarter. We expect research and development expenses in 2008 to be generally consistent with the levels in 2007 on a percentage of net sales basis.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second quarter ended July 1, 2007, we recognized restructuring and impairment charges of $12.1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which consisted of $10.1 million of impairment under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No. 144”) and $2.0 million of restructuring under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(“SFAS No. 146”)</w:t>
      </w:r>
      <w:r>
        <w:rPr>
          <w:rFonts w:ascii="Arial" w:cs="Arial" w:eastAsia="Arial" w:hAnsi="Arial"/>
          <w:sz w:val="18"/>
          <w:szCs w:val="18"/>
          <w:i w:val="1"/>
          <w:iCs w:val="1"/>
          <w:color w:val="auto"/>
        </w:rPr>
        <w:t>.</w:t>
      </w:r>
      <w:r>
        <w:rPr>
          <w:rFonts w:ascii="Arial" w:cs="Arial" w:eastAsia="Arial" w:hAnsi="Arial"/>
          <w:sz w:val="18"/>
          <w:szCs w:val="18"/>
          <w:color w:val="auto"/>
        </w:rPr>
        <w:t xml:space="preserve"> The impairment charges were recorded related to the closure of our five-inch wafer fabrication facilities that has generated losses and no longer supported our strategic technology roadmap.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Interest Expense, Net. </w:t>
      </w:r>
      <w:r>
        <w:rPr>
          <w:rFonts w:ascii="Arial" w:cs="Arial" w:eastAsia="Arial" w:hAnsi="Arial"/>
          <w:sz w:val="15"/>
          <w:szCs w:val="15"/>
          <w:color w:val="auto"/>
        </w:rPr>
        <w:t>Net interest expense was $15.8 million during the three months ended June 29, 2008 compared to $15.0 million for the three months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ended July 1, 2007. Interest expense was incurred to service to our notes in the amount of $750.0 million and drawings under our senior secured facility.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29, 2008, the notes bore interest at a weighted average interest rate of 7.28%. Drawings under our senior secured credit facility bore interest at June 29, 2008</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at either three-month LIBOR plus 4.75% or ABR plus 3.75%. The increase in net interest expense was mainly due to an increase in interest expense driven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drawdowns from our senior secured credit facility and a decrease in interest income from financial assets including cash and cash equivalents.</w:t>
      </w:r>
    </w:p>
    <w:p>
      <w:pPr>
        <w:spacing w:after="0" w:line="16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Foreign Currency Gain (Loss), Net. </w:t>
      </w:r>
      <w:r>
        <w:rPr>
          <w:rFonts w:ascii="Arial" w:cs="Arial" w:eastAsia="Arial" w:hAnsi="Arial"/>
          <w:sz w:val="18"/>
          <w:szCs w:val="18"/>
          <w:color w:val="auto"/>
        </w:rPr>
        <w:t>Net foreign currency loss for the three months ended June 29, 2008 was $31.1 million, compared to net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gain of $13.9 million for the three months ended July 1, 2007.</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recorded for intercompany borrowings at our Korean subsidiary and is affected by changes in the exchange rate between the Korea won and the U.S. dollar. Foreign currency translation loss from the intercompany borrowings was included in determining our consolidated net income since the intercompany borrowings were not considered long-term investments in nature because management intended to repay these intercompany borrowings at their maturity dates. The Korean won to U.S. dollar exchange rates were 1,041.8:1 and 922.6:1 using the noon buying rate in effect as of June 29, 2008 and July 1, 2007, respectively, as quoted by the Federal Reserve Bank of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Income Tax Expenses</w:t>
      </w:r>
      <w:r>
        <w:rPr>
          <w:rFonts w:ascii="Arial" w:cs="Arial" w:eastAsia="Arial" w:hAnsi="Arial"/>
          <w:sz w:val="16"/>
          <w:szCs w:val="16"/>
          <w:color w:val="auto"/>
        </w:rPr>
        <w:t>. Income tax expenses for the three months ended June 29, 2008 were $3.3 million, compared to $1.8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1, 2007. Income tax expenses for this period were comprised of $1.3 million of current income taxes incurred in various jurisdictions in which we operate, $1.5 million of withholding taxes mostly paid on intercompany interest payments and $0.5 million of income tax increase effect from the change of deferred tax assets. Due to the uncertainty of the utilization of foreign tax credits, we did not recognize these withholding taxes as deferred assets</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240" w:top="459" w:right="5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Six-Month Periods Ended June 29, 2008 and July 1, 2007.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consolidated result of operations for the six months ended June 29, 2008 and July 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9"/>
              </w:rPr>
              <w:t>Six months ended</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86"/>
              </w:rPr>
              <w:t>Six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June 29, 2008</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7"/>
          </w:tcPr>
          <w:p>
            <w:pPr>
              <w:ind w:left="20"/>
              <w:spacing w:after="0"/>
              <w:rPr>
                <w:sz w:val="20"/>
                <w:szCs w:val="20"/>
                <w:color w:val="auto"/>
              </w:rPr>
            </w:pPr>
            <w:r>
              <w:rPr>
                <w:rFonts w:ascii="Arial" w:cs="Arial" w:eastAsia="Arial" w:hAnsi="Arial"/>
                <w:sz w:val="14"/>
                <w:szCs w:val="14"/>
                <w:b w:val="1"/>
                <w:bCs w:val="1"/>
                <w:color w:val="auto"/>
              </w:rPr>
              <w:t>July 1, 2007</w:t>
            </w:r>
          </w:p>
        </w:tc>
        <w:tc>
          <w:tcPr>
            <w:tcW w:w="10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ind w:right="26"/>
              <w:spacing w:after="0" w:line="12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76"/>
              </w:rPr>
              <w:t>net sales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76"/>
              </w:rPr>
              <w:t>net sales</w:t>
            </w:r>
          </w:p>
        </w:tc>
        <w:tc>
          <w:tcPr>
            <w:tcW w:w="10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i w:val="1"/>
                <w:iCs w:val="1"/>
                <w:color w:val="auto"/>
              </w:rPr>
              <w:t>(in</w:t>
            </w:r>
          </w:p>
        </w:tc>
        <w:tc>
          <w:tcPr>
            <w:tcW w:w="3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920" w:type="dxa"/>
            <w:vAlign w:val="bottom"/>
            <w:gridSpan w:val="5"/>
          </w:tcPr>
          <w:p>
            <w:pPr>
              <w:spacing w:after="0" w:line="142" w:lineRule="exact"/>
              <w:rPr>
                <w:sz w:val="20"/>
                <w:szCs w:val="20"/>
                <w:color w:val="auto"/>
              </w:rPr>
            </w:pPr>
            <w:r>
              <w:rPr>
                <w:rFonts w:ascii="Arial" w:cs="Arial" w:eastAsia="Arial" w:hAnsi="Arial"/>
                <w:sz w:val="14"/>
                <w:szCs w:val="14"/>
                <w:b w:val="1"/>
                <w:bCs w:val="1"/>
                <w:i w:val="1"/>
                <w:iCs w:val="1"/>
                <w:color w:val="auto"/>
              </w:rPr>
              <w:t>millions; %)</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$ 397.7</w:t>
            </w:r>
          </w:p>
        </w:tc>
        <w:tc>
          <w:tcPr>
            <w:tcW w:w="1160" w:type="dxa"/>
            <w:vAlign w:val="bottom"/>
            <w:gridSpan w:val="6"/>
            <w:shd w:val="clear" w:color="auto" w:fill="CCEEFF"/>
          </w:tcPr>
          <w:p>
            <w:pPr>
              <w:jc w:val="right"/>
              <w:ind w:right="279"/>
              <w:spacing w:after="0"/>
              <w:rPr>
                <w:sz w:val="20"/>
                <w:szCs w:val="20"/>
                <w:color w:val="auto"/>
              </w:rPr>
            </w:pPr>
            <w:r>
              <w:rPr>
                <w:rFonts w:ascii="Arial" w:cs="Arial" w:eastAsia="Arial" w:hAnsi="Arial"/>
                <w:sz w:val="18"/>
                <w:szCs w:val="18"/>
                <w:color w:val="auto"/>
              </w:rPr>
              <w:t>100.0%</w:t>
            </w:r>
          </w:p>
        </w:tc>
        <w:tc>
          <w:tcPr>
            <w:tcW w:w="860" w:type="dxa"/>
            <w:vAlign w:val="bottom"/>
            <w:gridSpan w:val="5"/>
            <w:shd w:val="clear" w:color="auto" w:fill="CCEEFF"/>
          </w:tcPr>
          <w:p>
            <w:pPr>
              <w:jc w:val="right"/>
              <w:ind w:right="222"/>
              <w:spacing w:after="0"/>
              <w:rPr>
                <w:sz w:val="20"/>
                <w:szCs w:val="20"/>
                <w:color w:val="auto"/>
              </w:rPr>
            </w:pPr>
            <w:r>
              <w:rPr>
                <w:rFonts w:ascii="Arial" w:cs="Arial" w:eastAsia="Arial" w:hAnsi="Arial"/>
                <w:sz w:val="18"/>
                <w:szCs w:val="18"/>
                <w:color w:val="auto"/>
                <w:w w:val="89"/>
              </w:rPr>
              <w:t>$ 345.8</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8"/>
              </w:rPr>
              <w:t>100.0%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sales</w:t>
            </w:r>
          </w:p>
        </w:tc>
        <w:tc>
          <w:tcPr>
            <w:tcW w:w="1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300.7</w:t>
            </w: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75.6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22"/>
              <w:spacing w:after="0"/>
              <w:rPr>
                <w:sz w:val="20"/>
                <w:szCs w:val="20"/>
                <w:color w:val="auto"/>
              </w:rPr>
            </w:pPr>
            <w:r>
              <w:rPr>
                <w:rFonts w:ascii="Arial" w:cs="Arial" w:eastAsia="Arial" w:hAnsi="Arial"/>
                <w:sz w:val="18"/>
                <w:szCs w:val="18"/>
                <w:color w:val="auto"/>
                <w:w w:val="84"/>
              </w:rPr>
              <w:t>303.2</w:t>
            </w:r>
          </w:p>
        </w:tc>
        <w:tc>
          <w:tcPr>
            <w:tcW w:w="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2"/>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222"/>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2"/>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22"/>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93"/>
              </w:rPr>
              <w:t>(85.3)</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 net</w:t>
            </w:r>
          </w:p>
        </w:tc>
        <w:tc>
          <w:tcPr>
            <w:tcW w:w="2720" w:type="dxa"/>
            <w:vAlign w:val="bottom"/>
            <w:gridSpan w:val="3"/>
          </w:tcPr>
          <w:p>
            <w:pPr>
              <w:jc w:val="right"/>
              <w:ind w:right="180"/>
              <w:spacing w:after="0"/>
              <w:rPr>
                <w:sz w:val="20"/>
                <w:szCs w:val="20"/>
                <w:color w:val="auto"/>
              </w:rPr>
            </w:pPr>
            <w:r>
              <w:rPr>
                <w:rFonts w:ascii="Arial" w:cs="Arial" w:eastAsia="Arial" w:hAnsi="Arial"/>
                <w:sz w:val="18"/>
                <w:szCs w:val="18"/>
                <w:color w:val="auto"/>
              </w:rPr>
              <w:t>31.5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22"/>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2"/>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(80.5)</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5"/>
            <w:vMerge w:val="restart"/>
          </w:tcPr>
          <w:p>
            <w:pPr>
              <w:jc w:val="right"/>
              <w:ind w:right="20"/>
              <w:spacing w:after="0"/>
              <w:rPr>
                <w:sz w:val="20"/>
                <w:szCs w:val="20"/>
                <w:color w:val="auto"/>
              </w:rPr>
            </w:pPr>
            <w:r>
              <w:rPr>
                <w:rFonts w:ascii="Arial" w:cs="Arial" w:eastAsia="Arial" w:hAnsi="Arial"/>
                <w:sz w:val="18"/>
                <w:szCs w:val="18"/>
                <w:color w:val="auto"/>
              </w:rPr>
              <w:t>(30.6)</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(121.7)</w:t>
            </w:r>
          </w:p>
        </w:tc>
        <w:tc>
          <w:tcPr>
            <w:tcW w:w="740" w:type="dxa"/>
            <w:vAlign w:val="bottom"/>
            <w:gridSpan w:val="5"/>
            <w:vMerge w:val="continue"/>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5"/>
          </w:tcPr>
          <w:p>
            <w:pPr>
              <w:jc w:val="right"/>
              <w:ind w:right="162"/>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2"/>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6"/>
            <w:vMerge w:val="restart"/>
          </w:tcPr>
          <w:p>
            <w:pPr>
              <w:jc w:val="right"/>
              <w:ind w:right="219"/>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gridSpan w:val="2"/>
            <w:vMerge w:val="continue"/>
          </w:tcPr>
          <w:p>
            <w:pPr>
              <w:spacing w:after="0"/>
              <w:rPr>
                <w:sz w:val="19"/>
                <w:szCs w:val="19"/>
                <w:color w:val="auto"/>
              </w:rPr>
            </w:pPr>
          </w:p>
        </w:tc>
        <w:tc>
          <w:tcPr>
            <w:tcW w:w="272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(127.5)</w:t>
            </w:r>
          </w:p>
        </w:tc>
        <w:tc>
          <w:tcPr>
            <w:tcW w:w="1160" w:type="dxa"/>
            <w:vAlign w:val="bottom"/>
            <w:gridSpan w:val="6"/>
            <w:vMerge w:val="continue"/>
          </w:tcPr>
          <w:p>
            <w:pPr>
              <w:spacing w:after="0"/>
              <w:rPr>
                <w:sz w:val="19"/>
                <w:szCs w:val="19"/>
                <w:color w:val="auto"/>
              </w:rPr>
            </w:pPr>
          </w:p>
        </w:tc>
        <w:tc>
          <w:tcPr>
            <w:tcW w:w="860" w:type="dxa"/>
            <w:vAlign w:val="bottom"/>
            <w:gridSpan w:val="5"/>
          </w:tcPr>
          <w:p>
            <w:pPr>
              <w:jc w:val="right"/>
              <w:ind w:right="162"/>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(112.3)</w:t>
            </w:r>
          </w:p>
        </w:tc>
        <w:tc>
          <w:tcPr>
            <w:tcW w:w="80" w:type="dxa"/>
            <w:vAlign w:val="bottom"/>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(15.2)</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1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2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6"/>
          </w:tcPr>
          <w:p>
            <w:pPr>
              <w:jc w:val="right"/>
              <w:spacing w:after="0"/>
              <w:rPr>
                <w:sz w:val="20"/>
                <w:szCs w:val="20"/>
                <w:color w:val="auto"/>
              </w:rPr>
            </w:pPr>
            <w:r>
              <w:rPr>
                <w:rFonts w:ascii="Arial" w:cs="Arial" w:eastAsia="Arial" w:hAnsi="Arial"/>
                <w:sz w:val="14"/>
                <w:szCs w:val="14"/>
                <w:b w:val="1"/>
                <w:bCs w:val="1"/>
                <w:color w:val="auto"/>
                <w:w w:val="89"/>
              </w:rPr>
              <w:t>Six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7"/>
          </w:tcPr>
          <w:p>
            <w:pPr>
              <w:ind w:left="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5"/>
          </w:tcPr>
          <w:p>
            <w:pPr>
              <w:jc w:val="right"/>
              <w:ind w:right="99"/>
              <w:spacing w:after="0"/>
              <w:rPr>
                <w:sz w:val="20"/>
                <w:szCs w:val="20"/>
                <w:color w:val="auto"/>
              </w:rPr>
            </w:pPr>
            <w:r>
              <w:rPr>
                <w:rFonts w:ascii="Arial" w:cs="Arial" w:eastAsia="Arial" w:hAnsi="Arial"/>
                <w:sz w:val="14"/>
                <w:szCs w:val="14"/>
                <w:b w:val="1"/>
                <w:bCs w:val="1"/>
                <w:color w:val="auto"/>
                <w:w w:val="85"/>
              </w:rPr>
              <w:t>June 29, 2008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6"/>
          </w:tcPr>
          <w:p>
            <w:pPr>
              <w:ind w:left="40"/>
              <w:spacing w:after="0"/>
              <w:rPr>
                <w:sz w:val="20"/>
                <w:szCs w:val="20"/>
                <w:color w:val="auto"/>
              </w:rPr>
            </w:pPr>
            <w:r>
              <w:rPr>
                <w:rFonts w:ascii="Arial" w:cs="Arial" w:eastAsia="Arial" w:hAnsi="Arial"/>
                <w:sz w:val="14"/>
                <w:szCs w:val="14"/>
                <w:b w:val="1"/>
                <w:bCs w:val="1"/>
                <w:color w:val="auto"/>
              </w:rPr>
              <w:t>July 1, 2007</w:t>
            </w:r>
          </w:p>
        </w:tc>
        <w:tc>
          <w:tcPr>
            <w:tcW w:w="10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83"/>
              </w:rPr>
              <w:t>millions;</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93"/>
              </w:rPr>
              <w:t>%)</w:t>
            </w:r>
          </w:p>
        </w:tc>
        <w:tc>
          <w:tcPr>
            <w:tcW w:w="460" w:type="dxa"/>
            <w:vAlign w:val="bottom"/>
            <w:tcBorders>
              <w:top w:val="single" w:sz="8" w:color="auto"/>
            </w:tcBorders>
            <w:gridSpan w:val="2"/>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1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$ 177.6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$ 144.0</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Imaging Solutions</w:t>
            </w:r>
          </w:p>
        </w:tc>
        <w:tc>
          <w:tcPr>
            <w:tcW w:w="1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Power Solutions</w:t>
            </w:r>
          </w:p>
        </w:tc>
        <w:tc>
          <w:tcPr>
            <w:tcW w:w="1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$ 397.7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$ 345.8</w:t>
            </w:r>
          </w:p>
        </w:tc>
        <w:tc>
          <w:tcPr>
            <w:tcW w:w="80" w:type="dxa"/>
            <w:vAlign w:val="bottom"/>
          </w:tcPr>
          <w:p>
            <w:pPr>
              <w:spacing w:after="0"/>
              <w:rPr>
                <w:sz w:val="19"/>
                <w:szCs w:val="19"/>
                <w:color w:val="auto"/>
              </w:rPr>
            </w:pPr>
          </w:p>
        </w:tc>
        <w:tc>
          <w:tcPr>
            <w:tcW w:w="820" w:type="dxa"/>
            <w:vAlign w:val="bottom"/>
            <w:gridSpan w:val="4"/>
            <w:vMerge w:val="continue"/>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Total net sales for the six months ended June 29, 2008 increased $51.9 million, or 15.0% compared to the six months ended July 1, 2007. Net sales generated in the four operating segments during the current period were $394.5 million, an increase of $88.5 million or 28.9% from the net sales of the three operating segments from which we earned revenues for the prior-year period.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six months ended June 29, 2008 were $177.6 million, a $33.6 million or 23.4% increase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$144.0 million for the six months ended July 1, 2007. This increase resulted from a 25.6% sales volume increase, primarily from display driver products for LCD televisions, PC monitors and mobile devices.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Net sales from Imaging Solutions increased $16.1 million in the current period, or 55.1% compared to net sales generated in the prior-year period. This increase resulted from a 78.3% sales volume increase, particularly of small form factor VGA products, and was partially offset by a 10.1% decrease in average selling prices.</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six months ended June 29, 2008, were $169.5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$36.7 million or 27.6% increase compared to net sales of $132.8 million for the six months ended July 1, 2007. This increase was primarily due to a 36.0% sales volume increase.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Power Solutions. </w:t>
      </w:r>
      <w:r>
        <w:rPr>
          <w:rFonts w:ascii="Arial" w:cs="Arial" w:eastAsia="Arial" w:hAnsi="Arial"/>
          <w:sz w:val="18"/>
          <w:szCs w:val="18"/>
          <w:color w:val="auto"/>
        </w:rPr>
        <w:t>Net sales from Power Solutions for the second quarter of 2008 were $2.1 million. We shipped our first products and recorded our first</w:t>
      </w:r>
      <w:r>
        <w:rPr>
          <w:rFonts w:ascii="Arial" w:cs="Arial" w:eastAsia="Arial" w:hAnsi="Arial"/>
          <w:sz w:val="18"/>
          <w:szCs w:val="18"/>
          <w:i w:val="1"/>
          <w:iCs w:val="1"/>
          <w:color w:val="auto"/>
        </w:rPr>
        <w:t xml:space="preserve"> </w:t>
      </w:r>
      <w:r>
        <w:rPr>
          <w:rFonts w:ascii="Arial" w:cs="Arial" w:eastAsia="Arial" w:hAnsi="Arial"/>
          <w:sz w:val="18"/>
          <w:szCs w:val="18"/>
          <w:color w:val="auto"/>
        </w:rPr>
        <w:t>sales revenue in the quarter.</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for the six months ended June 29, 2008 were $3.3 million compared to $39.9 million for the six months ended July 1,</w:t>
      </w:r>
      <w:r>
        <w:rPr>
          <w:rFonts w:ascii="Arial" w:cs="Arial" w:eastAsia="Arial" w:hAnsi="Arial"/>
          <w:sz w:val="18"/>
          <w:szCs w:val="18"/>
          <w:i w:val="1"/>
          <w:iCs w:val="1"/>
          <w:color w:val="auto"/>
        </w:rPr>
        <w:t xml:space="preserve"> </w:t>
      </w:r>
      <w:r>
        <w:rPr>
          <w:rFonts w:ascii="Arial" w:cs="Arial" w:eastAsia="Arial" w:hAnsi="Arial"/>
          <w:sz w:val="18"/>
          <w:szCs w:val="18"/>
          <w:color w:val="auto"/>
        </w:rPr>
        <w:t>2007. This decrease of $36.6 million represents primarily the revenue decrease from our unit processing services rendered to Hynix as Hynix increased its internal capacity. Sales revenue from unit processing services was $0.3 million during the six months ended June 29, 2008, compared to $36.6 million during the six months ended July 1,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the six months ended June 29, 2008 and July 1, 2007,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9"/>
          </w:tcPr>
          <w:p>
            <w:pPr>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6"/>
              </w:rPr>
              <w:t>June 29, 2008</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center"/>
              <w:ind w:left="148"/>
              <w:spacing w:after="0"/>
              <w:rPr>
                <w:sz w:val="20"/>
                <w:szCs w:val="20"/>
                <w:color w:val="auto"/>
              </w:rPr>
            </w:pPr>
            <w:r>
              <w:rPr>
                <w:rFonts w:ascii="Arial" w:cs="Arial" w:eastAsia="Arial" w:hAnsi="Arial"/>
                <w:sz w:val="14"/>
                <w:szCs w:val="14"/>
                <w:b w:val="1"/>
                <w:bCs w:val="1"/>
                <w:color w:val="auto"/>
                <w:w w:val="86"/>
              </w:rPr>
              <w:t>July 1, 2007</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86"/>
              </w:rPr>
              <w:t>Amount</w:t>
            </w: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 of Total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w w:val="81"/>
              </w:rPr>
              <w:t>(in</w:t>
            </w:r>
          </w:p>
        </w:tc>
        <w:tc>
          <w:tcPr>
            <w:tcW w:w="46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w w:val="76"/>
              </w:rPr>
              <w:t>millions;</w:t>
            </w:r>
          </w:p>
        </w:tc>
        <w:tc>
          <w:tcPr>
            <w:tcW w:w="500" w:type="dxa"/>
            <w:vAlign w:val="bottom"/>
            <w:tcBorders>
              <w:top w:val="single" w:sz="8" w:color="auto"/>
            </w:tcBorders>
            <w:gridSpan w:val="2"/>
          </w:tcPr>
          <w:p>
            <w:pPr>
              <w:jc w:val="right"/>
              <w:ind w:right="228"/>
              <w:spacing w:after="0" w:line="142" w:lineRule="exact"/>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4"/>
              </w:rPr>
              <w:t>$216.7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62.7%</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0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345.8</w:t>
            </w:r>
          </w:p>
        </w:tc>
        <w:tc>
          <w:tcPr>
            <w:tcW w:w="2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6"/>
              </w:rPr>
              <w:t>Six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87"/>
              </w:rPr>
              <w:t>Six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June 29, 2008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88"/>
              </w:rPr>
              <w:t>July 1, 2007</w:t>
            </w:r>
          </w:p>
        </w:tc>
        <w:tc>
          <w:tcPr>
            <w:tcW w:w="200" w:type="dxa"/>
            <w:vAlign w:val="bottom"/>
          </w:tcPr>
          <w:p>
            <w:pPr>
              <w:spacing w:after="0"/>
              <w:rPr>
                <w:sz w:val="14"/>
                <w:szCs w:val="14"/>
                <w:color w:val="auto"/>
              </w:rPr>
            </w:pPr>
          </w:p>
        </w:tc>
        <w:tc>
          <w:tcPr>
            <w:tcW w:w="5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7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3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6"/>
              </w:rPr>
              <w:t>net sales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76"/>
              </w:rPr>
              <w:t>net sales</w:t>
            </w:r>
          </w:p>
        </w:tc>
        <w:tc>
          <w:tcPr>
            <w:tcW w:w="20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ind w:left="4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i w:val="1"/>
                <w:iCs w:val="1"/>
                <w:color w:val="auto"/>
                <w:w w:val="79"/>
              </w:rPr>
              <w:t>millions;</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38.5</w:t>
            </w:r>
          </w:p>
        </w:tc>
        <w:tc>
          <w:tcPr>
            <w:tcW w:w="1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15.2</w:t>
            </w: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Imaging Solutions</w:t>
            </w: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12"/>
              <w:spacing w:after="0"/>
              <w:rPr>
                <w:sz w:val="20"/>
                <w:szCs w:val="20"/>
                <w:color w:val="auto"/>
              </w:rPr>
            </w:pPr>
            <w:r>
              <w:rPr>
                <w:rFonts w:ascii="Arial" w:cs="Arial" w:eastAsia="Arial" w:hAnsi="Arial"/>
                <w:sz w:val="18"/>
                <w:szCs w:val="18"/>
                <w:color w:val="auto"/>
              </w:rPr>
              <w:t>(0.1)</w:t>
            </w:r>
          </w:p>
        </w:tc>
        <w:tc>
          <w:tcPr>
            <w:tcW w:w="860" w:type="dxa"/>
            <w:vAlign w:val="bottom"/>
            <w:gridSpan w:val="5"/>
          </w:tcPr>
          <w:p>
            <w:pPr>
              <w:jc w:val="right"/>
              <w:ind w:right="18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57.1</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14.6</w:t>
            </w:r>
          </w:p>
        </w:tc>
        <w:tc>
          <w:tcPr>
            <w:tcW w:w="8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Power Solutions</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13.0</w:t>
            </w:r>
          </w:p>
        </w:tc>
        <w:tc>
          <w:tcPr>
            <w:tcW w:w="8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(11.0)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5"/>
            <w:vMerge w:val="restart"/>
          </w:tcPr>
          <w:p>
            <w:pPr>
              <w:jc w:val="right"/>
              <w:ind w:right="10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97.0</w:t>
            </w:r>
          </w:p>
        </w:tc>
        <w:tc>
          <w:tcPr>
            <w:tcW w:w="160" w:type="dxa"/>
            <w:vAlign w:val="bottom"/>
          </w:tcPr>
          <w:p>
            <w:pPr>
              <w:spacing w:after="0"/>
              <w:rPr>
                <w:sz w:val="19"/>
                <w:szCs w:val="19"/>
                <w:color w:val="auto"/>
              </w:rPr>
            </w:pPr>
          </w:p>
        </w:tc>
        <w:tc>
          <w:tcPr>
            <w:tcW w:w="900" w:type="dxa"/>
            <w:vAlign w:val="bottom"/>
            <w:gridSpan w:val="5"/>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172"/>
              <w:spacing w:after="0"/>
              <w:rPr>
                <w:sz w:val="20"/>
                <w:szCs w:val="20"/>
                <w:color w:val="auto"/>
              </w:rPr>
            </w:pPr>
            <w:r>
              <w:rPr>
                <w:rFonts w:ascii="Arial" w:cs="Arial" w:eastAsia="Arial" w:hAnsi="Arial"/>
                <w:sz w:val="18"/>
                <w:szCs w:val="18"/>
                <w:color w:val="auto"/>
              </w:rPr>
              <w:t>42.7</w:t>
            </w:r>
          </w:p>
        </w:tc>
        <w:tc>
          <w:tcPr>
            <w:tcW w:w="860" w:type="dxa"/>
            <w:vAlign w:val="bottom"/>
            <w:gridSpan w:val="5"/>
            <w:vMerge w:val="continue"/>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Total gross profit increased $54.3 million in the six months ended June 29, 2008, or 127.3%, compared to the gross profit generated in the six months ended July 1, 2007. Gross profit percentage for the six months ended June 29, 2008 was 24.4% of net sales, an increase of 12.1% from 12.3% for the six months ended July 1, 2007. This increase in gross profit percentage was primarily attributable to an overall decrease in unit costs due to an increase in overall production volume and a decrease in depreciation expense.</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six months ended June 29, 2008 improved to 21.7% compared to 10.6%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1, 2007 primarily due to a 25.6% increase in sales volume and a decrease in unit costs that resulted from an increase in overall production volume.</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profit percentage for the six months ended June 29, 2008 was minus 2.1% compared to minus 0.5% for the prior-year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a 10.1% decrease in average selling prices.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improved to 33.7% in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29, 2008 from 11.0% in the six months ended July 1, 2007. This increase was due to a 36.0% increase in sales volume and a decrease in unit costs, resulting from an increase in overall production volume.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Power Solutions. </w:t>
      </w:r>
      <w:r>
        <w:rPr>
          <w:rFonts w:ascii="Arial" w:cs="Arial" w:eastAsia="Arial" w:hAnsi="Arial"/>
          <w:sz w:val="18"/>
          <w:szCs w:val="18"/>
          <w:color w:val="auto"/>
        </w:rPr>
        <w:t>Gross profit percentage for Power Solutions was 17.3% for the six months ended June 29,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the current period increased to 61.7% from 32.7% for the prior-year period. This improvement in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percentage is mainly attributable to lower fixed cost per unit.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$42.2 million or 10.6% of net sales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29, 2008 compared to $48.3 million or 14.0% for the six months ended July 1, 2007. The decrease of $6.0 million or 12.5% from the prior-year period was mainly due to a $3.5 million increase in gain from disposal of tangible assets and a $2.0 million increase in miscellaneous income.</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period were $71.8 million, an increase of $4.2 million or 6.2%</w:t>
      </w:r>
      <w:r>
        <w:rPr>
          <w:rFonts w:ascii="Arial" w:cs="Arial" w:eastAsia="Arial" w:hAnsi="Arial"/>
          <w:sz w:val="16"/>
          <w:szCs w:val="16"/>
          <w:i w:val="1"/>
          <w:iCs w:val="1"/>
          <w:color w:val="auto"/>
        </w:rPr>
        <w:t xml:space="preserve"> </w:t>
      </w:r>
      <w:r>
        <w:rPr>
          <w:rFonts w:ascii="Arial" w:cs="Arial" w:eastAsia="Arial" w:hAnsi="Arial"/>
          <w:sz w:val="16"/>
          <w:szCs w:val="16"/>
          <w:color w:val="auto"/>
        </w:rPr>
        <w:t>from $67.7 million for the prior year period. This increase in research and development expenses essentially represented our focus on the introduction of new products, especially for the Imaging Solutions and Display Solutions segments. As a percentage of net sales, research and development expenses for the six months ended June 29, 2008 decreased to 18.1% compared to 19.6% for the prior-year period.</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six months ended June 29, 2008, we reversed $0.9 million of unused restructuring accruals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$2.0 million of restructuring charges recognized during the second quarter ended July 1, 2007. The restructuring charges were related to the closure of our five-inch wafer fabrication facilities, and those charges consist of one-time termination benefits, transfer of machinery and other associated costs. Prior to and during the six months ended June 29, 2008, actual payments were charged against the restructuring accruals. The restructuring activities were substantially completed as of March 30, 2008.</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the second quarter ended July 1, 2007, we recognized restructuring and impairment charges of $12.1 million which consisted of $10.1 million of impairment under SFAS No. 144 and $2.0 million of restructuring under SFAS No. 146</w:t>
      </w:r>
      <w:r>
        <w:rPr>
          <w:rFonts w:ascii="Arial" w:cs="Arial" w:eastAsia="Arial" w:hAnsi="Arial"/>
          <w:sz w:val="16"/>
          <w:szCs w:val="16"/>
          <w:i w:val="1"/>
          <w:iCs w:val="1"/>
          <w:color w:val="auto"/>
        </w:rPr>
        <w:t>.</w:t>
      </w:r>
      <w:r>
        <w:rPr>
          <w:rFonts w:ascii="Arial" w:cs="Arial" w:eastAsia="Arial" w:hAnsi="Arial"/>
          <w:sz w:val="16"/>
          <w:szCs w:val="16"/>
          <w:color w:val="auto"/>
        </w:rPr>
        <w:t xml:space="preserve"> The impairment charges were recorded related to the closure of our five-inch wafer fabrication facilities that has generated losses and no longer supported our strategic technology roadmap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was $31.5 million during the six months ended June 29, 2008 compared to $29.4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1, 2007. Interest expense was incurred to service our notes in the amount of $750.0 million and drawings under our senior secured facility. At June 29, 2008, the notes bore interest at a weighted average interest rate of 7.80%. Drawings under our senior secured credit facility bore interest at June 29, 2008 at either three-month LIBOR plus 4.75% or ABR plus 3.75%. The increase in net interest expense was mainly due to an increase in interest expense driven by drawdowns from our senior secured credit facility and a decrease in interest income from financial assets including cash and cash equivalents.</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Foreign Currency Gain (Loss), Net. </w:t>
      </w:r>
      <w:r>
        <w:rPr>
          <w:rFonts w:ascii="Arial" w:cs="Arial" w:eastAsia="Arial" w:hAnsi="Arial"/>
          <w:sz w:val="18"/>
          <w:szCs w:val="18"/>
          <w:color w:val="auto"/>
        </w:rPr>
        <w:t>Net foreign currency loss for the six months ended June 29, 2008 was $74.0 million, compared to net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gain of $6.5 million for the six months ended July 1, 2007.</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recorded for intercompany borrowings at our Korean subsidiary and is affected by changes in the exchange rate between the Korea won and the U.S. dollar. Foreign currency translation loss from the intercompany borrowings was included in determining our consolidated net income since the intercompany borrowings were not considered long-term investments in nature because management intended to repay these intercompany borrowings at their maturity dates. The Korean won to U.S. dollar exchange rates were 1,041.8:1 and 922.6:1 using the noon buying rate in effect as of June 29, 2008 and July 1, 2007, respectively, as quoted by the Federal Reserve Bank of New York.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Income Tax Expenses</w:t>
      </w:r>
      <w:r>
        <w:rPr>
          <w:rFonts w:ascii="Arial" w:cs="Arial" w:eastAsia="Arial" w:hAnsi="Arial"/>
          <w:sz w:val="18"/>
          <w:szCs w:val="18"/>
          <w:color w:val="auto"/>
        </w:rPr>
        <w:t>. Income tax expenses for the six months ended June 29, 2008 were $5.8 million, compared to income tax expenses of $4.1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2007. Income tax expenses for the six months ended June 29, 2008 were comprised of $2.0 million of current income taxes incurred in various jurisdictions in which we operate, $2.9 million of withholding taxes mostly paid on intercompany interest payments and $0.9 million of income tax increase effect from the change of deferred tax assets. Due to the uncertainty of the utilization of foreign tax credits, we did not recognize these withholding taxes as deferred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principal capital requirements are to invest in research and development and capital equipment, to make debt service payments on the notes and our senior secured credit facility and to fund working capital needs. We anticipate that operating cash flow, together with available borrowing capacity under our senior secured credit facility, will be sufficient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meet our research and development and capital expenditures needs, to service requirements on our debt obligations and to fund our working capital needs for the foreseeable future. As of June 29, 2008, we had total outstanding long-term debt of $750.0 million.</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principal sources of liquidity are our cash, cash equivalents and available borrowings under our senior secured credit facility of $100 million. As of June 29, 2008, our cash and cash equivalents balance was $36.5 million or 5.7% of our total assets, a $27.8 million decrease from $64.3 million or 9.1% of total assets as of December 31, 2007. The decrease in cash and cash equivalents during the first half of 2008 was primarily attributable to cash outflow related to capital expenditures during the period of $21.2 million, coupled with cash outflow of $14.9 million in operating activities.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six months ended June 29, 2008, net cash used in operating activities was $14.9 million, compared to $50.0 million of net cash used in operating activities during the prior year period. This difference in cash from operating activities between the two periods was primarily attributable to increase in gross profit of $54.3 million resulting mainly from higher revenue. The net operating cash outflow for the current period principally reflects our net loss of $127.5 million adjusted by $120.8 million which mainly consisted of depreciation and foreign currency translation loss and an increase in net operating assets of $8.2 million.</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working capital balance as of June 29, 2008 was $20.8 million compared to $55.6 million as of December 31, 2007. The decrease of $34.8 million in our working capital balance was mainly due to a $27.8 million reduction in cash and cash equivalents which was used to support our capital investment and operations and a $26.2 million increase in current liabilities due to the timing of payments at the end of the second quarter. This decrease was partially offset by an increase in accounts receivable of $25.4 million due to increase in revenue and a timing of receipts at the end of the second quarter.</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investing activities, net cash outlay during the six months ended June 29, 2008 was $17.9 million, compared to $24.1 million in the prior-year period, primarily related to capital expenditures and partial offset by a cash inflow from the sales of tangible assets.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six months ended June 29, 2008, there were no significant financing activities other than drawdowns and repayments from our senior secured credit facility, consistent with the prior-year period.</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Borrowings under the senior secured credit facility are subject to the satisfaction of certain conditions, including the representations and warranties being true in all material respects, compliance with the covenants included in the senior secured credit facility (including the financial covenants) and no default occurring or continuing on the date of the borrowing. The senior secured credit facility agreement contains certain customary covenants and restrictions for a facility of this type, including those with respect to the future maintenance and conduct of the business, the incurrence of debt or liens, the making of certain investments, and the consummation of sale/leaseback transactions, affiliate transactions, mergers and consolidations, asset sales, distributions and dividends on capital stock, and certain acquisitions. The senior secured credit facility also contains financial covenants including:</w:t>
      </w:r>
    </w:p>
    <w:p>
      <w:pPr>
        <w:spacing w:after="0" w:line="3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 minimum coverage of interest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debt leverage below specified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 minimum level of consolidated EBITDA;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 minimum level of liquidity;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capital expenditures under specified thresholds.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April 19, 2007, Moody’s Investor Service, Inc. downgraded the ratings on our indebtedness. We may experience additional downgrades in our debt ratings,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six months ended June 29, 2008, capital expenditures were $21.2 million, a $3.8 million or 15.1% decrease from $25.0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July 1, 2007.</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on a recurring basis will be funding research and development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meeting required debt payments and funding working capital needs. We anticipate that our operating cash flows and available borrowings, if any, under our senior secured credit facility, will be sufficient to meet these capital requirements for the foreseeable future. We may from time to time also incur additional debt.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There can be no assurance that any such financing will be available to us on acceptable terms, or that such financing will be available at all. Our senior secured credit facility and the indentures governing our notes restrict our ability to incur additional debt.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net sales and number of distinct products sold are affected by market variations from quarter to quarter due to the business cycles, and resulting product demand, of our customers. Our Imaging and Display Solutions businesses typically experience demand increases in the third and fourth calendar quarters due to increased holiday demand for the consumer products that serve as the end markets for our products. During the first quarter, by contrast, consumer products manufacturers generally reduce orders in order to burn off excess inventory from the holiday season. In our Semiconductor Manufacturing Services business, the supply-demand cycle is usually one quarter ahead of the broader semiconductor market due to lead time from wafer input to shipment to our customers, so the demand for these products tends to peak in the third quarter and begin slowing in the fourth and first quarters.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Summarized in the table below are estimates of future payments under debt obligations and minimum lease payment obligations at June 29, 2008. Changes in our business needs or interest rates, as well as actions by third parties and other factors, may cause these estimates to change. Because these estimates are complex and necessarily subjective, our actual payments in future periods are likely to vary from those presented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8"/>
              </w:rPr>
              <w:t>Payments Due by Period</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Thereafter</w:t>
            </w:r>
          </w:p>
        </w:tc>
        <w:tc>
          <w:tcPr>
            <w:tcW w:w="2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w w:val="89"/>
              </w:rPr>
              <w:t>(in 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2"/>
                <w:szCs w:val="22"/>
                <w:color w:val="auto"/>
                <w:vertAlign w:val="superscript"/>
              </w:rPr>
              <w:t>(1)(2)</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$ 85.2</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$85.2</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4580" w:type="dxa"/>
            <w:vAlign w:val="bottom"/>
          </w:tcPr>
          <w:p>
            <w:pPr>
              <w:spacing w:after="0" w:line="216" w:lineRule="exact"/>
              <w:rPr>
                <w:sz w:val="20"/>
                <w:szCs w:val="20"/>
                <w:color w:val="auto"/>
              </w:rPr>
            </w:pPr>
            <w:r>
              <w:rPr>
                <w:rFonts w:ascii="Arial" w:cs="Arial" w:eastAsia="Arial" w:hAnsi="Arial"/>
                <w:sz w:val="25"/>
                <w:szCs w:val="25"/>
                <w:color w:val="auto"/>
                <w:vertAlign w:val="subscript"/>
              </w:rPr>
              <w:t>Notes</w:t>
            </w:r>
            <w:r>
              <w:rPr>
                <w:rFonts w:ascii="Arial" w:cs="Arial" w:eastAsia="Arial" w:hAnsi="Arial"/>
                <w:sz w:val="10"/>
                <w:szCs w:val="10"/>
                <w:color w:val="auto"/>
              </w:rPr>
              <w:t>(1)(3)</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990.2</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26.0</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51.9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551.0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289.4</w:t>
            </w:r>
          </w:p>
        </w:tc>
        <w:tc>
          <w:tcPr>
            <w:tcW w:w="2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93"/>
        </w:trPr>
        <w:tc>
          <w:tcPr>
            <w:tcW w:w="4580" w:type="dxa"/>
            <w:vAlign w:val="bottom"/>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22"/>
                <w:szCs w:val="22"/>
                <w:color w:val="auto"/>
                <w:vertAlign w:val="superscript"/>
              </w:rPr>
              <w:t>(1)</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interest obligations thereon.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outstanding under the senior secured credit facility.</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interest obligations on the notes. For purposes of estimating the interest obligations under our Floating Rate Second Priority Senior Secured Notes, we used the average interest rate for such notes during the six months ended June 29, 2008.</w:t>
      </w:r>
    </w:p>
    <w:p>
      <w:pPr>
        <w:spacing w:after="0" w:line="138" w:lineRule="exact"/>
        <w:rPr>
          <w:sz w:val="20"/>
          <w:szCs w:val="20"/>
          <w:color w:val="auto"/>
        </w:rPr>
      </w:pPr>
    </w:p>
    <w:p>
      <w:pPr>
        <w:jc w:val="both"/>
        <w:ind w:right="180" w:firstLine="456"/>
        <w:spacing w:after="0"/>
        <w:rPr>
          <w:sz w:val="20"/>
          <w:szCs w:val="20"/>
          <w:color w:val="auto"/>
        </w:rPr>
      </w:pPr>
      <w:r>
        <w:rPr>
          <w:rFonts w:ascii="Arial" w:cs="Arial" w:eastAsia="Arial" w:hAnsi="Arial"/>
          <w:sz w:val="18"/>
          <w:szCs w:val="18"/>
          <w:color w:val="auto"/>
        </w:rPr>
        <w:t xml:space="preserve">The floating rate second priority senior secured notes of $300 million and second priority senior secured notes of $200 million mature in 2011, while the senior subordinated notes of $250 million mature in 2014. Interest rates on these notes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and 8%, respectively. We expect to pay the amounts outstanding under these notes in full upon maturity.</w:t>
      </w:r>
    </w:p>
    <w:p>
      <w:pPr>
        <w:spacing w:after="0" w:line="18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our ability and that of our subsidiaries to (1) incur additional indebtedness, (2) pay dividends or make other distributions on our capital stock or repurchase, repay or redeem our capital stock, (3) make certain investments, (4) incur liens, (5) enter into certain types of transactions with affiliates, (6) create restrictions on the payment of dividends or other amounts to us by our subsidiaries, and (7) sell all or substantially all of our assets or merge with or into other companies.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November 2007, the lenders under our senior secured credit facility waived certain provisions of the credit agreement to permit us to consummate our proposed corporate reorganization and proposed public offering and to use the proceeds from the public offering as described in our registration statement. Upon consummation of the proposed corporate reorganization, MagnaChip Semiconductor Corporation will become a guarantor and grant a security interest with respect to the obligations under the senior secured credit facility.</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We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on January 1, 2007. Our unrecognized tax benefits totaled $1.6 million as of June 29, 2008. These unrecognized tax benefits have been excluded from the above table because we cannot estimate the period of cash settlement with the respective taxing authorities.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December 23, 2004, two of our subsidiaries, MagnaChip Semiconductor S.A. and MagnaChip Semiconductor Finance Company, entered into a senior secured credit agreement with a syndicate of banks, financial institutions and other entities providing for a $100 million senior secured revolving credit facility. The undrawn portion of our senior secured credit facility as of June 29, 2008 and December 31, 2007 was $3.5 million and $4.5 million, respectively. The utilized portions of the credit facility are related to the issuance of letters of credit and cash drawdowns.</w:t>
      </w:r>
    </w:p>
    <w:p>
      <w:pPr>
        <w:spacing w:after="0" w:line="11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Other than the senior secured credit facility, we believe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December 2007, the Financial Accounting Standards Board (“FASB”) issued Statements of Financial Accounting Standards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141R”), which replaces FASB Statement No. 141. SFAS 141R establishes principles and requirements for how an acquirer recognizes and measures in its financial statements the identifiable assets acquired, the liabilities assumed, any non controlling interest in the acquiree and the goodwill acquired. This statement also establishes disclosure requirements which will enable users to evaluate the nature and financial effects of the business combination. SFAS 141R is effective as of the beginning of an entity’s fiscal year that begins after December 15, 2008. We are currently evaluating the potential impact, if any, of the adoption of SFAS 141R on our consolidated financial statements.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2007, the FASB issued SFAS No. 160, “</w:t>
      </w:r>
      <w:r>
        <w:rPr>
          <w:rFonts w:ascii="Arial" w:cs="Arial" w:eastAsia="Arial" w:hAnsi="Arial"/>
          <w:sz w:val="16"/>
          <w:szCs w:val="16"/>
          <w:i w:val="1"/>
          <w:iCs w:val="1"/>
          <w:color w:val="auto"/>
        </w:rPr>
        <w:t>Noncontrolling Interests in Consolidated Financial Statement—amendments of ARB No. 51</w:t>
      </w:r>
      <w:r>
        <w:rPr>
          <w:rFonts w:ascii="Arial" w:cs="Arial" w:eastAsia="Arial" w:hAnsi="Arial"/>
          <w:sz w:val="16"/>
          <w:szCs w:val="16"/>
          <w:color w:val="auto"/>
        </w:rPr>
        <w:t xml:space="preserve"> (“SFAS 160”).” SFAS 160 states that accounting and reporting for minority interests will be recharacterized as noncontrolling interests and classified as a component of equity. SFAS 160 also establishes reporting requirements that provide sufficient disclosures that clearly identify and distinguish between the interests of the parent and the interests of the noncontrolling owners. SFAS 160 applies to all entities that prepare consolidated financial statements, except not-for-profit organizations, but will affect only those entities that have an outstanding noncontrolling interest in one or more subsidiaries or that deconsolidate a subsidiary. This statement is effective as of the beginning of an entity’s first fiscal year beginning after December 15, 2008. We are currently evaluating the potential impact, if any, of the adoption of SFAS 160 on our consolidated financial statements.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February 2007, the FASB issued SFAS No. 159, “</w:t>
      </w:r>
      <w:r>
        <w:rPr>
          <w:rFonts w:ascii="Arial" w:cs="Arial" w:eastAsia="Arial" w:hAnsi="Arial"/>
          <w:sz w:val="16"/>
          <w:szCs w:val="16"/>
          <w:i w:val="1"/>
          <w:iCs w:val="1"/>
          <w:color w:val="auto"/>
        </w:rPr>
        <w:t>The Fair Value Option for Financial Assets and Financial Liabilities – 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Statement No. 115</w:t>
      </w:r>
      <w:r>
        <w:rPr>
          <w:rFonts w:ascii="Arial" w:cs="Arial" w:eastAsia="Arial" w:hAnsi="Arial"/>
          <w:sz w:val="16"/>
          <w:szCs w:val="16"/>
          <w:color w:val="auto"/>
        </w:rPr>
        <w:t>” (“SFAS 159”), which permits all entities to choose to measure many financial instruments and certain other items at fair value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consequently report unrealized gains and losses on these items in earnings. SFAS 159 was effective for the Company’s fiscal year beginning January 1, 2008. The Company has not elected the fair value option to measure certain financial instruments. The adoption of SFAS 159 did not have a material impact on the Company’s consolidated financial position, results of operations or cash flows.</w:t>
      </w:r>
    </w:p>
    <w:p>
      <w:pPr>
        <w:spacing w:after="0" w:line="1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adopted the provisions of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on January 1, 2008. SFAS 157 defines fair value, establishes a market-based framework or hierarchy for measuring fair value, and expands disclosures about fair value measurements. SFAS 157 is applicable whenever another accounting pronouncement requires or permits assets and liabilities to be measured at fair value. SFAS 157 does not expand or require any new fair value measures, however the application of this statement may change current practice. In February 2008, the FASB decided that an entity need not apply this standard to nonfinancial assets and liabilities that are recognized or disclosed at fair value in the financial statements on a nonrecurring basis until 2009. Accordingly, the Company’s adoption of this standard in 2008 was limited to financial assets and liabilities, which primarily affects the valuation of its derivative contract. The adoption of SFAS 157 did not have a material effect on the Company’s financial condition or results of operations. The Company is still in the process of evaluating this standard with respect to its effect on nonfinancial assets and liabilities and therefore has not yet determined the impact that it will have on its consolidated financial statements upon full adoption in 2009. Nonfinancial assets and liabilities for which the Company has not applied the provisions of SFAS 157 include those measured at fair value in impairment testing and those initially measured at fair value in a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the reported amounts of assets, liabilities, revenues and expenses and related disclosures regarding contingent assets and liabilities. We base these estimates and judgments on historical experience, knowledge of current conditions and other assumptions and information that we believe to be reasonable. Estimates and assumptions about future events and their effects cannot be perceived with certainty. Accordingly, these estimates may change as new events occur, as more experience is acquired, as additional information is obtained and as the business environment in which we operate changes.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defined a critical accounting estimate as one that is both important to the portrayal of either our financial condition or results of operations and requires us to make difficult, subjective or complex judgments or estimates about matters that are uncertain. We have discussed the development and selection of our critical accounting policies with the audit committee of our board, and the audit committee has reviewed the disclosure presented below. We believe that the following are the critical accounting estimates used in the preparation of our consolidated financial statements. In addition, there are other items within our consolidated financial statements that require estimation but which we do not deem to be critical.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Account Receivables Valuation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revenue is primarily derived from the sale of semiconductor products which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recognize revenue upon shipment, upon delivery of the product at the customer’s location or upon customer acceptance depending on terms of the arrangements, when the risks and rewards of ownership have passed to the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 We record warranty liabilities for the estimated costs that may be incurred under our limited warranty. This warranty covers product defects based on compliance with our specifications and is normally applicable for twelve months from the date of purchase.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 inventories to net realizable value. The difference in the carrying amount and the net realizable value is recognized as a loss on valuation of inventories within cost of sales. We estimate the net realizable value for such finished goods and work-in-progress based primarily upon the latest invoice prices and current market conditions.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In addition, as prescribed in SFAS No. 151, </w:t>
      </w:r>
      <w:r>
        <w:rPr>
          <w:rFonts w:ascii="Arial" w:cs="Arial" w:eastAsia="Arial" w:hAnsi="Arial"/>
          <w:sz w:val="16"/>
          <w:szCs w:val="16"/>
          <w:i w:val="1"/>
          <w:iCs w:val="1"/>
          <w:color w:val="auto"/>
        </w:rPr>
        <w:t>Inventory Costs</w:t>
      </w:r>
      <w:r>
        <w:rPr>
          <w:rFonts w:ascii="Arial" w:cs="Arial" w:eastAsia="Arial" w:hAnsi="Arial"/>
          <w:sz w:val="16"/>
          <w:szCs w:val="16"/>
          <w:color w:val="auto"/>
        </w:rPr>
        <w:t>,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assess long-lived assets for impairment when events or changes in circumstances indicate that the carrying value of the assets or the asset group may not be recoverable. Factors that we consider in deciding when to perform an impairment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review include significant under-performance of a business or product line in relation to expectations, significant negative industry or economic trends, and significant changes or planned changes in our use of the assets. Recoverability of assets that will continue to be used in our operations is measured by comparing the carrying amount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amount and its fair value determined by either a quoted market price, if any, or a value determined by utilizing a discounted cash flow technique.</w:t>
      </w:r>
    </w:p>
    <w:p>
      <w:pPr>
        <w:spacing w:after="0" w:line="10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116"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Changes in our evaluation of our deferred income tax assets from period to period could have a significant effect on our net operating results and financial condition.</w:t>
      </w:r>
    </w:p>
    <w:p>
      <w:pPr>
        <w:spacing w:after="0" w:line="132"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 xml:space="preserve">In addition, beginning January 1, 2007, we account for uncertainties related to income taxes in compliance with FIN No 48, </w:t>
      </w:r>
      <w:r>
        <w:rPr>
          <w:rFonts w:ascii="Arial" w:cs="Arial" w:eastAsia="Arial" w:hAnsi="Arial"/>
          <w:sz w:val="16"/>
          <w:szCs w:val="16"/>
          <w:i w:val="1"/>
          <w:iCs w:val="1"/>
          <w:color w:val="auto"/>
        </w:rPr>
        <w:t>Accounting for Uncertainty in</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—an interpretation of SFAS No. 109. Under FIN No. 48, we evaluate our tax positions taken or expected to be taken in a tax return for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measurement on our financial statements. Only those tax positions that meet the more likely than not threshold are recognized on the financial statements at the largest amount of benefit that is a greater than 50 percent likely of ultimately being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Unit-based Compensation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provisions of SFAS No. 123(R), unit-based compensation cost is estimated at the grant date based on the fair-value of the award and is recognized as expense over the requisite service period of the award. Consistent with our prior-period pro forma presentation under SFAS No. 123, we use the Black-Scholes option pricing model to value unit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minority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 The estimated fair value of our common units was calculated using an option pricing model, using the enterprise value, an estimated volatility, expected exercise term and a risk free interest rate.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We have exposure to foreign currency exchange-rate fluctuations on net income from our subsidiaries denominated in currencies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June 29, 2008 for our Korean subsidiary, a 10% devaluation of the Korean won against the U.S. dollar would have resulted in a decrease of $1.4 million in our U.S. dollar financial instruments balance and cash balance. Based on the Japanese yen cash balance at June 29, 2008, a 10% devaluation of the Japanese yen against the U.S. dollar would have resulted in a decrease of $40.6 thousand in our U.S. dollar cash balance.</w:t>
      </w:r>
    </w:p>
    <w:p>
      <w:pPr>
        <w:spacing w:after="0" w:line="145" w:lineRule="exact"/>
        <w:rPr>
          <w:sz w:val="20"/>
          <w:szCs w:val="20"/>
          <w:color w:val="auto"/>
        </w:rPr>
      </w:pPr>
    </w:p>
    <w:p>
      <w:pPr>
        <w:jc w:val="both"/>
        <w:ind w:right="60" w:firstLine="456"/>
        <w:spacing w:after="0" w:line="285" w:lineRule="auto"/>
        <w:rPr>
          <w:sz w:val="20"/>
          <w:szCs w:val="20"/>
          <w:color w:val="auto"/>
        </w:rPr>
      </w:pPr>
      <w:r>
        <w:rPr>
          <w:rFonts w:ascii="Arial" w:cs="Arial" w:eastAsia="Arial" w:hAnsi="Arial"/>
          <w:sz w:val="15"/>
          <w:szCs w:val="15"/>
          <w:i w:val="1"/>
          <w:iCs w:val="1"/>
          <w:color w:val="auto"/>
        </w:rPr>
        <w:t xml:space="preserve">Interest Rate Risk. </w:t>
      </w:r>
      <w:r>
        <w:rPr>
          <w:rFonts w:ascii="Arial" w:cs="Arial" w:eastAsia="Arial" w:hAnsi="Arial"/>
          <w:sz w:val="15"/>
          <w:szCs w:val="15"/>
          <w:color w:val="auto"/>
        </w:rPr>
        <w:t>The $200 million 6</w:t>
      </w:r>
      <w:r>
        <w:rPr>
          <w:rFonts w:ascii="Arial" w:cs="Arial" w:eastAsia="Arial" w:hAnsi="Arial"/>
          <w:sz w:val="15"/>
          <w:szCs w:val="15"/>
          <w:i w:val="1"/>
          <w:iCs w:val="1"/>
          <w:color w:val="auto"/>
        </w:rPr>
        <w:t xml:space="preserve"> </w:t>
      </w:r>
      <w:r>
        <w:rPr>
          <w:rFonts w:ascii="Arial" w:cs="Arial" w:eastAsia="Arial" w:hAnsi="Arial"/>
          <w:sz w:val="19"/>
          <w:szCs w:val="19"/>
          <w:color w:val="auto"/>
          <w:vertAlign w:val="superscript"/>
        </w:rPr>
        <w:t>7</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second priority senior secured notes due 2011 and the $250 million 8% senior subordinated notes due 2014 are</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changes in fair value due to interest rate changes. If the market interest rate had decreased by 10% and all other variables were held constant from their levels at June 29, 2008, we estimate that we would have additional interest expense costs over the market rate of $3.0 million (on a 360-day basis). The fair value of these fixed rate notes would have decreased by $6.2 million or increased by $6.4 million with a 10% increase or decrease in the interest rate, respectively.</w:t>
      </w:r>
    </w:p>
    <w:p>
      <w:pPr>
        <w:spacing w:after="0" w:line="15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Cash Flow Interest Rate Risk</w:t>
      </w:r>
      <w:r>
        <w:rPr>
          <w:rFonts w:ascii="Arial" w:cs="Arial" w:eastAsia="Arial" w:hAnsi="Arial"/>
          <w:sz w:val="16"/>
          <w:szCs w:val="16"/>
          <w:color w:val="auto"/>
        </w:rPr>
        <w:t>. We have cash flow interest rate risk related to our $300 million Floating Rate Second Priority Senior Secured Notes due 2011</w:t>
      </w:r>
      <w:r>
        <w:rPr>
          <w:rFonts w:ascii="Arial" w:cs="Arial" w:eastAsia="Arial" w:hAnsi="Arial"/>
          <w:sz w:val="16"/>
          <w:szCs w:val="16"/>
          <w:i w:val="1"/>
          <w:iCs w:val="1"/>
          <w:color w:val="auto"/>
        </w:rPr>
        <w:t xml:space="preserve"> </w:t>
      </w:r>
      <w:r>
        <w:rPr>
          <w:rFonts w:ascii="Arial" w:cs="Arial" w:eastAsia="Arial" w:hAnsi="Arial"/>
          <w:sz w:val="16"/>
          <w:szCs w:val="16"/>
          <w:color w:val="auto"/>
        </w:rPr>
        <w:t>as interest expense is subject to prevailing market interest rates at each balance sheet date. If the market interest rate had increased by 10% and all other variables were held constant from their levels at June 29, 2008, we estimate that we would have additional interest expense of $1.0 million (181 days basis) for these floating rate notes and our net loss for the six months ended June 29, 2008 would have increased by 0.79%.</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As required by the Securities Exchange Act of 1934, as amended, or the Exchange Act, our management, including our Chief Executive Officer, or our CEO, and our Chief Financial Officer, or our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96" w:lineRule="exact"/>
        <w:rPr>
          <w:sz w:val="20"/>
          <w:szCs w:val="20"/>
          <w:color w:val="auto"/>
        </w:rPr>
      </w:pPr>
    </w:p>
    <w:p>
      <w:pPr>
        <w:jc w:val="both"/>
        <w:ind w:right="160" w:firstLine="351"/>
        <w:spacing w:after="0" w:line="303"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Additional risks and uncertainties not currently known to us or those currently viewed by us to be immaterial may also materially and adversely affect our business, financial condition or results of operations.</w:t>
      </w:r>
    </w:p>
    <w:p>
      <w:pPr>
        <w:spacing w:after="0" w:line="101"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The cyclical nature of the semiconductor industry may limit our ability to maintain or increase net sales and operating results during industry downturns.</w:t>
      </w:r>
    </w:p>
    <w:p>
      <w:pPr>
        <w:spacing w:after="0" w:line="12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semiconductor industry is highly cyclical and periodically experiences significant economic downturns characterized by diminished product demand, resulting in production overcapacity and excess inventory in the markets we serve. A downturn can result in lower unit volumes and rapid erosion of average selling prices. The semiconductor industry has experienced significant downturns, often in connection with, or in anticipation of, maturing product cycles of both semiconductor companies’ and their customers’ products or a decline in general economic conditions. We have experienced these conditions in our business in the past and may experience renewed, and possibly more severe and prolonged, downturns in the future as a result of such cyclical changes. This may reduce our results of operations and the value of our business.</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13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manufacture our products based on our estimates of customer demand, and if our estimates are incorrect our financial results could be negatively impacted.</w:t>
      </w:r>
    </w:p>
    <w:p>
      <w:pPr>
        <w:spacing w:after="0" w:line="1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reduce quantities or delay production.</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 wins, have affected and may continue to affect our results of operations adversely. These risks are exacerbated because many of our products are customized, which hampers our ability to sell excess inventory to the general market. In addition, while we do not obtain long-term purchase commitments, we generally agree to the pricing of a particular product for the entire lifecycle of the product, which can extend over a number of years. If we underestimate our costs when determining pricing, our margins and results of operations would be adversely affected.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17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Historically, we have relied on a limited number of customers for a substantial portion of our total revenue. If we were to lose key customers or if customers cease to place orders for our high volume products or services, our financial results would be adversely affected. While we served more than 179 customers in the six months ended June 29, 2008, net sales to our 10 largest customers represented approximately 59.6% of our net sales for the period. One customer represented greater than 10% of our net sales during the six months ended June 29, 2008. Significant reductions in sales to any of these customers, the loss of major customers or a general curtailment in orders for our high volume products or services within a short period of time would adversely affect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17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79"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average selling prices of our semiconductor products have at times declined rapidly and will likely do so in the future, which could harm our revenue and gross profit.</w:t>
      </w:r>
    </w:p>
    <w:p>
      <w:pPr>
        <w:spacing w:after="0" w:line="1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3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Changes in demand for consumer electronics, including digital televisions, notebook computers, flat panel displays and mobile phones, and products in our other end markets can impact our results of operations.</w:t>
      </w:r>
    </w:p>
    <w:p>
      <w:pPr>
        <w:spacing w:after="0" w:line="12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Demand for our products will depend in part on the changes in demand for various consumer electronics products, including digital televisions, notebook computers, flat panel displays and mobile phones, and electronics products in our other end markets and on general economic growth.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we fail to develop new products and process technologies or enhance our existing products and services in order to react to rapid technological change and market demands, our business will suffer.</w:t>
      </w:r>
    </w:p>
    <w:p>
      <w:pPr>
        <w:spacing w:after="0" w:line="12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or to license or otherwise obtain essential intellectual property required by our customers.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For example, net sales generated in 2006 by our Imaging Solutions business decreased $102.8 million, or 63%, compared to net sales generated by that business in 2005. This decrease was primarily attributable to delays in transitioning to new megapixel products. We began marketing a new line of power management solutions in 2008. Any new products, such as our new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we fail to achieve design wins for our semiconductor products, we may lose the opportunity for sales to customers for a significant period of time and be unable to recoup our investments in our products.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expend considerable resources to achieve design wins for our semiconductor products, especially our new products and product enhancements.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lengthy and expensive design-to-mass production and manufacturing process development cycles.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2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 their products, we may be unable to recoup our engineering resources commitment and our investment in process technology development, which would harm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numerous challenges relating to executing our growth strategy.</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part of our growth strategy, we began marketing a new line of power management semiconductor products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 loss of our key employees would materially adversely affect our business, and we may not be able to attract or retain the technical or management employees necessary to compete in our industry.</w:t>
      </w:r>
    </w:p>
    <w:p>
      <w:pPr>
        <w:spacing w:after="0" w:line="12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key executives have substantial experience and have made significant contributions to our business, and our continued success is dependent upon the retention of our key management executives, including our Chief Executive Officer and Chairman, Sang Park, and our President and Chief Financial Officer, Robert Krakauer, as well as the services provided by our engineers and a number of other key managerial, marketing, planning, financial, technical and operations personnel. The loss of such key personnel would have a material adverse effect on our business. Growth in our business is dependent, to a large degree, on our ability to retain and attract such employees. In addition, we depend on our ability to attract and retain skilled technical and managerial personnel. We could lose the services of, or fail to recruit, skilled personnel. This could hinder our research and product development programs or otherwise have a material adverse effect on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may not become profitable in the future.</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Since we began operations as a separate entity in 2004, we have not generated a profit and have generated significant net losses. As of June 29, 2008, we had an accumulated deficit of approximately $698.3 million and negative unitholders’ equity. To become profitable, we will need to generate and sustain substantially higher revenue while maintaining or reducing expenses. We 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 If we become profitable, we may not be able to sustain or increase profitability on a quarterly or an annual basis.</w:t>
      </w:r>
    </w:p>
    <w:p>
      <w:pPr>
        <w:spacing w:after="0" w:line="11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and services in a timely manner, which could adversely affect our revenues and profitability.</w:t>
      </w:r>
    </w:p>
    <w:p>
      <w:pPr>
        <w:spacing w:after="0" w:line="1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June 29, 2008, approximately 59.7%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137"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we may not realize the anticipated benefits of those transactions.</w:t>
      </w:r>
    </w:p>
    <w:p>
      <w:pPr>
        <w:spacing w:after="0" w:line="12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acquisition. In addition, our senior secured credit facility and the indentures governing our senior secured notes and senior subordinated notes may restrict us from making acquisitions that we may otherwise wish to pursue.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manufacture of semiconductors requires precision, a highly regulated and sterile environment and specialized equipment. We may have difficulty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Yields below our target levels can negatively impact our gross profit and may cause us to eliminate underperforming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a number of independent subcontractors.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and Southeast Asia. We rely on these subcontractors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package and test our devices with acceptable quality and yield levels.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gasses, precious metals and electronic and mechanical components. We procure materials and electronic and mechanical components from international sources and original equipment manufacturers. From time to time in the past, the supply of polysilicon available for use in the manufacture of semiconductor products has been constrained, and we may confront similar constraints in the future. If we cannot obtain adequate materials in a timely manner or on favorable terms for the manufacture of our products, revenues and results of operations will decline.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return and liability risks and the risk of negative publicity if our products fail.</w:t>
      </w:r>
    </w:p>
    <w:p>
      <w:pPr>
        <w:spacing w:after="0" w:line="17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return and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2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company organizational structure is based on assumptions about the various tax laws, including withholding tax, and other laws of applicable non-U.S. jurisdictions. In addition, our Korean subsidiary, MagnaChip Semiconductor, Ltd., or MagnaChip Korea, was granted a limited tax holiday under Korean law in October 2004. This grant provides for certain tax exemptions for corporate taxes and withholding taxes until December 31, 2008, and for acquisition taxes, property and land use taxes and other taxes until December 31, 2013. In addition, we do not expect the income of our foreign subsidiaries to be subject to taxation in the United States by reason of the “Subpart F” regime. Our interpretations and conclusions regarding tax and other laws are not binding on any taxing authority and, if these assumptions and conclusions are incorrect, if our business were to be operated in a way that rendered us ineligible for tax exemptions or to become subject to incremental tax, or if the authorities were to change or modify the relevant laws, we could suffer adverse tax and other financial consequences or have the anticipated benefits of our organizational structure materially impaired.</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12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United States.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39" w:lineRule="exact"/>
        <w:rPr>
          <w:sz w:val="20"/>
          <w:szCs w:val="20"/>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substantial damages, indemnify customers or licensees for damages they may suffer if the products they purchase from us or the technology they license from us violate the intellectual property rights of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stop our manufacture, use, sale or importation of infringing products; expend significant resources to develop or acquire non-infringing technologies;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licenses to the intellectual property we are found to have infringed.</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our acquisition from Hynix, or the Original Acquisition, expired on October 1, 2007. Under that arrangement, Hynix retained a perpetual license to use the intellectual property that we acquired from Hynix in the Original Acquisition. Now that these noncompetition restrictions have expired, Hynix and its subsidiaries are free to develop products that may incorporate or embody intellectual property developed by us prior to October 2004.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1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such capital may not be available on acceptable terms or at all.</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may require more capital in the future from equity or debt financings to fund our operations,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equityholders could suffer significant dilution, and any new securities we issue could have rights, preferences or privileges senior to those of the holders of our equity securities. In addition, additional capital may not be available when needed or, if available, may not be available on favorable terms. In addition, our senior secured credit facility and the indentures governing our notes limit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11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 and service offerings and thus will not necessarily result in increases in revenues for us.</w:t>
      </w:r>
    </w:p>
    <w:p>
      <w:pPr>
        <w:spacing w:after="0" w:line="12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 which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which may occur, for example, an outbreak of military hostilities, would adversely affect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net sales are primarily denominated in U.S. dollars, as well as various other currencies, including the Korean won, Japanese yen and euro. As a result, changes in the exchange rates of these currencies or any other applicable currencies to the U.S. dollar will affect the translated price of products and therefore operating margins and could result in exchange losses. Conversely, during 2007, more than 60% of our costs were denominated in Korean won and, to a lesser extent, in Japanese yen, U.S. dollars and euros. Therefore, changes in the exchange rates of these currencies or any other applicable currencies to the U.S. dollar will affect our cost of goods sold and operating margins and could result in exchange losses. As a result, a material decline in the U.S. dollar relative to the Korean won will result in an increase in our costs as a proportion of our net sales, thereby reducing our operating margins.</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cannot fully predict the impact of future exchange rate fluctuations on our profitability. We have not engaged in exchange rate hedging since the Original Acquisition. From time to time, we may engage in exchange rate hedging activities in an effort to mitigate the impact of exchange rate fluctuations. However, there can be no assurance that any hedging technique we implement will be effective. If such hedging is not effective, we may experience reduced operating margins.</w:t>
      </w:r>
    </w:p>
    <w:p>
      <w:pPr>
        <w:spacing w:after="0" w:line="13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13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June 29, 2008, our total indebtedness representing long and short-term borrowings, including the current portion of long-term borrowings, was approximately $835 million. Our substantial debt could have important consequences, including:</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90" w:lineRule="exact"/>
        <w:rPr>
          <w:rFonts w:ascii="Arial" w:cs="Arial" w:eastAsia="Arial" w:hAnsi="Arial"/>
          <w:sz w:val="18"/>
          <w:szCs w:val="18"/>
          <w:color w:val="auto"/>
        </w:rPr>
      </w:pPr>
    </w:p>
    <w:p>
      <w:pPr>
        <w:ind w:left="900" w:right="580" w:hanging="325"/>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some of our borrowings are at variable rates of interest;</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There can be no assurance that we will generate a level of cash flows from operating activities sufficient to permit us to pay the principal, premium, if any, and interest on our indebtedness. For example, in 2006 our cash interest expense exceeded the cash generated from our operating activities, and in 2007 our cash flow from operating activities was negative and did not cover any of our interest expense.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19, 2007, Moody’s Investor Service, Inc. downgraded the ratings on our indebtedness. The credit ratings assigned to our debt reflect the rating agency’s opinion of our ability to make payments on the debt obligations when such payments are due. A rating may be subject to revision or withdrawal at any time by the assigning rating agency. We may experience downgrades in our debt ratings in the future,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credit agreement governing our senior secured credit facility and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1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 and if Hynix were to become insolvent, we could lose certain of our leases.</w:t>
      </w:r>
    </w:p>
    <w:p>
      <w:pPr>
        <w:spacing w:after="0" w:line="12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Because we share certain facilities with Hynix, several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rules adopted by the SEC pursuant to Section 404 of the Sarbanes-Oxley Act of 2002, which require us to include in our Annual Report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Form 10-K our management’s report on, and assessment of the effectiveness of, our internal controls over financial reporting. Beginning with our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ending December 31, 2009, our independent auditors will be required to attest to and report on the effectiveness of our internal controls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we fail to achieve and maintain the adequacy of our internal controls, there is a risk that we will not comply with all of the requirements imposed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404. Moreover, effective internal controls, particularly those related to revenue recognition, are necessary for us to produce reliable financial reports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important to helping prevent financial fraud. Any of these possible outcomes could result in an adverse reaction in the financial marketplace due to a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confidence in the reliability of our financial statements and could result in investigations or sanctions by the SEC, the applicable securities exchange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our securities are listed or other regulatory authorities or in securityholder litigation. Any of these factors ultimately could harm our business and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negatively impact the market price of our securities. Ineffective control over financial reporting could also cause investors to lose confidence in our reported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which could adversely affect the trading price of our securities.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However, our management, including our Chief Executive Officer and Chief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need to incur impairment and other restructuring charges, which could materially affect our results of operations and financial conditions.</w:t>
      </w:r>
    </w:p>
    <w:p>
      <w:pPr>
        <w:spacing w:after="0" w:line="20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industry downturns and for other reasons, we may need to record impairment or restructuring charges. From the Original Acquisition in October 2004 through June 29, 2008, we recognized aggregate restructuring and impairment charges of $141.7 million, which consisted of $136.5 million of impairment charges and $5.2 million of restructuring charges. In the future, we may need to record additional impairment charges or to further restructure our business and incur additional restructuring charges, any of which could have a material adverse effect on our results of operations or financial condition.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April 14, 2008, one of our former executives exercised options to acquire 143,272.50 of our common units at a purchase price of $143,272.50. Because the offering transaction took place outside the U.S. and the optionee was not a U.S. person, the issuance of these securities was exempt from registration under Regulation S of the Securities Act of 1933, as amended.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jc w:val="right"/>
              <w:ind w:right="9635"/>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Financial Officer.</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 Chief Executive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 Chief Financial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40" w:type="dxa"/>
            <w:vAlign w:val="bottom"/>
            <w:gridSpan w:val="2"/>
          </w:tcPr>
          <w:p>
            <w:pPr>
              <w:jc w:val="right"/>
              <w:ind w:right="55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August 12, 2008</w:t>
      </w:r>
      <w:r>
        <w:rPr>
          <w:sz w:val="20"/>
          <w:szCs w:val="20"/>
          <w:color w:val="auto"/>
        </w:rPr>
        <w:tab/>
      </w:r>
      <w:r>
        <w:rPr>
          <w:rFonts w:ascii="Arial" w:cs="Arial" w:eastAsia="Arial" w:hAnsi="Arial"/>
          <w:sz w:val="16"/>
          <w:szCs w:val="16"/>
          <w:color w:val="auto"/>
        </w:rPr>
        <w:t>By:  /s/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Sang Park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Chairman</w:t>
      </w:r>
    </w:p>
    <w:p>
      <w:pPr>
        <w:spacing w:after="0" w:line="21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August 12, 2008</w:t>
      </w:r>
      <w:r>
        <w:rPr>
          <w:sz w:val="20"/>
          <w:szCs w:val="20"/>
          <w:color w:val="auto"/>
        </w:rPr>
        <w:tab/>
      </w:r>
      <w:r>
        <w:rPr>
          <w:rFonts w:ascii="Arial" w:cs="Arial" w:eastAsia="Arial" w:hAnsi="Arial"/>
          <w:sz w:val="16"/>
          <w:szCs w:val="16"/>
          <w:color w:val="auto"/>
        </w:rPr>
        <w:t>By:  /s/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J. Krakauer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jc w:val="center"/>
              <w:ind w:right="995"/>
              <w:spacing w:after="0"/>
              <w:rPr>
                <w:sz w:val="20"/>
                <w:szCs w:val="20"/>
                <w:color w:val="auto"/>
              </w:rPr>
            </w:pPr>
            <w:r>
              <w:rPr>
                <w:rFonts w:ascii="Arial" w:cs="Arial" w:eastAsia="Arial" w:hAnsi="Arial"/>
                <w:sz w:val="18"/>
                <w:szCs w:val="18"/>
                <w:color w:val="auto"/>
                <w:w w:val="96"/>
              </w:rPr>
              <w:t>INDEX TO EXHIBITS</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5"/>
                <w:szCs w:val="15"/>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500" w:type="dxa"/>
            <w:vAlign w:val="bottom"/>
          </w:tcPr>
          <w:p>
            <w:pPr>
              <w:spacing w:after="0" w:line="202" w:lineRule="exact"/>
              <w:rPr>
                <w:sz w:val="20"/>
                <w:szCs w:val="20"/>
                <w:color w:val="auto"/>
              </w:rPr>
            </w:pPr>
            <w:r>
              <w:rPr>
                <w:rFonts w:ascii="Arial" w:cs="Arial" w:eastAsia="Arial" w:hAnsi="Arial"/>
                <w:sz w:val="18"/>
                <w:szCs w:val="18"/>
                <w:color w:val="auto"/>
              </w:rPr>
              <w:t>31.1</w:t>
            </w: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 Chief Executive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 Chief Financial</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Officer.</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5"/>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459"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Sang Park, certify that:</w:t>
      </w:r>
    </w:p>
    <w:p>
      <w:pPr>
        <w:spacing w:after="0" w:line="9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59"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70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40" w:firstLine="4"/>
        <w:spacing w:after="0" w:line="332" w:lineRule="auto"/>
        <w:tabs>
          <w:tab w:leader="none" w:pos="69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70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9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59"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70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40" w:firstLine="4"/>
        <w:spacing w:after="0" w:line="332" w:lineRule="auto"/>
        <w:tabs>
          <w:tab w:leader="none" w:pos="699"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70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June 29, 2008, as filed with the Securities and Exchange Commission on the date hereof (the “Report”), I, Sang Park, Chief Executive Officer and Chairman of the Company, certify, pursuant to 18 U.S.C. §1350, as adopted pursuant to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12, 2008</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June 29, 2008, as filed with the Securities and Exchange Commission on the date hereof (the “Report”), I, Robert J. Krakauer, President and Chief Financial Officer of the Company, certify, pursuant to 18 U.S.C. §1350, as adopted pursuant to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12,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0"/>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2019-12-11T15:55:59Z</dcterms:created>
  <dcterms:modified xsi:type="dcterms:W3CDTF">2019-12-11T15:55:59Z</dcterms:modified>
</cp:coreProperties>
</file>