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251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Brigade Leveraged Capital Structures Fund</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Ltd.</w:t>
        </w:r>
      </w:hyperlink>
    </w:p>
    <w:p>
      <w:pPr>
        <w:spacing w:after="0" w:line="313"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right="40"/>
        <w:spacing w:after="0" w:line="301" w:lineRule="auto"/>
        <w:rPr>
          <w:sz w:val="20"/>
          <w:szCs w:val="20"/>
          <w:color w:val="auto"/>
        </w:rPr>
      </w:pPr>
      <w:r>
        <w:rPr>
          <w:rFonts w:ascii="Arial" w:cs="Arial" w:eastAsia="Arial" w:hAnsi="Arial"/>
          <w:sz w:val="18"/>
          <w:szCs w:val="18"/>
          <w:color w:val="0000FF"/>
        </w:rPr>
        <w:t>INTERTRUST CORP SERVICES (CAYMAN) LTD 190 ELGIN AVENUE, GEORGE TOWN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MAGNACHIP SEMICONDUCTOR Corp</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0000FF"/>
        </w:rPr>
        <w:t xml:space="preserve">MX </w:t>
      </w:r>
      <w:r>
        <w:rPr>
          <w:rFonts w:ascii="Arial" w:cs="Arial" w:eastAsia="Arial" w:hAnsi="Arial"/>
          <w:sz w:val="21"/>
          <w:szCs w:val="21"/>
          <w:color w:val="000000"/>
        </w:rPr>
        <w: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12/13/2018</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864" w:lineRule="exact"/>
        <w:rPr>
          <w:sz w:val="20"/>
          <w:szCs w:val="20"/>
          <w:color w:val="auto"/>
        </w:rPr>
      </w:pPr>
    </w:p>
    <w:p>
      <w:pPr>
        <w:sectPr>
          <w:pgSz w:w="11900" w:h="16838" w:orient="portrait"/>
          <w:cols w:equalWidth="0" w:num="3">
            <w:col w:w="3880" w:space="200"/>
            <w:col w:w="3820" w:space="157"/>
            <w:col w:w="3363"/>
          </w:cols>
          <w:pgMar w:left="240" w:top="226" w:right="239" w:bottom="1440" w:gutter="0" w:footer="0" w:header="0"/>
          <w:type w:val="continuous"/>
        </w:sectPr>
      </w:pPr>
    </w:p>
    <w:p>
      <w:pPr>
        <w:spacing w:after="0" w:line="25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060" w:type="dxa"/>
            <w:vAlign w:val="bottom"/>
          </w:tcPr>
          <w:p>
            <w:pPr>
              <w:ind w:left="40"/>
              <w:spacing w:after="0"/>
              <w:rPr>
                <w:sz w:val="20"/>
                <w:szCs w:val="20"/>
                <w:color w:val="auto"/>
              </w:rPr>
            </w:pPr>
            <w:r>
              <w:rPr>
                <w:rFonts w:ascii="Arial" w:cs="Arial" w:eastAsia="Arial" w:hAnsi="Arial"/>
                <w:sz w:val="18"/>
                <w:szCs w:val="18"/>
                <w:color w:val="0000FF"/>
              </w:rPr>
              <w:t>GRAND</w:t>
            </w:r>
          </w:p>
        </w:tc>
        <w:tc>
          <w:tcPr>
            <w:tcW w:w="1000" w:type="dxa"/>
            <w:vAlign w:val="bottom"/>
            <w:vMerge w:val="restart"/>
          </w:tcPr>
          <w:p>
            <w:pPr>
              <w:ind w:left="260"/>
              <w:spacing w:after="0"/>
              <w:rPr>
                <w:sz w:val="20"/>
                <w:szCs w:val="20"/>
                <w:color w:val="auto"/>
              </w:rPr>
            </w:pPr>
            <w:r>
              <w:rPr>
                <w:rFonts w:ascii="Arial" w:cs="Arial" w:eastAsia="Arial" w:hAnsi="Arial"/>
                <w:sz w:val="18"/>
                <w:szCs w:val="18"/>
                <w:color w:val="0000FF"/>
              </w:rPr>
              <w:t>E9</w:t>
            </w:r>
          </w:p>
        </w:tc>
        <w:tc>
          <w:tcPr>
            <w:tcW w:w="1280" w:type="dxa"/>
            <w:vAlign w:val="bottom"/>
            <w:vMerge w:val="restart"/>
          </w:tcPr>
          <w:p>
            <w:pPr>
              <w:ind w:left="520"/>
              <w:spacing w:after="0"/>
              <w:rPr>
                <w:sz w:val="20"/>
                <w:szCs w:val="20"/>
                <w:color w:val="auto"/>
              </w:rPr>
            </w:pPr>
            <w:r>
              <w:rPr>
                <w:rFonts w:ascii="Arial" w:cs="Arial" w:eastAsia="Arial" w:hAnsi="Arial"/>
                <w:sz w:val="18"/>
                <w:szCs w:val="18"/>
                <w:color w:val="0000FF"/>
                <w:w w:val="92"/>
              </w:rPr>
              <w:t>KY1-9005</w:t>
            </w:r>
          </w:p>
        </w:tc>
        <w:tc>
          <w:tcPr>
            <w:tcW w:w="0" w:type="dxa"/>
            <w:vAlign w:val="bottom"/>
          </w:tcPr>
          <w:p>
            <w:pPr>
              <w:spacing w:after="0"/>
              <w:rPr>
                <w:sz w:val="1"/>
                <w:szCs w:val="1"/>
                <w:color w:val="auto"/>
              </w:rPr>
            </w:pPr>
          </w:p>
        </w:tc>
      </w:tr>
      <w:tr>
        <w:trPr>
          <w:trHeight w:val="114"/>
        </w:trPr>
        <w:tc>
          <w:tcPr>
            <w:tcW w:w="1060" w:type="dxa"/>
            <w:vAlign w:val="bottom"/>
            <w:vMerge w:val="restart"/>
          </w:tcPr>
          <w:p>
            <w:pPr>
              <w:ind w:left="40"/>
              <w:spacing w:after="0"/>
              <w:rPr>
                <w:sz w:val="20"/>
                <w:szCs w:val="20"/>
                <w:color w:val="auto"/>
              </w:rPr>
            </w:pPr>
            <w:r>
              <w:rPr>
                <w:rFonts w:ascii="Arial" w:cs="Arial" w:eastAsia="Arial" w:hAnsi="Arial"/>
                <w:sz w:val="18"/>
                <w:szCs w:val="18"/>
                <w:color w:val="0000FF"/>
              </w:rPr>
              <w:t>CAYMAN</w:t>
            </w:r>
          </w:p>
        </w:tc>
        <w:tc>
          <w:tcPr>
            <w:tcW w:w="100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200" w:lineRule="exact"/>
        <w:rPr>
          <w:sz w:val="20"/>
          <w:szCs w:val="20"/>
          <w:color w:val="auto"/>
        </w:rPr>
      </w:pPr>
    </w:p>
    <w:p>
      <w:pPr>
        <w:sectPr>
          <w:pgSz w:w="11900" w:h="16838" w:orient="portrait"/>
          <w:cols w:equalWidth="0" w:num="2">
            <w:col w:w="3420" w:space="660"/>
            <w:col w:w="7340"/>
          </w:cols>
          <w:pgMar w:left="240" w:top="226" w:right="239" w:bottom="1440" w:gutter="0" w:footer="0" w:header="0"/>
          <w:type w:val="continuous"/>
        </w:sectPr>
      </w:pPr>
    </w:p>
    <w:p>
      <w:pPr>
        <w:spacing w:after="0" w:line="85"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30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4"/>
              </w:rPr>
              <w:t>Common Stock, par value $.01 per share</w:t>
            </w:r>
          </w:p>
        </w:tc>
        <w:tc>
          <w:tcPr>
            <w:tcW w:w="130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8"/>
                <w:szCs w:val="18"/>
                <w:color w:val="0000FF"/>
              </w:rPr>
              <w:t>12/13/2018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11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200,000</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6.9</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3,155,706</w:t>
            </w:r>
          </w:p>
        </w:tc>
        <w:tc>
          <w:tcPr>
            <w:tcW w:w="92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4"/>
              </w:rPr>
              <w:t>Common Stock, par value $.01 per share</w:t>
            </w:r>
          </w:p>
        </w:tc>
        <w:tc>
          <w:tcPr>
            <w:tcW w:w="130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8"/>
                <w:szCs w:val="18"/>
                <w:color w:val="0000FF"/>
              </w:rPr>
              <w:t>12/13/2018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11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300,000</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7.07</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3,455,706</w:t>
            </w:r>
          </w:p>
        </w:tc>
        <w:tc>
          <w:tcPr>
            <w:tcW w:w="92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60" w:type="dxa"/>
            <w:vAlign w:val="bottom"/>
            <w:gridSpan w:val="11"/>
          </w:tcPr>
          <w:p>
            <w:pPr>
              <w:jc w:val="center"/>
              <w:ind w:right="15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securities are directly owned by Brigade Leveraged Capital Structures Fund Ltd. Due to administrative error, the original Form 4, filed on December 17, 2018, was filed on behalf of an incorrect entity, Brigade Leveraged Capital Structures Offshore Ltd. Brigade Leveraged Capital Structures Fund Ltd. was the intended Reporting Person and is filing this Form 4 to correct the error.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Brigade Leveraged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00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ind w:left="6860"/>
        <w:spacing w:after="0" w:line="217" w:lineRule="auto"/>
        <w:tabs>
          <w:tab w:leader="none" w:pos="9140" w:val="left"/>
        </w:tabs>
        <w:rPr>
          <w:sz w:val="20"/>
          <w:szCs w:val="20"/>
          <w:color w:val="auto"/>
        </w:rPr>
      </w:pPr>
      <w:r>
        <w:rPr>
          <w:rFonts w:ascii="Arial" w:cs="Arial" w:eastAsia="Arial" w:hAnsi="Arial"/>
          <w:sz w:val="18"/>
          <w:szCs w:val="18"/>
          <w:color w:val="0000FF"/>
        </w:rPr>
        <w:t>Structures Fund Ltd., By: /s/</w:t>
      </w:r>
      <w:r>
        <w:rPr>
          <w:sz w:val="20"/>
          <w:szCs w:val="20"/>
          <w:color w:val="auto"/>
        </w:rPr>
        <w:tab/>
      </w:r>
      <w:r>
        <w:rPr>
          <w:rFonts w:ascii="Arial" w:cs="Arial" w:eastAsia="Arial" w:hAnsi="Arial"/>
          <w:sz w:val="23"/>
          <w:szCs w:val="23"/>
          <w:color w:val="0000FF"/>
          <w:vertAlign w:val="subscript"/>
        </w:rPr>
        <w:t>10/24/2019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269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25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552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71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421307"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2019-12-23T16:25:53Z</dcterms:created>
  <dcterms:modified xsi:type="dcterms:W3CDTF">2019-12-23T16:25:53Z</dcterms:modified>
</cp:coreProperties>
</file>